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theme/themeOverride4.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1B51B6" w14:textId="77777777" w:rsidR="009C1019" w:rsidRPr="00145B66" w:rsidRDefault="009C1019" w:rsidP="009C1019">
      <w:pPr>
        <w:spacing w:after="0" w:line="240" w:lineRule="auto"/>
        <w:jc w:val="center"/>
        <w:rPr>
          <w:rFonts w:ascii="Times New Roman" w:hAnsi="Times New Roman"/>
          <w:sz w:val="28"/>
          <w:szCs w:val="28"/>
        </w:rPr>
      </w:pPr>
      <w:r w:rsidRPr="00145B66">
        <w:rPr>
          <w:rFonts w:ascii="Times New Roman" w:hAnsi="Times New Roman"/>
          <w:sz w:val="28"/>
          <w:szCs w:val="28"/>
        </w:rPr>
        <w:t>НАО «Медицинский университет Астана»</w:t>
      </w:r>
    </w:p>
    <w:p w14:paraId="531A7EF2" w14:textId="77777777" w:rsidR="009C1019" w:rsidRPr="00145B66" w:rsidRDefault="009C1019" w:rsidP="009C1019">
      <w:pPr>
        <w:tabs>
          <w:tab w:val="left" w:pos="4820"/>
        </w:tabs>
        <w:spacing w:after="0" w:line="240" w:lineRule="auto"/>
        <w:jc w:val="both"/>
        <w:rPr>
          <w:rFonts w:ascii="Times New Roman" w:hAnsi="Times New Roman"/>
          <w:sz w:val="28"/>
          <w:szCs w:val="28"/>
        </w:rPr>
      </w:pPr>
    </w:p>
    <w:p w14:paraId="3A84DCDC" w14:textId="77777777" w:rsidR="009C1019" w:rsidRPr="00145B66" w:rsidRDefault="009C1019" w:rsidP="009C1019">
      <w:pPr>
        <w:spacing w:after="0" w:line="240" w:lineRule="auto"/>
        <w:rPr>
          <w:rFonts w:ascii="Times New Roman" w:hAnsi="Times New Roman"/>
          <w:sz w:val="28"/>
          <w:szCs w:val="28"/>
          <w:lang w:val="kk-KZ"/>
        </w:rPr>
      </w:pPr>
    </w:p>
    <w:p w14:paraId="1619C0B0" w14:textId="77777777" w:rsidR="009C1019" w:rsidRPr="00145B66" w:rsidRDefault="009C1019" w:rsidP="009C1019">
      <w:pPr>
        <w:spacing w:after="0" w:line="240" w:lineRule="auto"/>
        <w:rPr>
          <w:rFonts w:ascii="Times New Roman" w:hAnsi="Times New Roman"/>
          <w:sz w:val="28"/>
          <w:szCs w:val="28"/>
          <w:lang w:val="kk-KZ"/>
        </w:rPr>
      </w:pPr>
    </w:p>
    <w:p w14:paraId="7501CE77" w14:textId="77777777" w:rsidR="009C1019" w:rsidRPr="00145B66" w:rsidRDefault="009C1019" w:rsidP="009C1019">
      <w:pPr>
        <w:spacing w:after="0" w:line="240" w:lineRule="auto"/>
        <w:rPr>
          <w:rFonts w:ascii="Times New Roman" w:hAnsi="Times New Roman"/>
          <w:sz w:val="28"/>
          <w:szCs w:val="28"/>
        </w:rPr>
      </w:pPr>
      <w:r w:rsidRPr="00145B66">
        <w:rPr>
          <w:rFonts w:ascii="Times New Roman" w:hAnsi="Times New Roman"/>
          <w:sz w:val="28"/>
          <w:szCs w:val="28"/>
          <w:lang w:val="kk-KZ"/>
        </w:rPr>
        <w:t>УДК 616.348-006:616-089.87:66-036.82-364-57</w:t>
      </w:r>
      <w:r w:rsidRPr="00145B66">
        <w:rPr>
          <w:rFonts w:ascii="Times New Roman" w:hAnsi="Times New Roman"/>
          <w:sz w:val="28"/>
          <w:szCs w:val="28"/>
        </w:rPr>
        <w:t xml:space="preserve">                        На правах рукописи</w:t>
      </w:r>
    </w:p>
    <w:p w14:paraId="615AA3B7" w14:textId="77777777" w:rsidR="009C1019" w:rsidRPr="00145B66" w:rsidRDefault="009C1019" w:rsidP="009C1019">
      <w:pPr>
        <w:spacing w:after="0" w:line="240" w:lineRule="auto"/>
        <w:rPr>
          <w:rFonts w:ascii="Times New Roman" w:hAnsi="Times New Roman"/>
          <w:bCs/>
          <w:sz w:val="28"/>
          <w:szCs w:val="28"/>
        </w:rPr>
      </w:pPr>
    </w:p>
    <w:p w14:paraId="6D478050" w14:textId="77777777" w:rsidR="009C1019" w:rsidRPr="00145B66" w:rsidRDefault="009C1019" w:rsidP="009C1019">
      <w:pPr>
        <w:spacing w:after="0" w:line="240" w:lineRule="auto"/>
        <w:rPr>
          <w:rFonts w:ascii="Times New Roman" w:hAnsi="Times New Roman"/>
          <w:bCs/>
          <w:sz w:val="28"/>
          <w:szCs w:val="28"/>
        </w:rPr>
      </w:pPr>
    </w:p>
    <w:p w14:paraId="6B127F49" w14:textId="1B2FF1AF" w:rsidR="009C1019" w:rsidRDefault="009C1019" w:rsidP="009C1019">
      <w:pPr>
        <w:spacing w:after="0" w:line="240" w:lineRule="auto"/>
        <w:jc w:val="center"/>
        <w:rPr>
          <w:rFonts w:ascii="Times New Roman" w:hAnsi="Times New Roman"/>
          <w:b/>
          <w:bCs/>
          <w:sz w:val="28"/>
          <w:szCs w:val="28"/>
        </w:rPr>
      </w:pPr>
    </w:p>
    <w:p w14:paraId="1957763B" w14:textId="4B5F7CFD" w:rsidR="007D0DA1" w:rsidRDefault="007D0DA1" w:rsidP="009C1019">
      <w:pPr>
        <w:spacing w:after="0" w:line="240" w:lineRule="auto"/>
        <w:jc w:val="center"/>
        <w:rPr>
          <w:rFonts w:ascii="Times New Roman" w:hAnsi="Times New Roman"/>
          <w:b/>
          <w:bCs/>
          <w:sz w:val="28"/>
          <w:szCs w:val="28"/>
        </w:rPr>
      </w:pPr>
    </w:p>
    <w:p w14:paraId="294AE1A9" w14:textId="77777777" w:rsidR="007D0DA1" w:rsidRPr="00145B66" w:rsidRDefault="007D0DA1" w:rsidP="009C1019">
      <w:pPr>
        <w:spacing w:after="0" w:line="240" w:lineRule="auto"/>
        <w:jc w:val="center"/>
        <w:rPr>
          <w:rFonts w:ascii="Times New Roman" w:hAnsi="Times New Roman"/>
          <w:b/>
          <w:bCs/>
          <w:sz w:val="28"/>
          <w:szCs w:val="28"/>
        </w:rPr>
      </w:pPr>
    </w:p>
    <w:p w14:paraId="3FAA0809" w14:textId="77777777" w:rsidR="009C1019" w:rsidRPr="00145B66" w:rsidRDefault="009C1019" w:rsidP="009C1019">
      <w:pPr>
        <w:spacing w:after="0" w:line="240" w:lineRule="auto"/>
        <w:jc w:val="center"/>
        <w:rPr>
          <w:rFonts w:ascii="Times New Roman" w:hAnsi="Times New Roman"/>
          <w:b/>
          <w:bCs/>
          <w:sz w:val="28"/>
          <w:szCs w:val="28"/>
        </w:rPr>
      </w:pPr>
      <w:r w:rsidRPr="00145B66">
        <w:rPr>
          <w:rFonts w:ascii="Times New Roman" w:hAnsi="Times New Roman"/>
          <w:b/>
          <w:bCs/>
          <w:sz w:val="28"/>
          <w:szCs w:val="28"/>
        </w:rPr>
        <w:t>БЕКИШЕВА АЙЖАН ТАНИРБЕРГЕНОВНА</w:t>
      </w:r>
    </w:p>
    <w:p w14:paraId="79030620" w14:textId="77777777" w:rsidR="009C1019" w:rsidRPr="00145B66" w:rsidRDefault="009C1019" w:rsidP="009C1019">
      <w:pPr>
        <w:pStyle w:val="8"/>
        <w:spacing w:before="0" w:line="240" w:lineRule="auto"/>
        <w:jc w:val="center"/>
        <w:rPr>
          <w:rFonts w:ascii="Times New Roman" w:hAnsi="Times New Roman"/>
          <w:b/>
          <w:bCs/>
          <w:color w:val="auto"/>
          <w:sz w:val="28"/>
          <w:szCs w:val="28"/>
        </w:rPr>
      </w:pPr>
    </w:p>
    <w:p w14:paraId="040EF70F" w14:textId="77777777" w:rsidR="009C1019" w:rsidRPr="00145B66" w:rsidRDefault="009C1019" w:rsidP="009C1019">
      <w:pPr>
        <w:pStyle w:val="8"/>
        <w:spacing w:before="0" w:line="240" w:lineRule="auto"/>
        <w:jc w:val="center"/>
        <w:rPr>
          <w:rFonts w:ascii="Times New Roman" w:hAnsi="Times New Roman"/>
          <w:b/>
          <w:bCs/>
          <w:color w:val="auto"/>
          <w:sz w:val="28"/>
          <w:szCs w:val="28"/>
        </w:rPr>
      </w:pPr>
    </w:p>
    <w:p w14:paraId="4D28B09F" w14:textId="77777777" w:rsidR="009C1019" w:rsidRPr="00145B66" w:rsidRDefault="009C1019" w:rsidP="009C1019">
      <w:pPr>
        <w:pStyle w:val="8"/>
        <w:spacing w:before="0" w:line="240" w:lineRule="auto"/>
        <w:jc w:val="center"/>
        <w:rPr>
          <w:rFonts w:ascii="Times New Roman" w:hAnsi="Times New Roman"/>
          <w:b/>
          <w:bCs/>
          <w:color w:val="auto"/>
          <w:sz w:val="28"/>
          <w:szCs w:val="28"/>
        </w:rPr>
      </w:pPr>
    </w:p>
    <w:p w14:paraId="2D0CAA1E" w14:textId="77777777" w:rsidR="009C1019" w:rsidRPr="00145B66" w:rsidRDefault="009C1019" w:rsidP="009C1019">
      <w:pPr>
        <w:pStyle w:val="8"/>
        <w:spacing w:before="0" w:line="240" w:lineRule="auto"/>
        <w:jc w:val="center"/>
        <w:rPr>
          <w:rFonts w:ascii="Times New Roman" w:hAnsi="Times New Roman"/>
          <w:b/>
          <w:bCs/>
          <w:color w:val="auto"/>
          <w:sz w:val="28"/>
          <w:szCs w:val="28"/>
        </w:rPr>
      </w:pPr>
      <w:r w:rsidRPr="00145B66">
        <w:rPr>
          <w:rFonts w:ascii="Times New Roman" w:hAnsi="Times New Roman"/>
          <w:b/>
          <w:bCs/>
          <w:color w:val="auto"/>
          <w:sz w:val="28"/>
          <w:szCs w:val="28"/>
        </w:rPr>
        <w:t>О</w:t>
      </w:r>
      <w:r w:rsidRPr="00145B66">
        <w:rPr>
          <w:rFonts w:ascii="Times New Roman" w:hAnsi="Times New Roman"/>
          <w:b/>
          <w:bCs/>
          <w:color w:val="auto"/>
          <w:sz w:val="28"/>
          <w:szCs w:val="28"/>
          <w:lang w:val="kk-KZ"/>
        </w:rPr>
        <w:t xml:space="preserve">ценка </w:t>
      </w:r>
      <w:r w:rsidRPr="00145B66">
        <w:rPr>
          <w:rFonts w:ascii="Times New Roman" w:hAnsi="Times New Roman"/>
          <w:b/>
          <w:bCs/>
          <w:color w:val="auto"/>
          <w:sz w:val="28"/>
          <w:szCs w:val="28"/>
        </w:rPr>
        <w:t>эффективности реабилитационных мероприятий при функциональных осложнениях после радикальных операций по поводу злокачественных новообразований ободочной кишки</w:t>
      </w:r>
    </w:p>
    <w:p w14:paraId="59E6F905" w14:textId="77777777" w:rsidR="009C1019" w:rsidRPr="00145B66" w:rsidRDefault="009C1019" w:rsidP="009C1019">
      <w:pPr>
        <w:pStyle w:val="8"/>
        <w:spacing w:before="0" w:line="240" w:lineRule="auto"/>
        <w:jc w:val="center"/>
        <w:rPr>
          <w:rFonts w:ascii="Times New Roman" w:hAnsi="Times New Roman"/>
          <w:bCs/>
          <w:color w:val="auto"/>
          <w:sz w:val="28"/>
          <w:szCs w:val="28"/>
          <w:lang w:val="kk-KZ"/>
        </w:rPr>
      </w:pPr>
    </w:p>
    <w:p w14:paraId="0CEC1088" w14:textId="77777777" w:rsidR="009C1019" w:rsidRPr="00145B66" w:rsidRDefault="009C1019" w:rsidP="009C1019">
      <w:pPr>
        <w:pStyle w:val="8"/>
        <w:spacing w:before="0" w:line="240" w:lineRule="auto"/>
        <w:jc w:val="center"/>
        <w:rPr>
          <w:rFonts w:ascii="Times New Roman" w:hAnsi="Times New Roman"/>
          <w:bCs/>
          <w:color w:val="auto"/>
          <w:sz w:val="28"/>
          <w:szCs w:val="28"/>
          <w:lang w:val="kk-KZ"/>
        </w:rPr>
      </w:pPr>
    </w:p>
    <w:p w14:paraId="5742F178" w14:textId="77777777" w:rsidR="009C1019" w:rsidRPr="00145B66" w:rsidRDefault="009C1019" w:rsidP="009C1019">
      <w:pPr>
        <w:pStyle w:val="8"/>
        <w:spacing w:before="0" w:line="240" w:lineRule="auto"/>
        <w:jc w:val="center"/>
        <w:rPr>
          <w:rFonts w:ascii="Times New Roman" w:hAnsi="Times New Roman"/>
          <w:bCs/>
          <w:color w:val="auto"/>
          <w:sz w:val="28"/>
          <w:szCs w:val="28"/>
          <w:lang w:val="kk-KZ"/>
        </w:rPr>
      </w:pPr>
    </w:p>
    <w:p w14:paraId="3E366E0C" w14:textId="77777777" w:rsidR="009C1019" w:rsidRPr="00145B66" w:rsidRDefault="009C1019" w:rsidP="009C1019">
      <w:pPr>
        <w:pStyle w:val="8"/>
        <w:spacing w:before="0" w:line="240" w:lineRule="auto"/>
        <w:jc w:val="center"/>
        <w:rPr>
          <w:rFonts w:ascii="Times New Roman" w:hAnsi="Times New Roman"/>
          <w:bCs/>
          <w:color w:val="auto"/>
          <w:sz w:val="28"/>
          <w:szCs w:val="28"/>
          <w:lang w:val="kk-KZ"/>
        </w:rPr>
      </w:pPr>
      <w:r>
        <w:rPr>
          <w:rFonts w:ascii="Times New Roman" w:hAnsi="Times New Roman"/>
          <w:bCs/>
          <w:color w:val="auto"/>
          <w:sz w:val="28"/>
          <w:szCs w:val="28"/>
          <w:lang w:val="kk-KZ"/>
        </w:rPr>
        <w:t>6</w:t>
      </w:r>
      <w:r w:rsidRPr="00145B66">
        <w:rPr>
          <w:rFonts w:ascii="Times New Roman" w:hAnsi="Times New Roman"/>
          <w:bCs/>
          <w:color w:val="auto"/>
          <w:sz w:val="28"/>
          <w:szCs w:val="28"/>
          <w:lang w:val="en-US"/>
        </w:rPr>
        <w:t>D</w:t>
      </w:r>
      <w:r>
        <w:rPr>
          <w:rFonts w:ascii="Times New Roman" w:hAnsi="Times New Roman"/>
          <w:bCs/>
          <w:color w:val="auto"/>
          <w:sz w:val="28"/>
          <w:szCs w:val="28"/>
        </w:rPr>
        <w:t>110100</w:t>
      </w:r>
      <w:r w:rsidRPr="00145B66">
        <w:rPr>
          <w:rFonts w:ascii="Times New Roman" w:hAnsi="Times New Roman"/>
          <w:bCs/>
          <w:color w:val="auto"/>
          <w:sz w:val="28"/>
          <w:szCs w:val="28"/>
          <w:lang w:val="kk-KZ"/>
        </w:rPr>
        <w:t xml:space="preserve"> – Медицина</w:t>
      </w:r>
    </w:p>
    <w:p w14:paraId="492899F3" w14:textId="77777777" w:rsidR="009C1019" w:rsidRPr="00145B66" w:rsidRDefault="009C1019" w:rsidP="009C1019">
      <w:pPr>
        <w:spacing w:after="0" w:line="240" w:lineRule="auto"/>
        <w:jc w:val="center"/>
        <w:rPr>
          <w:rFonts w:ascii="Times New Roman" w:hAnsi="Times New Roman"/>
          <w:sz w:val="28"/>
          <w:szCs w:val="28"/>
        </w:rPr>
      </w:pPr>
    </w:p>
    <w:p w14:paraId="35A6E614" w14:textId="77777777" w:rsidR="009C1019" w:rsidRPr="00145B66" w:rsidRDefault="009C1019" w:rsidP="009C1019">
      <w:pPr>
        <w:spacing w:after="0" w:line="240" w:lineRule="auto"/>
        <w:jc w:val="center"/>
        <w:rPr>
          <w:rFonts w:ascii="Times New Roman" w:hAnsi="Times New Roman"/>
          <w:sz w:val="28"/>
          <w:szCs w:val="28"/>
        </w:rPr>
      </w:pPr>
    </w:p>
    <w:p w14:paraId="5ED56F32" w14:textId="77777777" w:rsidR="009C1019" w:rsidRPr="00145B66" w:rsidRDefault="009C1019" w:rsidP="009C1019">
      <w:pPr>
        <w:spacing w:after="0" w:line="240" w:lineRule="auto"/>
        <w:jc w:val="center"/>
        <w:rPr>
          <w:rFonts w:ascii="Times New Roman" w:hAnsi="Times New Roman"/>
          <w:sz w:val="28"/>
          <w:szCs w:val="28"/>
        </w:rPr>
      </w:pPr>
    </w:p>
    <w:p w14:paraId="3D17BA84" w14:textId="77777777" w:rsidR="009C1019" w:rsidRPr="00145B66" w:rsidRDefault="009C1019" w:rsidP="009C1019">
      <w:pPr>
        <w:spacing w:after="0" w:line="240" w:lineRule="auto"/>
        <w:jc w:val="center"/>
        <w:rPr>
          <w:rFonts w:ascii="Times New Roman" w:hAnsi="Times New Roman"/>
          <w:sz w:val="28"/>
          <w:szCs w:val="28"/>
        </w:rPr>
      </w:pPr>
      <w:r w:rsidRPr="00145B66">
        <w:rPr>
          <w:rFonts w:ascii="Times New Roman" w:hAnsi="Times New Roman"/>
          <w:sz w:val="28"/>
          <w:szCs w:val="28"/>
        </w:rPr>
        <w:t xml:space="preserve">Диссертация на соискание степени </w:t>
      </w:r>
    </w:p>
    <w:p w14:paraId="525B1C44" w14:textId="77777777" w:rsidR="009C1019" w:rsidRPr="00145B66" w:rsidRDefault="009C1019" w:rsidP="009C1019">
      <w:pPr>
        <w:spacing w:after="0" w:line="240" w:lineRule="auto"/>
        <w:jc w:val="center"/>
        <w:rPr>
          <w:rFonts w:ascii="Times New Roman" w:hAnsi="Times New Roman"/>
          <w:sz w:val="28"/>
          <w:szCs w:val="28"/>
        </w:rPr>
      </w:pPr>
      <w:proofErr w:type="gramStart"/>
      <w:r w:rsidRPr="00145B66">
        <w:rPr>
          <w:rFonts w:ascii="Times New Roman" w:hAnsi="Times New Roman"/>
          <w:sz w:val="28"/>
          <w:szCs w:val="28"/>
        </w:rPr>
        <w:t>доктора</w:t>
      </w:r>
      <w:proofErr w:type="gramEnd"/>
      <w:r w:rsidRPr="00145B66">
        <w:rPr>
          <w:rFonts w:ascii="Times New Roman" w:hAnsi="Times New Roman"/>
          <w:sz w:val="28"/>
          <w:szCs w:val="28"/>
        </w:rPr>
        <w:t xml:space="preserve"> философии </w:t>
      </w:r>
      <w:r w:rsidRPr="00145B66">
        <w:rPr>
          <w:rFonts w:ascii="Times New Roman" w:hAnsi="Times New Roman"/>
          <w:sz w:val="28"/>
          <w:szCs w:val="28"/>
          <w:lang w:val="en-US"/>
        </w:rPr>
        <w:t>PhD</w:t>
      </w:r>
    </w:p>
    <w:p w14:paraId="0C582D08" w14:textId="77777777" w:rsidR="009C1019" w:rsidRPr="00145B66" w:rsidRDefault="009C1019" w:rsidP="009C1019">
      <w:pPr>
        <w:spacing w:after="0" w:line="240" w:lineRule="auto"/>
        <w:jc w:val="right"/>
        <w:rPr>
          <w:rFonts w:ascii="Times New Roman" w:hAnsi="Times New Roman"/>
          <w:sz w:val="28"/>
          <w:szCs w:val="28"/>
        </w:rPr>
      </w:pPr>
    </w:p>
    <w:p w14:paraId="2DC43498" w14:textId="77777777" w:rsidR="009C1019" w:rsidRPr="00145B66" w:rsidRDefault="009C1019" w:rsidP="009C1019">
      <w:pPr>
        <w:spacing w:after="0" w:line="240" w:lineRule="auto"/>
        <w:jc w:val="right"/>
        <w:rPr>
          <w:rFonts w:ascii="Times New Roman" w:hAnsi="Times New Roman"/>
          <w:sz w:val="28"/>
          <w:szCs w:val="28"/>
        </w:rPr>
      </w:pPr>
    </w:p>
    <w:p w14:paraId="5B2276E5" w14:textId="77777777" w:rsidR="009C1019" w:rsidRPr="00145B66" w:rsidRDefault="009C1019" w:rsidP="009C1019">
      <w:pPr>
        <w:spacing w:after="0" w:line="240" w:lineRule="auto"/>
        <w:jc w:val="right"/>
        <w:rPr>
          <w:rFonts w:ascii="Times New Roman" w:hAnsi="Times New Roman"/>
          <w:sz w:val="28"/>
          <w:szCs w:val="28"/>
        </w:rPr>
      </w:pPr>
    </w:p>
    <w:p w14:paraId="54381A90" w14:textId="77777777" w:rsidR="009C1019" w:rsidRPr="00145B66" w:rsidRDefault="009C1019" w:rsidP="009C1019">
      <w:pPr>
        <w:spacing w:after="0" w:line="240" w:lineRule="auto"/>
        <w:ind w:left="4820"/>
        <w:rPr>
          <w:rFonts w:ascii="Times New Roman" w:hAnsi="Times New Roman"/>
          <w:sz w:val="28"/>
          <w:szCs w:val="28"/>
        </w:rPr>
      </w:pPr>
      <w:r w:rsidRPr="00145B66">
        <w:rPr>
          <w:rFonts w:ascii="Times New Roman" w:hAnsi="Times New Roman"/>
          <w:sz w:val="28"/>
          <w:szCs w:val="28"/>
        </w:rPr>
        <w:t xml:space="preserve">Научный </w:t>
      </w:r>
      <w:r>
        <w:rPr>
          <w:rFonts w:ascii="Times New Roman" w:hAnsi="Times New Roman"/>
          <w:sz w:val="28"/>
          <w:szCs w:val="28"/>
        </w:rPr>
        <w:t>консультант:</w:t>
      </w:r>
    </w:p>
    <w:p w14:paraId="075FEB52" w14:textId="77777777" w:rsidR="009C1019" w:rsidRDefault="009C1019" w:rsidP="009C1019">
      <w:pPr>
        <w:spacing w:after="0" w:line="240" w:lineRule="auto"/>
        <w:ind w:left="5103"/>
        <w:rPr>
          <w:rFonts w:ascii="Times New Roman" w:hAnsi="Times New Roman"/>
          <w:sz w:val="28"/>
          <w:szCs w:val="28"/>
        </w:rPr>
      </w:pPr>
      <w:proofErr w:type="gramStart"/>
      <w:r w:rsidRPr="00145B66">
        <w:rPr>
          <w:rFonts w:ascii="Times New Roman" w:hAnsi="Times New Roman"/>
          <w:sz w:val="28"/>
          <w:szCs w:val="28"/>
        </w:rPr>
        <w:t>доктор</w:t>
      </w:r>
      <w:proofErr w:type="gramEnd"/>
      <w:r w:rsidRPr="00145B66">
        <w:rPr>
          <w:rFonts w:ascii="Times New Roman" w:hAnsi="Times New Roman"/>
          <w:sz w:val="28"/>
          <w:szCs w:val="28"/>
        </w:rPr>
        <w:t xml:space="preserve"> медицинских наук,</w:t>
      </w:r>
    </w:p>
    <w:p w14:paraId="05D35693" w14:textId="77777777" w:rsidR="009C1019" w:rsidRPr="00145B66" w:rsidRDefault="009C1019" w:rsidP="009C1019">
      <w:pPr>
        <w:spacing w:after="0" w:line="240" w:lineRule="auto"/>
        <w:ind w:left="5103"/>
        <w:rPr>
          <w:rFonts w:ascii="Times New Roman" w:hAnsi="Times New Roman"/>
          <w:sz w:val="28"/>
          <w:szCs w:val="28"/>
        </w:rPr>
      </w:pPr>
      <w:proofErr w:type="gramStart"/>
      <w:r w:rsidRPr="00145B66">
        <w:rPr>
          <w:rFonts w:ascii="Times New Roman" w:hAnsi="Times New Roman"/>
          <w:sz w:val="28"/>
          <w:szCs w:val="28"/>
        </w:rPr>
        <w:t>профессор</w:t>
      </w:r>
      <w:proofErr w:type="gramEnd"/>
      <w:r>
        <w:rPr>
          <w:rFonts w:ascii="Times New Roman" w:hAnsi="Times New Roman"/>
          <w:sz w:val="28"/>
          <w:szCs w:val="28"/>
        </w:rPr>
        <w:t xml:space="preserve"> </w:t>
      </w:r>
      <w:r w:rsidRPr="00145B66">
        <w:rPr>
          <w:rFonts w:ascii="Times New Roman" w:hAnsi="Times New Roman"/>
          <w:sz w:val="28"/>
          <w:szCs w:val="28"/>
        </w:rPr>
        <w:t xml:space="preserve">А.К. Макишев </w:t>
      </w:r>
    </w:p>
    <w:p w14:paraId="17ACF835" w14:textId="77777777" w:rsidR="009C1019" w:rsidRPr="00EC08CD" w:rsidRDefault="009C1019" w:rsidP="009C1019">
      <w:pPr>
        <w:spacing w:after="0" w:line="240" w:lineRule="auto"/>
        <w:ind w:left="4820"/>
        <w:rPr>
          <w:rFonts w:ascii="Times New Roman" w:hAnsi="Times New Roman"/>
          <w:sz w:val="16"/>
          <w:szCs w:val="16"/>
        </w:rPr>
      </w:pPr>
    </w:p>
    <w:p w14:paraId="61BAC293" w14:textId="77777777" w:rsidR="009C1019" w:rsidRPr="00145B66" w:rsidRDefault="009C1019" w:rsidP="009C1019">
      <w:pPr>
        <w:spacing w:after="0" w:line="240" w:lineRule="auto"/>
        <w:ind w:left="4820"/>
        <w:rPr>
          <w:rFonts w:ascii="Times New Roman" w:hAnsi="Times New Roman"/>
          <w:sz w:val="28"/>
          <w:szCs w:val="28"/>
        </w:rPr>
      </w:pPr>
      <w:r w:rsidRPr="00145B66">
        <w:rPr>
          <w:rFonts w:ascii="Times New Roman" w:hAnsi="Times New Roman"/>
          <w:sz w:val="28"/>
          <w:szCs w:val="28"/>
        </w:rPr>
        <w:t>Зарубежный консультант</w:t>
      </w:r>
      <w:r>
        <w:rPr>
          <w:rFonts w:ascii="Times New Roman" w:hAnsi="Times New Roman"/>
          <w:sz w:val="28"/>
          <w:szCs w:val="28"/>
        </w:rPr>
        <w:t>:</w:t>
      </w:r>
    </w:p>
    <w:p w14:paraId="54C75984" w14:textId="77777777" w:rsidR="009C1019" w:rsidRDefault="009C1019" w:rsidP="009C1019">
      <w:pPr>
        <w:spacing w:after="0" w:line="240" w:lineRule="auto"/>
        <w:ind w:left="5103"/>
        <w:rPr>
          <w:rFonts w:ascii="Times New Roman" w:hAnsi="Times New Roman"/>
          <w:sz w:val="28"/>
          <w:szCs w:val="28"/>
        </w:rPr>
      </w:pPr>
      <w:r w:rsidRPr="00145B66">
        <w:rPr>
          <w:rFonts w:ascii="Times New Roman" w:hAnsi="Times New Roman"/>
          <w:sz w:val="28"/>
          <w:szCs w:val="28"/>
        </w:rPr>
        <w:t>М</w:t>
      </w:r>
      <w:r w:rsidRPr="00145B66">
        <w:rPr>
          <w:rFonts w:ascii="Times New Roman" w:hAnsi="Times New Roman"/>
          <w:sz w:val="28"/>
          <w:szCs w:val="28"/>
          <w:lang w:val="en-US"/>
        </w:rPr>
        <w:t>D</w:t>
      </w:r>
      <w:r w:rsidRPr="00145B66">
        <w:rPr>
          <w:rFonts w:ascii="Times New Roman" w:hAnsi="Times New Roman"/>
          <w:sz w:val="28"/>
          <w:szCs w:val="28"/>
        </w:rPr>
        <w:t xml:space="preserve">, </w:t>
      </w:r>
      <w:r w:rsidRPr="00145B66">
        <w:rPr>
          <w:rFonts w:ascii="Times New Roman" w:hAnsi="Times New Roman"/>
          <w:sz w:val="28"/>
          <w:szCs w:val="28"/>
          <w:lang w:val="en-US"/>
        </w:rPr>
        <w:t>PhD</w:t>
      </w:r>
      <w:r w:rsidRPr="00145B66">
        <w:rPr>
          <w:rFonts w:ascii="Times New Roman" w:hAnsi="Times New Roman"/>
          <w:sz w:val="28"/>
          <w:szCs w:val="28"/>
        </w:rPr>
        <w:t xml:space="preserve">, </w:t>
      </w:r>
    </w:p>
    <w:p w14:paraId="7EC20E2B" w14:textId="77777777" w:rsidR="009C1019" w:rsidRPr="00145B66" w:rsidRDefault="009C1019" w:rsidP="009C1019">
      <w:pPr>
        <w:spacing w:after="0" w:line="240" w:lineRule="auto"/>
        <w:ind w:left="5103"/>
        <w:rPr>
          <w:rFonts w:ascii="Times New Roman" w:hAnsi="Times New Roman"/>
          <w:sz w:val="28"/>
          <w:szCs w:val="28"/>
        </w:rPr>
      </w:pPr>
      <w:r w:rsidRPr="00145B66">
        <w:rPr>
          <w:rFonts w:ascii="Times New Roman" w:hAnsi="Times New Roman"/>
          <w:sz w:val="28"/>
          <w:szCs w:val="28"/>
          <w:lang w:val="en-US"/>
        </w:rPr>
        <w:t>Professor</w:t>
      </w:r>
      <w:r>
        <w:rPr>
          <w:rFonts w:ascii="Times New Roman" w:hAnsi="Times New Roman"/>
          <w:sz w:val="28"/>
          <w:szCs w:val="28"/>
        </w:rPr>
        <w:t xml:space="preserve"> </w:t>
      </w:r>
      <w:r w:rsidRPr="00145B66">
        <w:rPr>
          <w:rFonts w:ascii="Times New Roman" w:hAnsi="Times New Roman"/>
          <w:sz w:val="28"/>
          <w:szCs w:val="28"/>
          <w:lang w:val="en-US"/>
        </w:rPr>
        <w:t>Yoshihiro</w:t>
      </w:r>
      <w:r w:rsidRPr="00145B66">
        <w:rPr>
          <w:rFonts w:ascii="Times New Roman" w:hAnsi="Times New Roman"/>
          <w:sz w:val="28"/>
          <w:szCs w:val="28"/>
        </w:rPr>
        <w:t xml:space="preserve"> </w:t>
      </w:r>
      <w:r w:rsidRPr="00145B66">
        <w:rPr>
          <w:rFonts w:ascii="Times New Roman" w:hAnsi="Times New Roman"/>
          <w:sz w:val="28"/>
          <w:szCs w:val="28"/>
          <w:lang w:val="en-US"/>
        </w:rPr>
        <w:t>Noso</w:t>
      </w:r>
      <w:r w:rsidRPr="00145B66">
        <w:rPr>
          <w:rFonts w:ascii="Times New Roman" w:hAnsi="Times New Roman"/>
          <w:sz w:val="28"/>
          <w:szCs w:val="28"/>
        </w:rPr>
        <w:t xml:space="preserve">  </w:t>
      </w:r>
    </w:p>
    <w:p w14:paraId="75A67311" w14:textId="77777777" w:rsidR="009C1019" w:rsidRPr="00145B66" w:rsidRDefault="009C1019" w:rsidP="009C1019">
      <w:pPr>
        <w:spacing w:after="0" w:line="240" w:lineRule="auto"/>
        <w:ind w:left="4820"/>
        <w:rPr>
          <w:rFonts w:ascii="Times New Roman" w:hAnsi="Times New Roman"/>
          <w:sz w:val="28"/>
          <w:szCs w:val="28"/>
        </w:rPr>
      </w:pPr>
    </w:p>
    <w:p w14:paraId="0D993F4D" w14:textId="77777777" w:rsidR="009C1019" w:rsidRPr="00145B66" w:rsidRDefault="009C1019" w:rsidP="009C1019">
      <w:pPr>
        <w:spacing w:after="0" w:line="240" w:lineRule="auto"/>
        <w:jc w:val="center"/>
        <w:rPr>
          <w:rFonts w:ascii="Times New Roman" w:hAnsi="Times New Roman"/>
          <w:sz w:val="28"/>
          <w:szCs w:val="28"/>
        </w:rPr>
      </w:pPr>
    </w:p>
    <w:p w14:paraId="4B1E24A5" w14:textId="77777777" w:rsidR="009C1019" w:rsidRPr="00145B66" w:rsidRDefault="009C1019" w:rsidP="009C1019">
      <w:pPr>
        <w:spacing w:after="0" w:line="240" w:lineRule="auto"/>
        <w:jc w:val="center"/>
        <w:rPr>
          <w:rFonts w:ascii="Times New Roman" w:hAnsi="Times New Roman"/>
          <w:sz w:val="28"/>
          <w:szCs w:val="28"/>
        </w:rPr>
      </w:pPr>
    </w:p>
    <w:p w14:paraId="5E70A635" w14:textId="77777777" w:rsidR="009C1019" w:rsidRPr="00145B66" w:rsidRDefault="009C1019" w:rsidP="009C1019">
      <w:pPr>
        <w:spacing w:after="0" w:line="240" w:lineRule="auto"/>
        <w:jc w:val="center"/>
        <w:rPr>
          <w:rFonts w:ascii="Times New Roman" w:hAnsi="Times New Roman"/>
          <w:sz w:val="28"/>
          <w:szCs w:val="28"/>
        </w:rPr>
      </w:pPr>
    </w:p>
    <w:p w14:paraId="22A5180C" w14:textId="77777777" w:rsidR="009C1019" w:rsidRPr="00145B66" w:rsidRDefault="009C1019" w:rsidP="009C1019">
      <w:pPr>
        <w:spacing w:after="0" w:line="240" w:lineRule="auto"/>
        <w:jc w:val="center"/>
        <w:rPr>
          <w:rFonts w:ascii="Times New Roman" w:hAnsi="Times New Roman"/>
          <w:sz w:val="28"/>
          <w:szCs w:val="28"/>
        </w:rPr>
      </w:pPr>
    </w:p>
    <w:p w14:paraId="1F9D163C" w14:textId="77777777" w:rsidR="009C1019" w:rsidRPr="00145B66" w:rsidRDefault="009C1019" w:rsidP="009C1019">
      <w:pPr>
        <w:spacing w:after="0" w:line="240" w:lineRule="auto"/>
        <w:jc w:val="center"/>
        <w:rPr>
          <w:rFonts w:ascii="Times New Roman" w:hAnsi="Times New Roman"/>
          <w:sz w:val="28"/>
          <w:szCs w:val="28"/>
        </w:rPr>
      </w:pPr>
    </w:p>
    <w:p w14:paraId="686AAC20" w14:textId="77777777" w:rsidR="009C1019" w:rsidRPr="00145B66" w:rsidRDefault="009C1019" w:rsidP="009C1019">
      <w:pPr>
        <w:spacing w:after="0" w:line="240" w:lineRule="auto"/>
        <w:jc w:val="center"/>
        <w:rPr>
          <w:rFonts w:ascii="Times New Roman" w:hAnsi="Times New Roman"/>
          <w:sz w:val="28"/>
          <w:szCs w:val="28"/>
        </w:rPr>
      </w:pPr>
      <w:r w:rsidRPr="00145B66">
        <w:rPr>
          <w:rFonts w:ascii="Times New Roman" w:hAnsi="Times New Roman"/>
          <w:sz w:val="28"/>
          <w:szCs w:val="28"/>
        </w:rPr>
        <w:t>Республика Казахстан</w:t>
      </w:r>
    </w:p>
    <w:p w14:paraId="5F5A2788" w14:textId="77777777" w:rsidR="009C1019" w:rsidRDefault="009C1019" w:rsidP="009C1019">
      <w:pPr>
        <w:spacing w:after="0" w:line="240" w:lineRule="auto"/>
        <w:jc w:val="center"/>
        <w:rPr>
          <w:rFonts w:ascii="Times New Roman" w:hAnsi="Times New Roman"/>
          <w:sz w:val="28"/>
          <w:szCs w:val="28"/>
        </w:rPr>
      </w:pPr>
      <w:r w:rsidRPr="00145B66">
        <w:rPr>
          <w:rFonts w:ascii="Times New Roman" w:hAnsi="Times New Roman"/>
          <w:sz w:val="28"/>
          <w:szCs w:val="28"/>
        </w:rPr>
        <w:t xml:space="preserve">Нур-Султан, </w:t>
      </w:r>
      <w:r>
        <w:rPr>
          <w:rFonts w:ascii="Times New Roman" w:hAnsi="Times New Roman"/>
          <w:sz w:val="28"/>
          <w:szCs w:val="28"/>
        </w:rPr>
        <w:t>2022</w:t>
      </w:r>
      <w:r>
        <w:rPr>
          <w:rFonts w:ascii="Times New Roman" w:hAnsi="Times New Roman"/>
          <w:sz w:val="28"/>
          <w:szCs w:val="28"/>
        </w:rPr>
        <w:br w:type="page"/>
      </w:r>
    </w:p>
    <w:p w14:paraId="20AB796E" w14:textId="77777777" w:rsidR="009C1019" w:rsidRPr="00145B66" w:rsidRDefault="009C1019" w:rsidP="009C1019">
      <w:pPr>
        <w:spacing w:after="0" w:line="240" w:lineRule="auto"/>
        <w:jc w:val="center"/>
        <w:rPr>
          <w:rFonts w:ascii="Times New Roman" w:hAnsi="Times New Roman"/>
          <w:b/>
          <w:sz w:val="28"/>
          <w:szCs w:val="28"/>
        </w:rPr>
      </w:pPr>
      <w:r w:rsidRPr="00145B66">
        <w:rPr>
          <w:rFonts w:ascii="Times New Roman" w:hAnsi="Times New Roman"/>
          <w:b/>
          <w:sz w:val="28"/>
          <w:szCs w:val="28"/>
        </w:rPr>
        <w:lastRenderedPageBreak/>
        <w:t xml:space="preserve">СОДЕРЖАНИЕ </w:t>
      </w:r>
    </w:p>
    <w:p w14:paraId="6D5E2F73" w14:textId="77777777" w:rsidR="009C1019" w:rsidRPr="00145B66" w:rsidRDefault="009C1019" w:rsidP="009C1019">
      <w:pPr>
        <w:spacing w:after="0" w:line="240" w:lineRule="auto"/>
        <w:jc w:val="center"/>
        <w:rPr>
          <w:rFonts w:ascii="Times New Roman" w:hAnsi="Times New Roman"/>
          <w:b/>
          <w:sz w:val="28"/>
          <w:szCs w:val="28"/>
        </w:rPr>
      </w:pPr>
    </w:p>
    <w:tbl>
      <w:tblPr>
        <w:tblW w:w="9819" w:type="dxa"/>
        <w:tblInd w:w="30" w:type="dxa"/>
        <w:tblLook w:val="04A0" w:firstRow="1" w:lastRow="0" w:firstColumn="1" w:lastColumn="0" w:noHBand="0" w:noVBand="1"/>
      </w:tblPr>
      <w:tblGrid>
        <w:gridCol w:w="776"/>
        <w:gridCol w:w="8432"/>
        <w:gridCol w:w="636"/>
      </w:tblGrid>
      <w:tr w:rsidR="009C1019" w:rsidRPr="00145B66" w14:paraId="32A05F77" w14:textId="77777777" w:rsidTr="007D0DA1">
        <w:trPr>
          <w:trHeight w:val="340"/>
        </w:trPr>
        <w:tc>
          <w:tcPr>
            <w:tcW w:w="9183" w:type="dxa"/>
            <w:gridSpan w:val="2"/>
            <w:shd w:val="clear" w:color="auto" w:fill="auto"/>
          </w:tcPr>
          <w:p w14:paraId="514F3B59" w14:textId="77777777" w:rsidR="009C1019" w:rsidRPr="00145B66" w:rsidRDefault="009C1019" w:rsidP="00094F6F">
            <w:pPr>
              <w:spacing w:after="0" w:line="240" w:lineRule="auto"/>
              <w:jc w:val="both"/>
              <w:rPr>
                <w:rFonts w:ascii="Times New Roman" w:hAnsi="Times New Roman"/>
                <w:sz w:val="28"/>
                <w:szCs w:val="28"/>
                <w:lang w:bidi="kn-IN"/>
              </w:rPr>
            </w:pPr>
            <w:r w:rsidRPr="00145B66">
              <w:rPr>
                <w:rFonts w:ascii="Times New Roman" w:hAnsi="Times New Roman"/>
                <w:b/>
                <w:sz w:val="28"/>
                <w:szCs w:val="28"/>
                <w:lang w:bidi="kn-IN"/>
              </w:rPr>
              <w:t>НОРМАТИВНЫЕ ССЫЛКИ</w:t>
            </w:r>
            <w:r w:rsidRPr="00145B66">
              <w:rPr>
                <w:rFonts w:ascii="Times New Roman" w:hAnsi="Times New Roman"/>
                <w:sz w:val="28"/>
                <w:szCs w:val="28"/>
                <w:lang w:bidi="kn-IN"/>
              </w:rPr>
              <w:t>……………………………………………</w:t>
            </w:r>
            <w:r>
              <w:rPr>
                <w:rFonts w:ascii="Times New Roman" w:hAnsi="Times New Roman"/>
                <w:sz w:val="28"/>
                <w:szCs w:val="28"/>
                <w:lang w:bidi="kn-IN"/>
              </w:rPr>
              <w:t>...</w:t>
            </w:r>
            <w:r w:rsidRPr="00145B66">
              <w:rPr>
                <w:rFonts w:ascii="Times New Roman" w:hAnsi="Times New Roman"/>
                <w:sz w:val="28"/>
                <w:szCs w:val="28"/>
                <w:lang w:bidi="kn-IN"/>
              </w:rPr>
              <w:t>...</w:t>
            </w:r>
          </w:p>
        </w:tc>
        <w:tc>
          <w:tcPr>
            <w:tcW w:w="636" w:type="dxa"/>
            <w:shd w:val="clear" w:color="auto" w:fill="auto"/>
          </w:tcPr>
          <w:p w14:paraId="67A4A6D0" w14:textId="77777777" w:rsidR="009C1019" w:rsidRPr="00145B66"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4</w:t>
            </w:r>
          </w:p>
        </w:tc>
      </w:tr>
      <w:tr w:rsidR="009C1019" w:rsidRPr="00145B66" w14:paraId="395AC542" w14:textId="77777777" w:rsidTr="007D0DA1">
        <w:trPr>
          <w:trHeight w:val="340"/>
        </w:trPr>
        <w:tc>
          <w:tcPr>
            <w:tcW w:w="9183" w:type="dxa"/>
            <w:gridSpan w:val="2"/>
            <w:shd w:val="clear" w:color="auto" w:fill="auto"/>
          </w:tcPr>
          <w:p w14:paraId="4D7B3345" w14:textId="77777777" w:rsidR="009C1019" w:rsidRPr="00145B66" w:rsidRDefault="009C1019" w:rsidP="00094F6F">
            <w:pPr>
              <w:spacing w:after="0" w:line="240" w:lineRule="auto"/>
              <w:jc w:val="both"/>
              <w:rPr>
                <w:rFonts w:ascii="Times New Roman" w:hAnsi="Times New Roman"/>
                <w:sz w:val="28"/>
                <w:szCs w:val="28"/>
                <w:lang w:bidi="kn-IN"/>
              </w:rPr>
            </w:pPr>
            <w:r w:rsidRPr="00145B66">
              <w:rPr>
                <w:rFonts w:ascii="Times New Roman" w:hAnsi="Times New Roman"/>
                <w:b/>
                <w:sz w:val="28"/>
                <w:szCs w:val="28"/>
                <w:lang w:bidi="kn-IN"/>
              </w:rPr>
              <w:t>ОПРЕДЕЛЕНИЯ</w:t>
            </w:r>
            <w:r w:rsidRPr="00145B66">
              <w:rPr>
                <w:rFonts w:ascii="Times New Roman" w:hAnsi="Times New Roman"/>
                <w:sz w:val="28"/>
                <w:szCs w:val="28"/>
                <w:lang w:bidi="kn-IN"/>
              </w:rPr>
              <w:t>………………………………………………………………</w:t>
            </w:r>
          </w:p>
        </w:tc>
        <w:tc>
          <w:tcPr>
            <w:tcW w:w="636" w:type="dxa"/>
            <w:shd w:val="clear" w:color="auto" w:fill="auto"/>
          </w:tcPr>
          <w:p w14:paraId="0A6AAC25" w14:textId="77777777" w:rsidR="009C1019" w:rsidRPr="00145B66"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5</w:t>
            </w:r>
          </w:p>
        </w:tc>
      </w:tr>
      <w:tr w:rsidR="009C1019" w:rsidRPr="00145B66" w14:paraId="31CEB62C" w14:textId="77777777" w:rsidTr="007D0DA1">
        <w:trPr>
          <w:trHeight w:val="340"/>
        </w:trPr>
        <w:tc>
          <w:tcPr>
            <w:tcW w:w="9183" w:type="dxa"/>
            <w:gridSpan w:val="2"/>
            <w:shd w:val="clear" w:color="auto" w:fill="auto"/>
          </w:tcPr>
          <w:p w14:paraId="6A4E4932" w14:textId="77777777" w:rsidR="009C1019" w:rsidRPr="00145B66" w:rsidRDefault="009C1019" w:rsidP="00094F6F">
            <w:pPr>
              <w:spacing w:after="0" w:line="240" w:lineRule="auto"/>
              <w:jc w:val="both"/>
              <w:rPr>
                <w:rFonts w:ascii="Times New Roman" w:hAnsi="Times New Roman"/>
                <w:sz w:val="28"/>
                <w:szCs w:val="28"/>
                <w:lang w:bidi="kn-IN"/>
              </w:rPr>
            </w:pPr>
            <w:r w:rsidRPr="00145B66">
              <w:rPr>
                <w:rFonts w:ascii="Times New Roman" w:hAnsi="Times New Roman"/>
                <w:b/>
                <w:sz w:val="28"/>
                <w:szCs w:val="28"/>
                <w:lang w:bidi="kn-IN"/>
              </w:rPr>
              <w:t>ОБОЗНАЧЕНИЯ И СОКРАЩЕНИЯ</w:t>
            </w:r>
            <w:r w:rsidRPr="00145B66">
              <w:rPr>
                <w:rFonts w:ascii="Times New Roman" w:hAnsi="Times New Roman"/>
                <w:sz w:val="28"/>
                <w:szCs w:val="28"/>
                <w:lang w:bidi="kn-IN"/>
              </w:rPr>
              <w:t>………………………………....</w:t>
            </w:r>
            <w:r>
              <w:rPr>
                <w:rFonts w:ascii="Times New Roman" w:hAnsi="Times New Roman"/>
                <w:sz w:val="28"/>
                <w:szCs w:val="28"/>
                <w:lang w:bidi="kn-IN"/>
              </w:rPr>
              <w:t>...</w:t>
            </w:r>
            <w:r w:rsidRPr="00145B66">
              <w:rPr>
                <w:rFonts w:ascii="Times New Roman" w:hAnsi="Times New Roman"/>
                <w:sz w:val="28"/>
                <w:szCs w:val="28"/>
                <w:lang w:bidi="kn-IN"/>
              </w:rPr>
              <w:t>.....</w:t>
            </w:r>
          </w:p>
        </w:tc>
        <w:tc>
          <w:tcPr>
            <w:tcW w:w="636" w:type="dxa"/>
            <w:shd w:val="clear" w:color="auto" w:fill="auto"/>
          </w:tcPr>
          <w:p w14:paraId="585AE34C" w14:textId="77777777" w:rsidR="009C1019" w:rsidRPr="00145B66"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6</w:t>
            </w:r>
          </w:p>
        </w:tc>
      </w:tr>
      <w:tr w:rsidR="009C1019" w:rsidRPr="00145B66" w14:paraId="36D4CE83" w14:textId="77777777" w:rsidTr="007D0DA1">
        <w:trPr>
          <w:trHeight w:val="340"/>
        </w:trPr>
        <w:tc>
          <w:tcPr>
            <w:tcW w:w="9183" w:type="dxa"/>
            <w:gridSpan w:val="2"/>
            <w:shd w:val="clear" w:color="auto" w:fill="auto"/>
          </w:tcPr>
          <w:p w14:paraId="622F8E79" w14:textId="77777777" w:rsidR="009C1019" w:rsidRPr="00145B66" w:rsidRDefault="009C1019" w:rsidP="00094F6F">
            <w:pPr>
              <w:spacing w:after="0" w:line="240" w:lineRule="auto"/>
              <w:jc w:val="both"/>
              <w:rPr>
                <w:rFonts w:ascii="Times New Roman" w:hAnsi="Times New Roman"/>
                <w:sz w:val="28"/>
                <w:szCs w:val="28"/>
                <w:lang w:bidi="kn-IN"/>
              </w:rPr>
            </w:pPr>
            <w:r w:rsidRPr="00145B66">
              <w:rPr>
                <w:rFonts w:ascii="Times New Roman" w:hAnsi="Times New Roman"/>
                <w:b/>
                <w:sz w:val="28"/>
                <w:szCs w:val="28"/>
                <w:lang w:bidi="kn-IN"/>
              </w:rPr>
              <w:t>ВВЕДЕНИЕ</w:t>
            </w:r>
            <w:r w:rsidRPr="00145B66">
              <w:rPr>
                <w:rFonts w:ascii="Times New Roman" w:hAnsi="Times New Roman"/>
                <w:sz w:val="28"/>
                <w:szCs w:val="28"/>
                <w:lang w:bidi="kn-IN"/>
              </w:rPr>
              <w:t>…………………………………………………………………….</w:t>
            </w:r>
          </w:p>
        </w:tc>
        <w:tc>
          <w:tcPr>
            <w:tcW w:w="636" w:type="dxa"/>
            <w:shd w:val="clear" w:color="auto" w:fill="auto"/>
          </w:tcPr>
          <w:p w14:paraId="5579A5A7" w14:textId="77777777" w:rsidR="009C1019" w:rsidRPr="00145B66"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7</w:t>
            </w:r>
          </w:p>
        </w:tc>
      </w:tr>
      <w:tr w:rsidR="009C1019" w:rsidRPr="00145B66" w14:paraId="029EEE2D" w14:textId="77777777" w:rsidTr="007D0DA1">
        <w:trPr>
          <w:trHeight w:val="340"/>
        </w:trPr>
        <w:tc>
          <w:tcPr>
            <w:tcW w:w="9183" w:type="dxa"/>
            <w:gridSpan w:val="2"/>
            <w:shd w:val="clear" w:color="auto" w:fill="auto"/>
          </w:tcPr>
          <w:p w14:paraId="1D033F13" w14:textId="77777777" w:rsidR="009C1019" w:rsidRPr="00145B66" w:rsidRDefault="009C1019" w:rsidP="00094F6F">
            <w:pPr>
              <w:spacing w:after="0" w:line="240" w:lineRule="auto"/>
              <w:jc w:val="both"/>
              <w:rPr>
                <w:rFonts w:ascii="Times New Roman" w:hAnsi="Times New Roman"/>
                <w:sz w:val="28"/>
                <w:szCs w:val="28"/>
                <w:lang w:bidi="kn-IN"/>
              </w:rPr>
            </w:pPr>
            <w:r w:rsidRPr="00145B66">
              <w:rPr>
                <w:rFonts w:ascii="Times New Roman" w:hAnsi="Times New Roman"/>
                <w:b/>
                <w:sz w:val="28"/>
                <w:szCs w:val="28"/>
                <w:lang w:bidi="kn-IN"/>
              </w:rPr>
              <w:t xml:space="preserve">1 </w:t>
            </w:r>
            <w:r w:rsidRPr="00C810FB">
              <w:rPr>
                <w:rFonts w:ascii="Times New Roman" w:hAnsi="Times New Roman"/>
                <w:b/>
                <w:sz w:val="28"/>
                <w:szCs w:val="28"/>
                <w:lang w:bidi="kn-IN"/>
              </w:rPr>
              <w:t>РАК ОБОДОЧНОЙ КИШКИ: эпидемиология, хирургическое лечение, прогностические факторы исходов радикального лечения, патогенез возникающих осложнений (ОБЗОР ЛИТЕРАТУРЫ</w:t>
            </w:r>
            <w:r w:rsidRPr="00145B66">
              <w:rPr>
                <w:rFonts w:ascii="Times New Roman" w:hAnsi="Times New Roman"/>
                <w:b/>
                <w:sz w:val="28"/>
                <w:szCs w:val="28"/>
                <w:lang w:bidi="kn-IN"/>
              </w:rPr>
              <w:t>)</w:t>
            </w:r>
            <w:r w:rsidRPr="00145B66">
              <w:rPr>
                <w:rFonts w:ascii="Times New Roman" w:hAnsi="Times New Roman"/>
                <w:sz w:val="28"/>
                <w:szCs w:val="28"/>
                <w:lang w:bidi="kn-IN"/>
              </w:rPr>
              <w:t xml:space="preserve"> .............</w:t>
            </w:r>
          </w:p>
        </w:tc>
        <w:tc>
          <w:tcPr>
            <w:tcW w:w="636" w:type="dxa"/>
            <w:shd w:val="clear" w:color="auto" w:fill="auto"/>
          </w:tcPr>
          <w:p w14:paraId="20977A52" w14:textId="77777777" w:rsidR="009C1019" w:rsidRPr="00145B66" w:rsidRDefault="009C1019" w:rsidP="00094F6F">
            <w:pPr>
              <w:spacing w:after="0" w:line="240" w:lineRule="auto"/>
              <w:rPr>
                <w:rFonts w:ascii="Times New Roman" w:hAnsi="Times New Roman"/>
                <w:sz w:val="28"/>
                <w:szCs w:val="28"/>
                <w:lang w:bidi="kn-IN"/>
              </w:rPr>
            </w:pPr>
          </w:p>
          <w:p w14:paraId="6E3C5B07" w14:textId="77777777" w:rsidR="009C1019" w:rsidRPr="00145B66" w:rsidRDefault="009C1019" w:rsidP="00094F6F">
            <w:pPr>
              <w:spacing w:after="0" w:line="240" w:lineRule="auto"/>
              <w:rPr>
                <w:rFonts w:ascii="Times New Roman" w:hAnsi="Times New Roman"/>
                <w:sz w:val="28"/>
                <w:szCs w:val="28"/>
                <w:lang w:bidi="kn-IN"/>
              </w:rPr>
            </w:pPr>
          </w:p>
          <w:p w14:paraId="1C7D0113" w14:textId="77777777" w:rsidR="009C1019" w:rsidRPr="00145B66"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1</w:t>
            </w:r>
            <w:r>
              <w:rPr>
                <w:rFonts w:ascii="Times New Roman" w:hAnsi="Times New Roman"/>
                <w:sz w:val="28"/>
                <w:szCs w:val="28"/>
                <w:lang w:bidi="kn-IN"/>
              </w:rPr>
              <w:t>1</w:t>
            </w:r>
          </w:p>
        </w:tc>
      </w:tr>
      <w:tr w:rsidR="009C1019" w:rsidRPr="00145B66" w14:paraId="16CCF641" w14:textId="77777777" w:rsidTr="007D0DA1">
        <w:trPr>
          <w:trHeight w:val="340"/>
        </w:trPr>
        <w:tc>
          <w:tcPr>
            <w:tcW w:w="776" w:type="dxa"/>
            <w:shd w:val="clear" w:color="auto" w:fill="auto"/>
          </w:tcPr>
          <w:p w14:paraId="2623F7A3" w14:textId="77777777" w:rsidR="009C1019" w:rsidRPr="00145B66" w:rsidRDefault="009C1019" w:rsidP="00094F6F">
            <w:pPr>
              <w:spacing w:after="0" w:line="240" w:lineRule="auto"/>
              <w:jc w:val="center"/>
              <w:rPr>
                <w:rFonts w:ascii="Times New Roman" w:hAnsi="Times New Roman"/>
                <w:sz w:val="28"/>
                <w:szCs w:val="28"/>
                <w:lang w:bidi="kn-IN"/>
              </w:rPr>
            </w:pPr>
            <w:r w:rsidRPr="00145B66">
              <w:rPr>
                <w:rFonts w:ascii="Times New Roman" w:hAnsi="Times New Roman"/>
                <w:sz w:val="28"/>
                <w:szCs w:val="28"/>
                <w:lang w:bidi="kn-IN"/>
              </w:rPr>
              <w:t>1.1</w:t>
            </w:r>
          </w:p>
        </w:tc>
        <w:tc>
          <w:tcPr>
            <w:tcW w:w="8407" w:type="dxa"/>
            <w:shd w:val="clear" w:color="auto" w:fill="auto"/>
          </w:tcPr>
          <w:p w14:paraId="4CDFE00A" w14:textId="77777777" w:rsidR="009C1019" w:rsidRPr="00145B66" w:rsidRDefault="009C1019" w:rsidP="00094F6F">
            <w:pPr>
              <w:spacing w:after="0" w:line="240" w:lineRule="auto"/>
              <w:jc w:val="both"/>
              <w:rPr>
                <w:rFonts w:ascii="Times New Roman" w:hAnsi="Times New Roman"/>
                <w:sz w:val="28"/>
                <w:szCs w:val="28"/>
                <w:lang w:bidi="kn-IN"/>
              </w:rPr>
            </w:pPr>
            <w:r w:rsidRPr="00145B66">
              <w:rPr>
                <w:rFonts w:ascii="Times New Roman" w:hAnsi="Times New Roman"/>
                <w:bCs/>
                <w:sz w:val="28"/>
                <w:szCs w:val="28"/>
                <w:lang w:bidi="kn-IN"/>
              </w:rPr>
              <w:t>Эпидемиология злокачественных новообразований ободочной кишки…………………………………………………………………….</w:t>
            </w:r>
          </w:p>
        </w:tc>
        <w:tc>
          <w:tcPr>
            <w:tcW w:w="636" w:type="dxa"/>
            <w:shd w:val="clear" w:color="auto" w:fill="auto"/>
          </w:tcPr>
          <w:p w14:paraId="43A2B67A" w14:textId="77777777" w:rsidR="009C1019" w:rsidRPr="00145B66" w:rsidRDefault="009C1019" w:rsidP="00094F6F">
            <w:pPr>
              <w:spacing w:after="0" w:line="240" w:lineRule="auto"/>
              <w:rPr>
                <w:rFonts w:ascii="Times New Roman" w:hAnsi="Times New Roman"/>
                <w:sz w:val="28"/>
                <w:szCs w:val="28"/>
                <w:lang w:bidi="kn-IN"/>
              </w:rPr>
            </w:pPr>
          </w:p>
          <w:p w14:paraId="543F2DCD" w14:textId="77777777" w:rsidR="009C1019" w:rsidRPr="00145B66"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1</w:t>
            </w:r>
            <w:r>
              <w:rPr>
                <w:rFonts w:ascii="Times New Roman" w:hAnsi="Times New Roman"/>
                <w:sz w:val="28"/>
                <w:szCs w:val="28"/>
                <w:lang w:bidi="kn-IN"/>
              </w:rPr>
              <w:t>1</w:t>
            </w:r>
          </w:p>
        </w:tc>
      </w:tr>
      <w:tr w:rsidR="009C1019" w:rsidRPr="00145B66" w14:paraId="0092B67D" w14:textId="77777777" w:rsidTr="007D0DA1">
        <w:trPr>
          <w:trHeight w:val="340"/>
        </w:trPr>
        <w:tc>
          <w:tcPr>
            <w:tcW w:w="776" w:type="dxa"/>
            <w:shd w:val="clear" w:color="auto" w:fill="auto"/>
          </w:tcPr>
          <w:p w14:paraId="500FDADA" w14:textId="77777777" w:rsidR="009C1019" w:rsidRPr="00145B66" w:rsidRDefault="009C1019" w:rsidP="00094F6F">
            <w:pPr>
              <w:spacing w:after="0" w:line="240" w:lineRule="auto"/>
              <w:jc w:val="center"/>
              <w:rPr>
                <w:rFonts w:ascii="Times New Roman" w:hAnsi="Times New Roman"/>
                <w:sz w:val="28"/>
                <w:szCs w:val="28"/>
                <w:lang w:bidi="kn-IN"/>
              </w:rPr>
            </w:pPr>
            <w:r w:rsidRPr="00145B66">
              <w:rPr>
                <w:rFonts w:ascii="Times New Roman" w:hAnsi="Times New Roman"/>
                <w:sz w:val="28"/>
                <w:szCs w:val="28"/>
                <w:lang w:bidi="kn-IN"/>
              </w:rPr>
              <w:t>1.2</w:t>
            </w:r>
          </w:p>
        </w:tc>
        <w:tc>
          <w:tcPr>
            <w:tcW w:w="8407" w:type="dxa"/>
            <w:shd w:val="clear" w:color="auto" w:fill="auto"/>
          </w:tcPr>
          <w:p w14:paraId="0B4BC2BA" w14:textId="77777777" w:rsidR="009C1019" w:rsidRPr="00145B66" w:rsidRDefault="009C1019" w:rsidP="00094F6F">
            <w:pPr>
              <w:spacing w:after="0" w:line="240" w:lineRule="auto"/>
              <w:jc w:val="both"/>
              <w:rPr>
                <w:rFonts w:ascii="Times New Roman" w:hAnsi="Times New Roman"/>
                <w:sz w:val="28"/>
                <w:szCs w:val="28"/>
                <w:lang w:val="kk-KZ" w:bidi="kn-IN"/>
              </w:rPr>
            </w:pPr>
            <w:r w:rsidRPr="00145B66">
              <w:rPr>
                <w:rFonts w:ascii="Times New Roman" w:hAnsi="Times New Roman"/>
                <w:bCs/>
                <w:sz w:val="28"/>
                <w:szCs w:val="28"/>
                <w:lang w:val="kk-KZ" w:bidi="kn-IN"/>
              </w:rPr>
              <w:t>Радикальное хирургическое лечение злокачественных новообразований ободочной кишки.......................................................</w:t>
            </w:r>
          </w:p>
        </w:tc>
        <w:tc>
          <w:tcPr>
            <w:tcW w:w="636" w:type="dxa"/>
            <w:shd w:val="clear" w:color="auto" w:fill="auto"/>
          </w:tcPr>
          <w:p w14:paraId="747A11C3" w14:textId="77777777" w:rsidR="009C1019" w:rsidRPr="00145B66" w:rsidRDefault="009C1019" w:rsidP="00094F6F">
            <w:pPr>
              <w:spacing w:after="0" w:line="240" w:lineRule="auto"/>
              <w:rPr>
                <w:rFonts w:ascii="Times New Roman" w:hAnsi="Times New Roman"/>
                <w:sz w:val="28"/>
                <w:szCs w:val="28"/>
                <w:lang w:bidi="kn-IN"/>
              </w:rPr>
            </w:pPr>
          </w:p>
          <w:p w14:paraId="0A086EE3" w14:textId="77777777" w:rsidR="009C1019" w:rsidRPr="00145B66"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20</w:t>
            </w:r>
          </w:p>
        </w:tc>
      </w:tr>
      <w:tr w:rsidR="009C1019" w:rsidRPr="00145B66" w14:paraId="5B2E7D7A" w14:textId="77777777" w:rsidTr="007D0DA1">
        <w:trPr>
          <w:trHeight w:val="340"/>
        </w:trPr>
        <w:tc>
          <w:tcPr>
            <w:tcW w:w="776" w:type="dxa"/>
            <w:shd w:val="clear" w:color="auto" w:fill="auto"/>
          </w:tcPr>
          <w:p w14:paraId="176F797B" w14:textId="77777777" w:rsidR="009C1019" w:rsidRPr="00145B66" w:rsidRDefault="009C1019" w:rsidP="00094F6F">
            <w:pPr>
              <w:spacing w:after="0" w:line="240" w:lineRule="auto"/>
              <w:jc w:val="center"/>
              <w:rPr>
                <w:rFonts w:ascii="Times New Roman" w:hAnsi="Times New Roman"/>
                <w:sz w:val="28"/>
                <w:szCs w:val="28"/>
                <w:lang w:bidi="kn-IN"/>
              </w:rPr>
            </w:pPr>
            <w:r w:rsidRPr="00145B66">
              <w:rPr>
                <w:rFonts w:ascii="Times New Roman" w:hAnsi="Times New Roman"/>
                <w:sz w:val="28"/>
                <w:szCs w:val="28"/>
                <w:lang w:bidi="kn-IN"/>
              </w:rPr>
              <w:t>1.3</w:t>
            </w:r>
          </w:p>
        </w:tc>
        <w:tc>
          <w:tcPr>
            <w:tcW w:w="8407" w:type="dxa"/>
            <w:shd w:val="clear" w:color="auto" w:fill="auto"/>
          </w:tcPr>
          <w:p w14:paraId="2A9433A3" w14:textId="77777777" w:rsidR="009C1019" w:rsidRPr="00145B66" w:rsidRDefault="009C1019" w:rsidP="00094F6F">
            <w:pPr>
              <w:spacing w:after="0" w:line="240" w:lineRule="auto"/>
              <w:jc w:val="both"/>
              <w:rPr>
                <w:rFonts w:ascii="Times New Roman" w:hAnsi="Times New Roman"/>
                <w:sz w:val="28"/>
                <w:szCs w:val="28"/>
                <w:lang w:bidi="kn-IN"/>
              </w:rPr>
            </w:pPr>
            <w:r w:rsidRPr="00145B66">
              <w:rPr>
                <w:rFonts w:ascii="Times New Roman" w:hAnsi="Times New Roman"/>
                <w:sz w:val="28"/>
                <w:szCs w:val="28"/>
                <w:lang w:bidi="kn-IN"/>
              </w:rPr>
              <w:t xml:space="preserve">Прогностические факторы исходов после радикального хирургического лечения </w:t>
            </w:r>
            <w:r w:rsidRPr="00145B66">
              <w:rPr>
                <w:rFonts w:ascii="Times New Roman" w:hAnsi="Times New Roman"/>
                <w:bCs/>
                <w:sz w:val="28"/>
                <w:szCs w:val="28"/>
                <w:lang w:val="kk-KZ" w:bidi="kn-IN"/>
              </w:rPr>
              <w:t>злокачественных новообразований</w:t>
            </w:r>
            <w:r w:rsidRPr="00145B66">
              <w:rPr>
                <w:rFonts w:ascii="Times New Roman" w:hAnsi="Times New Roman"/>
                <w:sz w:val="28"/>
                <w:szCs w:val="28"/>
                <w:lang w:bidi="kn-IN"/>
              </w:rPr>
              <w:t xml:space="preserve"> ободочной кишки……………………………………………………….</w:t>
            </w:r>
          </w:p>
        </w:tc>
        <w:tc>
          <w:tcPr>
            <w:tcW w:w="636" w:type="dxa"/>
            <w:shd w:val="clear" w:color="auto" w:fill="auto"/>
          </w:tcPr>
          <w:p w14:paraId="128DABED" w14:textId="77777777" w:rsidR="009C1019" w:rsidRPr="00145B66" w:rsidRDefault="009C1019" w:rsidP="00094F6F">
            <w:pPr>
              <w:spacing w:after="0" w:line="240" w:lineRule="auto"/>
              <w:rPr>
                <w:rFonts w:ascii="Times New Roman" w:hAnsi="Times New Roman"/>
                <w:sz w:val="28"/>
                <w:szCs w:val="28"/>
                <w:lang w:bidi="kn-IN"/>
              </w:rPr>
            </w:pPr>
          </w:p>
          <w:p w14:paraId="60096BAA" w14:textId="77777777" w:rsidR="009C1019" w:rsidRPr="00145B66" w:rsidRDefault="009C1019" w:rsidP="00094F6F">
            <w:pPr>
              <w:spacing w:after="0" w:line="240" w:lineRule="auto"/>
              <w:rPr>
                <w:rFonts w:ascii="Times New Roman" w:hAnsi="Times New Roman"/>
                <w:sz w:val="28"/>
                <w:szCs w:val="28"/>
                <w:lang w:bidi="kn-IN"/>
              </w:rPr>
            </w:pPr>
          </w:p>
          <w:p w14:paraId="647442AB" w14:textId="77777777" w:rsidR="009C1019" w:rsidRPr="00145B66"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24</w:t>
            </w:r>
          </w:p>
        </w:tc>
      </w:tr>
      <w:tr w:rsidR="009C1019" w:rsidRPr="00145B66" w14:paraId="27AD8EE3" w14:textId="77777777" w:rsidTr="007D0DA1">
        <w:trPr>
          <w:trHeight w:val="340"/>
        </w:trPr>
        <w:tc>
          <w:tcPr>
            <w:tcW w:w="776" w:type="dxa"/>
            <w:shd w:val="clear" w:color="auto" w:fill="auto"/>
          </w:tcPr>
          <w:p w14:paraId="2190859E" w14:textId="77777777" w:rsidR="009C1019" w:rsidRPr="00145B66" w:rsidRDefault="009C1019" w:rsidP="00094F6F">
            <w:pPr>
              <w:spacing w:after="0" w:line="240" w:lineRule="auto"/>
              <w:jc w:val="center"/>
              <w:rPr>
                <w:rFonts w:ascii="Times New Roman" w:hAnsi="Times New Roman"/>
                <w:sz w:val="28"/>
                <w:szCs w:val="28"/>
                <w:lang w:bidi="kn-IN"/>
              </w:rPr>
            </w:pPr>
            <w:r w:rsidRPr="00145B66">
              <w:rPr>
                <w:rFonts w:ascii="Times New Roman" w:hAnsi="Times New Roman"/>
                <w:sz w:val="28"/>
                <w:szCs w:val="28"/>
                <w:lang w:bidi="kn-IN"/>
              </w:rPr>
              <w:t>1.4</w:t>
            </w:r>
          </w:p>
        </w:tc>
        <w:tc>
          <w:tcPr>
            <w:tcW w:w="8407" w:type="dxa"/>
            <w:shd w:val="clear" w:color="auto" w:fill="auto"/>
          </w:tcPr>
          <w:p w14:paraId="4062BF23" w14:textId="77777777" w:rsidR="009C1019" w:rsidRPr="00145B66" w:rsidRDefault="009C1019" w:rsidP="00094F6F">
            <w:pPr>
              <w:spacing w:after="0" w:line="240" w:lineRule="auto"/>
              <w:jc w:val="both"/>
              <w:rPr>
                <w:rFonts w:ascii="Times New Roman" w:hAnsi="Times New Roman"/>
                <w:sz w:val="28"/>
                <w:szCs w:val="28"/>
                <w:lang w:bidi="kn-IN"/>
              </w:rPr>
            </w:pPr>
            <w:r w:rsidRPr="00145B66">
              <w:rPr>
                <w:rFonts w:ascii="Times New Roman" w:hAnsi="Times New Roman"/>
                <w:sz w:val="28"/>
                <w:szCs w:val="28"/>
                <w:lang w:val="kk-KZ" w:bidi="kn-IN"/>
              </w:rPr>
              <w:t xml:space="preserve">Особенности </w:t>
            </w:r>
            <w:r w:rsidRPr="00145B66">
              <w:rPr>
                <w:rFonts w:ascii="Times New Roman" w:hAnsi="Times New Roman"/>
                <w:bCs/>
                <w:sz w:val="28"/>
                <w:szCs w:val="28"/>
                <w:lang w:bidi="kn-IN"/>
              </w:rPr>
              <w:t>патогенеза функциональных осложнений после хирургического лечения злокачественных новообразований  ободочной кишки……………………………………………………….</w:t>
            </w:r>
          </w:p>
        </w:tc>
        <w:tc>
          <w:tcPr>
            <w:tcW w:w="636" w:type="dxa"/>
            <w:shd w:val="clear" w:color="auto" w:fill="auto"/>
          </w:tcPr>
          <w:p w14:paraId="274B7928" w14:textId="77777777" w:rsidR="009C1019" w:rsidRPr="00145B66" w:rsidRDefault="009C1019" w:rsidP="00094F6F">
            <w:pPr>
              <w:spacing w:after="0" w:line="240" w:lineRule="auto"/>
              <w:rPr>
                <w:rFonts w:ascii="Times New Roman" w:hAnsi="Times New Roman"/>
                <w:sz w:val="28"/>
                <w:szCs w:val="28"/>
                <w:lang w:bidi="kn-IN"/>
              </w:rPr>
            </w:pPr>
          </w:p>
          <w:p w14:paraId="1573CC66" w14:textId="77777777" w:rsidR="009C1019" w:rsidRPr="00145B66" w:rsidRDefault="009C1019" w:rsidP="00094F6F">
            <w:pPr>
              <w:spacing w:after="0" w:line="240" w:lineRule="auto"/>
              <w:rPr>
                <w:rFonts w:ascii="Times New Roman" w:hAnsi="Times New Roman"/>
                <w:sz w:val="28"/>
                <w:szCs w:val="28"/>
                <w:lang w:bidi="kn-IN"/>
              </w:rPr>
            </w:pPr>
          </w:p>
          <w:p w14:paraId="167528DE" w14:textId="77777777" w:rsidR="009C1019" w:rsidRPr="00145B66"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28</w:t>
            </w:r>
          </w:p>
        </w:tc>
      </w:tr>
      <w:tr w:rsidR="009C1019" w:rsidRPr="00145B66" w14:paraId="4B7669CD" w14:textId="77777777" w:rsidTr="007D0DA1">
        <w:trPr>
          <w:trHeight w:val="340"/>
        </w:trPr>
        <w:tc>
          <w:tcPr>
            <w:tcW w:w="776" w:type="dxa"/>
            <w:shd w:val="clear" w:color="auto" w:fill="auto"/>
          </w:tcPr>
          <w:p w14:paraId="484F63D2" w14:textId="77777777" w:rsidR="009C1019" w:rsidRPr="00145B66" w:rsidRDefault="009C1019" w:rsidP="00094F6F">
            <w:pPr>
              <w:spacing w:after="0" w:line="240" w:lineRule="auto"/>
              <w:jc w:val="center"/>
              <w:rPr>
                <w:rFonts w:ascii="Times New Roman" w:hAnsi="Times New Roman"/>
                <w:sz w:val="28"/>
                <w:szCs w:val="28"/>
                <w:lang w:bidi="kn-IN"/>
              </w:rPr>
            </w:pPr>
            <w:r w:rsidRPr="00145B66">
              <w:rPr>
                <w:rFonts w:ascii="Times New Roman" w:hAnsi="Times New Roman"/>
                <w:sz w:val="28"/>
                <w:szCs w:val="28"/>
                <w:lang w:bidi="kn-IN"/>
              </w:rPr>
              <w:t>1.5</w:t>
            </w:r>
          </w:p>
        </w:tc>
        <w:tc>
          <w:tcPr>
            <w:tcW w:w="8407" w:type="dxa"/>
            <w:shd w:val="clear" w:color="auto" w:fill="auto"/>
          </w:tcPr>
          <w:p w14:paraId="28B54276" w14:textId="77777777" w:rsidR="009C1019" w:rsidRPr="00145B66" w:rsidRDefault="009C1019" w:rsidP="00094F6F">
            <w:pPr>
              <w:spacing w:after="0" w:line="240" w:lineRule="auto"/>
              <w:jc w:val="both"/>
              <w:rPr>
                <w:rFonts w:ascii="Times New Roman" w:hAnsi="Times New Roman"/>
                <w:sz w:val="28"/>
                <w:szCs w:val="28"/>
                <w:lang w:bidi="kn-IN"/>
              </w:rPr>
            </w:pPr>
            <w:r w:rsidRPr="00145B66">
              <w:rPr>
                <w:rFonts w:ascii="Times New Roman" w:hAnsi="Times New Roman"/>
                <w:bCs/>
                <w:sz w:val="28"/>
                <w:szCs w:val="28"/>
                <w:lang w:bidi="kn-IN"/>
              </w:rPr>
              <w:t>Частота развития функциональных осложнений после хирургического лечения злокачественных новообразований ободочной кишки……………………………………………………….</w:t>
            </w:r>
          </w:p>
        </w:tc>
        <w:tc>
          <w:tcPr>
            <w:tcW w:w="636" w:type="dxa"/>
            <w:shd w:val="clear" w:color="auto" w:fill="auto"/>
          </w:tcPr>
          <w:p w14:paraId="4CC3742B" w14:textId="77777777" w:rsidR="009C1019" w:rsidRPr="00145B66" w:rsidRDefault="009C1019" w:rsidP="00094F6F">
            <w:pPr>
              <w:spacing w:after="0" w:line="240" w:lineRule="auto"/>
              <w:rPr>
                <w:rFonts w:ascii="Times New Roman" w:hAnsi="Times New Roman"/>
                <w:sz w:val="28"/>
                <w:szCs w:val="28"/>
                <w:lang w:bidi="kn-IN"/>
              </w:rPr>
            </w:pPr>
          </w:p>
          <w:p w14:paraId="014C8485" w14:textId="77777777" w:rsidR="009C1019" w:rsidRPr="00145B66" w:rsidRDefault="009C1019" w:rsidP="00094F6F">
            <w:pPr>
              <w:spacing w:after="0" w:line="240" w:lineRule="auto"/>
              <w:rPr>
                <w:rFonts w:ascii="Times New Roman" w:hAnsi="Times New Roman"/>
                <w:sz w:val="28"/>
                <w:szCs w:val="28"/>
                <w:lang w:bidi="kn-IN"/>
              </w:rPr>
            </w:pPr>
          </w:p>
          <w:p w14:paraId="6F848F32" w14:textId="77777777" w:rsidR="009C1019" w:rsidRPr="00145B66"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33</w:t>
            </w:r>
          </w:p>
        </w:tc>
      </w:tr>
      <w:tr w:rsidR="009C1019" w:rsidRPr="00145B66" w14:paraId="00F15450" w14:textId="77777777" w:rsidTr="007D0DA1">
        <w:trPr>
          <w:trHeight w:val="340"/>
        </w:trPr>
        <w:tc>
          <w:tcPr>
            <w:tcW w:w="776" w:type="dxa"/>
            <w:shd w:val="clear" w:color="auto" w:fill="auto"/>
          </w:tcPr>
          <w:p w14:paraId="18C5AD6D" w14:textId="77777777" w:rsidR="009C1019" w:rsidRPr="00145B66" w:rsidRDefault="009C1019" w:rsidP="00094F6F">
            <w:pPr>
              <w:spacing w:after="0" w:line="240" w:lineRule="auto"/>
              <w:jc w:val="center"/>
              <w:rPr>
                <w:rFonts w:ascii="Times New Roman" w:hAnsi="Times New Roman"/>
                <w:sz w:val="28"/>
                <w:szCs w:val="28"/>
                <w:lang w:bidi="kn-IN"/>
              </w:rPr>
            </w:pPr>
            <w:r w:rsidRPr="00145B66">
              <w:rPr>
                <w:rFonts w:ascii="Times New Roman" w:hAnsi="Times New Roman"/>
                <w:sz w:val="28"/>
                <w:szCs w:val="28"/>
                <w:lang w:bidi="kn-IN"/>
              </w:rPr>
              <w:t>1.6</w:t>
            </w:r>
          </w:p>
        </w:tc>
        <w:tc>
          <w:tcPr>
            <w:tcW w:w="8407" w:type="dxa"/>
            <w:shd w:val="clear" w:color="auto" w:fill="auto"/>
          </w:tcPr>
          <w:p w14:paraId="729ADACD" w14:textId="77777777" w:rsidR="009C1019" w:rsidRPr="00145B66" w:rsidRDefault="009C1019" w:rsidP="00094F6F">
            <w:pPr>
              <w:spacing w:after="0" w:line="240" w:lineRule="auto"/>
              <w:jc w:val="both"/>
              <w:rPr>
                <w:rFonts w:ascii="Times New Roman" w:hAnsi="Times New Roman"/>
                <w:sz w:val="28"/>
                <w:szCs w:val="28"/>
                <w:lang w:bidi="kn-IN"/>
              </w:rPr>
            </w:pPr>
            <w:r w:rsidRPr="00A916E1">
              <w:rPr>
                <w:rFonts w:ascii="Times New Roman" w:hAnsi="Times New Roman"/>
                <w:bCs/>
                <w:sz w:val="28"/>
                <w:szCs w:val="28"/>
              </w:rPr>
              <w:t>Методы диагностики и лечения функциональных осложнений после хирургического лечения злокачественных новообразований ободочной кишки</w:t>
            </w:r>
            <w:r w:rsidRPr="00A916E1">
              <w:rPr>
                <w:rFonts w:ascii="Times New Roman" w:hAnsi="Times New Roman"/>
                <w:bCs/>
                <w:sz w:val="28"/>
                <w:szCs w:val="28"/>
                <w:lang w:bidi="kn-IN"/>
              </w:rPr>
              <w:t xml:space="preserve"> ……………</w:t>
            </w:r>
            <w:r>
              <w:rPr>
                <w:rFonts w:ascii="Times New Roman" w:hAnsi="Times New Roman"/>
                <w:bCs/>
                <w:sz w:val="28"/>
                <w:szCs w:val="28"/>
                <w:lang w:bidi="kn-IN"/>
              </w:rPr>
              <w:t>…………………………………………</w:t>
            </w:r>
          </w:p>
        </w:tc>
        <w:tc>
          <w:tcPr>
            <w:tcW w:w="636" w:type="dxa"/>
            <w:shd w:val="clear" w:color="auto" w:fill="auto"/>
          </w:tcPr>
          <w:p w14:paraId="39C8F11F" w14:textId="77777777" w:rsidR="009C1019" w:rsidRDefault="009C1019" w:rsidP="00094F6F">
            <w:pPr>
              <w:spacing w:after="0" w:line="240" w:lineRule="auto"/>
              <w:rPr>
                <w:rFonts w:ascii="Times New Roman" w:hAnsi="Times New Roman"/>
                <w:sz w:val="28"/>
                <w:szCs w:val="28"/>
                <w:lang w:bidi="kn-IN"/>
              </w:rPr>
            </w:pPr>
          </w:p>
          <w:p w14:paraId="6CD6F578" w14:textId="77777777" w:rsidR="009C1019" w:rsidRPr="00145B66" w:rsidRDefault="009C1019" w:rsidP="00094F6F">
            <w:pPr>
              <w:spacing w:after="0" w:line="240" w:lineRule="auto"/>
              <w:rPr>
                <w:rFonts w:ascii="Times New Roman" w:hAnsi="Times New Roman"/>
                <w:sz w:val="28"/>
                <w:szCs w:val="28"/>
                <w:lang w:bidi="kn-IN"/>
              </w:rPr>
            </w:pPr>
          </w:p>
          <w:p w14:paraId="0D93FA2D" w14:textId="77777777" w:rsidR="009C1019" w:rsidRPr="00145B66"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37</w:t>
            </w:r>
          </w:p>
        </w:tc>
      </w:tr>
      <w:tr w:rsidR="009C1019" w:rsidRPr="00145B66" w14:paraId="36E77C09" w14:textId="77777777" w:rsidTr="007D0DA1">
        <w:trPr>
          <w:trHeight w:val="340"/>
        </w:trPr>
        <w:tc>
          <w:tcPr>
            <w:tcW w:w="776" w:type="dxa"/>
            <w:shd w:val="clear" w:color="auto" w:fill="auto"/>
          </w:tcPr>
          <w:p w14:paraId="453C2ADF" w14:textId="77777777" w:rsidR="009C1019" w:rsidRPr="00145B66" w:rsidRDefault="009C1019" w:rsidP="00094F6F">
            <w:pPr>
              <w:spacing w:after="0" w:line="240" w:lineRule="auto"/>
              <w:jc w:val="center"/>
              <w:rPr>
                <w:rFonts w:ascii="Times New Roman" w:hAnsi="Times New Roman"/>
                <w:sz w:val="28"/>
                <w:szCs w:val="28"/>
                <w:lang w:bidi="kn-IN"/>
              </w:rPr>
            </w:pPr>
            <w:r w:rsidRPr="00145B66">
              <w:rPr>
                <w:rFonts w:ascii="Times New Roman" w:hAnsi="Times New Roman"/>
                <w:sz w:val="28"/>
                <w:szCs w:val="28"/>
                <w:lang w:bidi="kn-IN"/>
              </w:rPr>
              <w:t>1.</w:t>
            </w:r>
            <w:r>
              <w:rPr>
                <w:rFonts w:ascii="Times New Roman" w:hAnsi="Times New Roman"/>
                <w:sz w:val="28"/>
                <w:szCs w:val="28"/>
                <w:lang w:bidi="kn-IN"/>
              </w:rPr>
              <w:t>7</w:t>
            </w:r>
          </w:p>
        </w:tc>
        <w:tc>
          <w:tcPr>
            <w:tcW w:w="8407" w:type="dxa"/>
            <w:shd w:val="clear" w:color="auto" w:fill="auto"/>
          </w:tcPr>
          <w:p w14:paraId="3045947D" w14:textId="77777777" w:rsidR="009C1019" w:rsidRPr="00A916E1" w:rsidRDefault="009C1019" w:rsidP="00094F6F">
            <w:pPr>
              <w:spacing w:after="0" w:line="240" w:lineRule="auto"/>
              <w:jc w:val="both"/>
              <w:rPr>
                <w:rFonts w:ascii="Times New Roman" w:hAnsi="Times New Roman"/>
                <w:bCs/>
                <w:sz w:val="28"/>
                <w:szCs w:val="28"/>
                <w:lang w:bidi="kn-IN"/>
              </w:rPr>
            </w:pPr>
            <w:r w:rsidRPr="00A916E1">
              <w:rPr>
                <w:rFonts w:ascii="Times New Roman" w:hAnsi="Times New Roman"/>
                <w:sz w:val="28"/>
                <w:szCs w:val="28"/>
              </w:rPr>
              <w:t>Качество жизни больных со злокачественными новообразованиями ободочной кишки</w:t>
            </w:r>
            <w:r>
              <w:rPr>
                <w:rFonts w:ascii="Times New Roman" w:hAnsi="Times New Roman"/>
                <w:sz w:val="28"/>
                <w:szCs w:val="28"/>
              </w:rPr>
              <w:t>………………………………………………………</w:t>
            </w:r>
          </w:p>
        </w:tc>
        <w:tc>
          <w:tcPr>
            <w:tcW w:w="636" w:type="dxa"/>
            <w:shd w:val="clear" w:color="auto" w:fill="auto"/>
          </w:tcPr>
          <w:p w14:paraId="785E5ECA" w14:textId="77777777" w:rsidR="009C1019" w:rsidRPr="00145B66" w:rsidRDefault="009C1019" w:rsidP="00094F6F">
            <w:pPr>
              <w:spacing w:after="0" w:line="240" w:lineRule="auto"/>
              <w:rPr>
                <w:rFonts w:ascii="Times New Roman" w:hAnsi="Times New Roman"/>
                <w:sz w:val="28"/>
                <w:szCs w:val="28"/>
                <w:lang w:bidi="kn-IN"/>
              </w:rPr>
            </w:pPr>
          </w:p>
          <w:p w14:paraId="5767745A" w14:textId="77777777" w:rsidR="009C1019" w:rsidRPr="004608D4"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41</w:t>
            </w:r>
          </w:p>
        </w:tc>
      </w:tr>
      <w:tr w:rsidR="009C1019" w:rsidRPr="00145B66" w14:paraId="07CD4AEE" w14:textId="77777777" w:rsidTr="007D0DA1">
        <w:trPr>
          <w:trHeight w:val="340"/>
        </w:trPr>
        <w:tc>
          <w:tcPr>
            <w:tcW w:w="776" w:type="dxa"/>
            <w:shd w:val="clear" w:color="auto" w:fill="auto"/>
          </w:tcPr>
          <w:p w14:paraId="698E28DA" w14:textId="77777777" w:rsidR="009C1019" w:rsidRPr="00145B66" w:rsidRDefault="009C1019" w:rsidP="00094F6F">
            <w:pPr>
              <w:spacing w:after="0" w:line="240" w:lineRule="auto"/>
              <w:rPr>
                <w:rFonts w:ascii="Times New Roman" w:hAnsi="Times New Roman"/>
                <w:b/>
                <w:sz w:val="28"/>
                <w:szCs w:val="28"/>
                <w:lang w:bidi="kn-IN"/>
              </w:rPr>
            </w:pPr>
            <w:r w:rsidRPr="00145B66">
              <w:rPr>
                <w:rFonts w:ascii="Times New Roman" w:hAnsi="Times New Roman"/>
                <w:b/>
                <w:sz w:val="28"/>
                <w:szCs w:val="28"/>
                <w:lang w:bidi="kn-IN"/>
              </w:rPr>
              <w:t>2</w:t>
            </w:r>
          </w:p>
        </w:tc>
        <w:tc>
          <w:tcPr>
            <w:tcW w:w="8407" w:type="dxa"/>
            <w:shd w:val="clear" w:color="auto" w:fill="auto"/>
          </w:tcPr>
          <w:p w14:paraId="0DC22D42" w14:textId="77777777" w:rsidR="009C1019" w:rsidRPr="00145B66" w:rsidRDefault="009C1019" w:rsidP="00094F6F">
            <w:pPr>
              <w:spacing w:after="0" w:line="240" w:lineRule="auto"/>
              <w:rPr>
                <w:rFonts w:ascii="Times New Roman" w:hAnsi="Times New Roman"/>
                <w:bCs/>
                <w:sz w:val="28"/>
                <w:szCs w:val="28"/>
                <w:lang w:bidi="kn-IN"/>
              </w:rPr>
            </w:pPr>
            <w:r w:rsidRPr="00145B66">
              <w:rPr>
                <w:rFonts w:ascii="Times New Roman" w:hAnsi="Times New Roman"/>
                <w:b/>
                <w:bCs/>
                <w:sz w:val="28"/>
                <w:szCs w:val="28"/>
                <w:lang w:bidi="kn-IN"/>
              </w:rPr>
              <w:t>МАТЕРИАЛЫ И МЕТОДЫ ИССЛЕДОВАНИЯ</w:t>
            </w:r>
            <w:r w:rsidRPr="00145B66">
              <w:rPr>
                <w:rFonts w:ascii="Times New Roman" w:hAnsi="Times New Roman"/>
                <w:bCs/>
                <w:sz w:val="28"/>
                <w:szCs w:val="28"/>
                <w:lang w:bidi="kn-IN"/>
              </w:rPr>
              <w:t>………………….</w:t>
            </w:r>
          </w:p>
        </w:tc>
        <w:tc>
          <w:tcPr>
            <w:tcW w:w="636" w:type="dxa"/>
            <w:shd w:val="clear" w:color="auto" w:fill="auto"/>
          </w:tcPr>
          <w:p w14:paraId="6D4EEC54" w14:textId="77777777" w:rsidR="009C1019" w:rsidRPr="004608D4"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48</w:t>
            </w:r>
          </w:p>
        </w:tc>
      </w:tr>
      <w:tr w:rsidR="009C1019" w:rsidRPr="00145B66" w14:paraId="6031B0BE" w14:textId="77777777" w:rsidTr="007D0DA1">
        <w:trPr>
          <w:trHeight w:val="340"/>
        </w:trPr>
        <w:tc>
          <w:tcPr>
            <w:tcW w:w="776" w:type="dxa"/>
            <w:shd w:val="clear" w:color="auto" w:fill="auto"/>
          </w:tcPr>
          <w:p w14:paraId="69C03C0A" w14:textId="77777777" w:rsidR="009C1019" w:rsidRPr="00145B66"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2.1</w:t>
            </w:r>
          </w:p>
        </w:tc>
        <w:tc>
          <w:tcPr>
            <w:tcW w:w="8407" w:type="dxa"/>
            <w:shd w:val="clear" w:color="auto" w:fill="auto"/>
          </w:tcPr>
          <w:p w14:paraId="0ECC3296" w14:textId="77777777" w:rsidR="009C1019" w:rsidRPr="00145B66" w:rsidRDefault="009C1019" w:rsidP="00094F6F">
            <w:pPr>
              <w:spacing w:after="0" w:line="240" w:lineRule="auto"/>
              <w:rPr>
                <w:rFonts w:ascii="Times New Roman" w:hAnsi="Times New Roman"/>
                <w:bCs/>
                <w:sz w:val="28"/>
                <w:szCs w:val="28"/>
                <w:lang w:bidi="kn-IN"/>
              </w:rPr>
            </w:pPr>
            <w:r w:rsidRPr="00145B66">
              <w:rPr>
                <w:rFonts w:ascii="Times New Roman" w:hAnsi="Times New Roman"/>
                <w:bCs/>
                <w:sz w:val="28"/>
                <w:szCs w:val="28"/>
                <w:lang w:bidi="kn-IN"/>
              </w:rPr>
              <w:t>Материалы исследования………………………………………………</w:t>
            </w:r>
          </w:p>
        </w:tc>
        <w:tc>
          <w:tcPr>
            <w:tcW w:w="636" w:type="dxa"/>
            <w:shd w:val="clear" w:color="auto" w:fill="auto"/>
          </w:tcPr>
          <w:p w14:paraId="4ABD6DFF" w14:textId="77777777" w:rsidR="009C1019" w:rsidRPr="004608D4"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48</w:t>
            </w:r>
          </w:p>
        </w:tc>
      </w:tr>
      <w:tr w:rsidR="009C1019" w:rsidRPr="00145B66" w14:paraId="03471BD6" w14:textId="77777777" w:rsidTr="007D0DA1">
        <w:trPr>
          <w:trHeight w:val="340"/>
        </w:trPr>
        <w:tc>
          <w:tcPr>
            <w:tcW w:w="776" w:type="dxa"/>
            <w:shd w:val="clear" w:color="auto" w:fill="auto"/>
          </w:tcPr>
          <w:p w14:paraId="6D565272" w14:textId="77777777" w:rsidR="009C1019" w:rsidRPr="00145B66"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2.2</w:t>
            </w:r>
          </w:p>
        </w:tc>
        <w:tc>
          <w:tcPr>
            <w:tcW w:w="8407" w:type="dxa"/>
            <w:shd w:val="clear" w:color="auto" w:fill="auto"/>
          </w:tcPr>
          <w:p w14:paraId="23A5CF0F" w14:textId="77777777" w:rsidR="009C1019" w:rsidRPr="00145B66" w:rsidRDefault="009C1019" w:rsidP="00094F6F">
            <w:pPr>
              <w:spacing w:after="0" w:line="240" w:lineRule="auto"/>
              <w:jc w:val="both"/>
              <w:rPr>
                <w:rFonts w:ascii="Times New Roman" w:hAnsi="Times New Roman"/>
                <w:bCs/>
                <w:sz w:val="28"/>
                <w:szCs w:val="28"/>
                <w:lang w:bidi="kn-IN"/>
              </w:rPr>
            </w:pPr>
            <w:r w:rsidRPr="00145B66">
              <w:rPr>
                <w:rFonts w:ascii="Times New Roman" w:hAnsi="Times New Roman"/>
                <w:bCs/>
                <w:sz w:val="28"/>
                <w:szCs w:val="28"/>
                <w:lang w:bidi="kn-IN"/>
              </w:rPr>
              <w:t>Методы исследования……………………………………………......</w:t>
            </w:r>
            <w:r>
              <w:rPr>
                <w:rFonts w:ascii="Times New Roman" w:hAnsi="Times New Roman"/>
                <w:bCs/>
                <w:sz w:val="28"/>
                <w:szCs w:val="28"/>
                <w:lang w:bidi="kn-IN"/>
              </w:rPr>
              <w:t>.</w:t>
            </w:r>
            <w:r w:rsidRPr="00145B66">
              <w:rPr>
                <w:rFonts w:ascii="Times New Roman" w:hAnsi="Times New Roman"/>
                <w:bCs/>
                <w:sz w:val="28"/>
                <w:szCs w:val="28"/>
                <w:lang w:bidi="kn-IN"/>
              </w:rPr>
              <w:t>...</w:t>
            </w:r>
          </w:p>
        </w:tc>
        <w:tc>
          <w:tcPr>
            <w:tcW w:w="636" w:type="dxa"/>
            <w:shd w:val="clear" w:color="auto" w:fill="auto"/>
          </w:tcPr>
          <w:p w14:paraId="2B053ECE" w14:textId="77777777" w:rsidR="009C1019" w:rsidRPr="004608D4"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54</w:t>
            </w:r>
          </w:p>
        </w:tc>
      </w:tr>
      <w:tr w:rsidR="009C1019" w:rsidRPr="00145B66" w14:paraId="55215AA6" w14:textId="77777777" w:rsidTr="007D0DA1">
        <w:trPr>
          <w:trHeight w:val="340"/>
        </w:trPr>
        <w:tc>
          <w:tcPr>
            <w:tcW w:w="776" w:type="dxa"/>
            <w:shd w:val="clear" w:color="auto" w:fill="auto"/>
          </w:tcPr>
          <w:p w14:paraId="5A03A0A8" w14:textId="77777777" w:rsidR="009C1019" w:rsidRPr="00145B66"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2.2.1</w:t>
            </w:r>
          </w:p>
        </w:tc>
        <w:tc>
          <w:tcPr>
            <w:tcW w:w="8407" w:type="dxa"/>
            <w:shd w:val="clear" w:color="auto" w:fill="auto"/>
          </w:tcPr>
          <w:p w14:paraId="5837248C" w14:textId="77777777" w:rsidR="009C1019" w:rsidRPr="00145B66" w:rsidRDefault="009C1019" w:rsidP="00094F6F">
            <w:pPr>
              <w:spacing w:after="0" w:line="240" w:lineRule="auto"/>
              <w:jc w:val="both"/>
              <w:rPr>
                <w:rFonts w:ascii="Times New Roman" w:hAnsi="Times New Roman"/>
                <w:bCs/>
                <w:sz w:val="28"/>
                <w:szCs w:val="28"/>
                <w:lang w:bidi="kn-IN"/>
              </w:rPr>
            </w:pPr>
            <w:r w:rsidRPr="00145B66">
              <w:rPr>
                <w:rFonts w:ascii="Times New Roman" w:hAnsi="Times New Roman"/>
                <w:sz w:val="28"/>
                <w:szCs w:val="28"/>
                <w:lang w:bidi="kn-IN"/>
              </w:rPr>
              <w:t>Методы клинического исследования…………………………</w:t>
            </w:r>
            <w:proofErr w:type="gramStart"/>
            <w:r w:rsidRPr="00145B66">
              <w:rPr>
                <w:rFonts w:ascii="Times New Roman" w:hAnsi="Times New Roman"/>
                <w:sz w:val="28"/>
                <w:szCs w:val="28"/>
                <w:lang w:bidi="kn-IN"/>
              </w:rPr>
              <w:t>……</w:t>
            </w:r>
            <w:r>
              <w:rPr>
                <w:rFonts w:ascii="Times New Roman" w:hAnsi="Times New Roman"/>
                <w:sz w:val="28"/>
                <w:szCs w:val="28"/>
                <w:lang w:bidi="kn-IN"/>
              </w:rPr>
              <w:t>.</w:t>
            </w:r>
            <w:proofErr w:type="gramEnd"/>
            <w:r w:rsidRPr="00145B66">
              <w:rPr>
                <w:rFonts w:ascii="Times New Roman" w:hAnsi="Times New Roman"/>
                <w:sz w:val="28"/>
                <w:szCs w:val="28"/>
                <w:lang w:bidi="kn-IN"/>
              </w:rPr>
              <w:t>…</w:t>
            </w:r>
          </w:p>
        </w:tc>
        <w:tc>
          <w:tcPr>
            <w:tcW w:w="636" w:type="dxa"/>
            <w:shd w:val="clear" w:color="auto" w:fill="auto"/>
          </w:tcPr>
          <w:p w14:paraId="568205B2" w14:textId="77777777" w:rsidR="009C1019" w:rsidRPr="004608D4"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54</w:t>
            </w:r>
          </w:p>
        </w:tc>
      </w:tr>
      <w:tr w:rsidR="009C1019" w:rsidRPr="00145B66" w14:paraId="33381765" w14:textId="77777777" w:rsidTr="007D0DA1">
        <w:trPr>
          <w:trHeight w:val="340"/>
        </w:trPr>
        <w:tc>
          <w:tcPr>
            <w:tcW w:w="776" w:type="dxa"/>
            <w:shd w:val="clear" w:color="auto" w:fill="auto"/>
          </w:tcPr>
          <w:p w14:paraId="7B9F7C1A" w14:textId="77777777" w:rsidR="009C1019" w:rsidRPr="00145B66"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2.2.2</w:t>
            </w:r>
          </w:p>
        </w:tc>
        <w:tc>
          <w:tcPr>
            <w:tcW w:w="8407" w:type="dxa"/>
            <w:shd w:val="clear" w:color="auto" w:fill="auto"/>
          </w:tcPr>
          <w:p w14:paraId="3068DD91" w14:textId="77777777" w:rsidR="009C1019" w:rsidRPr="00145B66" w:rsidRDefault="009C1019" w:rsidP="00094F6F">
            <w:pPr>
              <w:tabs>
                <w:tab w:val="left" w:pos="0"/>
              </w:tabs>
              <w:spacing w:after="0" w:line="240" w:lineRule="auto"/>
              <w:jc w:val="both"/>
              <w:rPr>
                <w:rFonts w:ascii="Times New Roman" w:hAnsi="Times New Roman"/>
                <w:b/>
                <w:bCs/>
                <w:sz w:val="28"/>
                <w:szCs w:val="28"/>
                <w:lang w:bidi="kn-IN"/>
              </w:rPr>
            </w:pPr>
            <w:r w:rsidRPr="00145B66">
              <w:rPr>
                <w:rFonts w:ascii="Times New Roman" w:hAnsi="Times New Roman"/>
                <w:sz w:val="28"/>
                <w:szCs w:val="28"/>
                <w:lang w:bidi="kn-IN"/>
              </w:rPr>
              <w:t>Общая характеристика основных методов обследования и реабилитации……………………………………………………………</w:t>
            </w:r>
          </w:p>
        </w:tc>
        <w:tc>
          <w:tcPr>
            <w:tcW w:w="636" w:type="dxa"/>
            <w:shd w:val="clear" w:color="auto" w:fill="auto"/>
          </w:tcPr>
          <w:p w14:paraId="4208E1B6" w14:textId="77777777" w:rsidR="009C1019" w:rsidRPr="00145B66" w:rsidRDefault="009C1019" w:rsidP="00094F6F">
            <w:pPr>
              <w:spacing w:after="0" w:line="240" w:lineRule="auto"/>
              <w:rPr>
                <w:rFonts w:ascii="Times New Roman" w:hAnsi="Times New Roman"/>
                <w:sz w:val="28"/>
                <w:szCs w:val="28"/>
                <w:lang w:bidi="kn-IN"/>
              </w:rPr>
            </w:pPr>
          </w:p>
          <w:p w14:paraId="69C7DB61" w14:textId="77777777" w:rsidR="009C1019" w:rsidRPr="004608D4"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54</w:t>
            </w:r>
          </w:p>
        </w:tc>
      </w:tr>
      <w:tr w:rsidR="009C1019" w:rsidRPr="00145B66" w14:paraId="04C9F2CA" w14:textId="77777777" w:rsidTr="007D0DA1">
        <w:trPr>
          <w:trHeight w:val="340"/>
        </w:trPr>
        <w:tc>
          <w:tcPr>
            <w:tcW w:w="776" w:type="dxa"/>
            <w:shd w:val="clear" w:color="auto" w:fill="auto"/>
          </w:tcPr>
          <w:p w14:paraId="09E63A89" w14:textId="77777777" w:rsidR="009C1019" w:rsidRPr="00145B66"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2.3</w:t>
            </w:r>
          </w:p>
        </w:tc>
        <w:tc>
          <w:tcPr>
            <w:tcW w:w="8407" w:type="dxa"/>
            <w:shd w:val="clear" w:color="auto" w:fill="auto"/>
          </w:tcPr>
          <w:p w14:paraId="60606020" w14:textId="77777777" w:rsidR="009C1019" w:rsidRPr="00145B66" w:rsidRDefault="009C1019" w:rsidP="00094F6F">
            <w:pPr>
              <w:tabs>
                <w:tab w:val="left" w:pos="0"/>
              </w:tabs>
              <w:spacing w:after="0" w:line="240" w:lineRule="auto"/>
              <w:jc w:val="both"/>
              <w:rPr>
                <w:rFonts w:ascii="Times New Roman" w:hAnsi="Times New Roman"/>
                <w:sz w:val="28"/>
                <w:szCs w:val="28"/>
                <w:lang w:bidi="kn-IN"/>
              </w:rPr>
            </w:pPr>
            <w:r>
              <w:rPr>
                <w:rFonts w:ascii="Times New Roman" w:hAnsi="Times New Roman"/>
                <w:sz w:val="28"/>
                <w:szCs w:val="28"/>
                <w:lang w:bidi="kn-IN"/>
              </w:rPr>
              <w:t>Статистич</w:t>
            </w:r>
            <w:r w:rsidRPr="00145B66">
              <w:rPr>
                <w:rFonts w:ascii="Times New Roman" w:hAnsi="Times New Roman"/>
                <w:sz w:val="28"/>
                <w:szCs w:val="28"/>
                <w:lang w:bidi="kn-IN"/>
              </w:rPr>
              <w:t>еский</w:t>
            </w:r>
            <w:r>
              <w:rPr>
                <w:rFonts w:ascii="Times New Roman" w:hAnsi="Times New Roman"/>
                <w:sz w:val="28"/>
                <w:szCs w:val="28"/>
                <w:lang w:bidi="kn-IN"/>
              </w:rPr>
              <w:t xml:space="preserve"> анализ данных…………………………………</w:t>
            </w:r>
            <w:proofErr w:type="gramStart"/>
            <w:r>
              <w:rPr>
                <w:rFonts w:ascii="Times New Roman" w:hAnsi="Times New Roman"/>
                <w:sz w:val="28"/>
                <w:szCs w:val="28"/>
                <w:lang w:bidi="kn-IN"/>
              </w:rPr>
              <w:t>…….</w:t>
            </w:r>
            <w:proofErr w:type="gramEnd"/>
            <w:r>
              <w:rPr>
                <w:rFonts w:ascii="Times New Roman" w:hAnsi="Times New Roman"/>
                <w:sz w:val="28"/>
                <w:szCs w:val="28"/>
                <w:lang w:bidi="kn-IN"/>
              </w:rPr>
              <w:t>.</w:t>
            </w:r>
          </w:p>
        </w:tc>
        <w:tc>
          <w:tcPr>
            <w:tcW w:w="636" w:type="dxa"/>
            <w:shd w:val="clear" w:color="auto" w:fill="auto"/>
          </w:tcPr>
          <w:p w14:paraId="6C549AF7" w14:textId="77777777" w:rsidR="009C1019" w:rsidRPr="004608D4"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60</w:t>
            </w:r>
          </w:p>
        </w:tc>
      </w:tr>
      <w:tr w:rsidR="009C1019" w:rsidRPr="00145B66" w14:paraId="0B881003" w14:textId="77777777" w:rsidTr="007D0DA1">
        <w:trPr>
          <w:trHeight w:val="340"/>
        </w:trPr>
        <w:tc>
          <w:tcPr>
            <w:tcW w:w="776" w:type="dxa"/>
            <w:shd w:val="clear" w:color="auto" w:fill="auto"/>
          </w:tcPr>
          <w:p w14:paraId="5273E900" w14:textId="77777777" w:rsidR="009C1019" w:rsidRPr="00145B66" w:rsidRDefault="009C1019" w:rsidP="00094F6F">
            <w:pPr>
              <w:spacing w:after="0" w:line="240" w:lineRule="auto"/>
              <w:rPr>
                <w:rFonts w:ascii="Times New Roman" w:hAnsi="Times New Roman"/>
                <w:b/>
                <w:sz w:val="28"/>
                <w:szCs w:val="28"/>
                <w:lang w:bidi="kn-IN"/>
              </w:rPr>
            </w:pPr>
            <w:r w:rsidRPr="00145B66">
              <w:rPr>
                <w:rFonts w:ascii="Times New Roman" w:hAnsi="Times New Roman"/>
                <w:b/>
                <w:sz w:val="28"/>
                <w:szCs w:val="28"/>
                <w:lang w:bidi="kn-IN"/>
              </w:rPr>
              <w:t>3</w:t>
            </w:r>
          </w:p>
        </w:tc>
        <w:tc>
          <w:tcPr>
            <w:tcW w:w="8407" w:type="dxa"/>
            <w:shd w:val="clear" w:color="auto" w:fill="auto"/>
          </w:tcPr>
          <w:p w14:paraId="43BE98FD" w14:textId="77777777" w:rsidR="009C1019" w:rsidRPr="00145B66" w:rsidRDefault="009C1019" w:rsidP="00094F6F">
            <w:pPr>
              <w:tabs>
                <w:tab w:val="left" w:pos="0"/>
              </w:tabs>
              <w:spacing w:after="0" w:line="240" w:lineRule="auto"/>
              <w:jc w:val="both"/>
              <w:rPr>
                <w:rFonts w:ascii="Times New Roman" w:hAnsi="Times New Roman"/>
                <w:sz w:val="28"/>
                <w:szCs w:val="28"/>
                <w:lang w:bidi="kn-IN"/>
              </w:rPr>
            </w:pPr>
            <w:r w:rsidRPr="0024615B">
              <w:rPr>
                <w:rFonts w:ascii="Times New Roman" w:hAnsi="Times New Roman"/>
                <w:b/>
                <w:sz w:val="28"/>
                <w:szCs w:val="28"/>
                <w:lang w:bidi="kn-IN"/>
              </w:rPr>
              <w:t xml:space="preserve">ПРОГНОСТИЧЕСКИЕ ФАКТОРЫ И ВЫЖИВАЕМОСТЬ БОЛЬНЫХ ПРИ РАКЕ ОБОДОЧНОЙ КИШКИ ПОСЛЕ РАДИКАЛЬНОГО ХИРУРГИЧЕСКОГО ЛЕЧЕНИЯ </w:t>
            </w:r>
            <w:r w:rsidRPr="00145B66">
              <w:rPr>
                <w:rFonts w:ascii="Times New Roman" w:hAnsi="Times New Roman"/>
                <w:sz w:val="28"/>
                <w:szCs w:val="28"/>
                <w:lang w:bidi="kn-IN"/>
              </w:rPr>
              <w:t>…</w:t>
            </w:r>
            <w:r>
              <w:rPr>
                <w:rFonts w:ascii="Times New Roman" w:hAnsi="Times New Roman"/>
                <w:sz w:val="28"/>
                <w:szCs w:val="28"/>
                <w:lang w:bidi="kn-IN"/>
              </w:rPr>
              <w:t>...</w:t>
            </w:r>
            <w:r w:rsidRPr="00145B66">
              <w:rPr>
                <w:rFonts w:ascii="Times New Roman" w:hAnsi="Times New Roman"/>
                <w:sz w:val="28"/>
                <w:szCs w:val="28"/>
                <w:lang w:bidi="kn-IN"/>
              </w:rPr>
              <w:t>………</w:t>
            </w:r>
          </w:p>
        </w:tc>
        <w:tc>
          <w:tcPr>
            <w:tcW w:w="636" w:type="dxa"/>
            <w:shd w:val="clear" w:color="auto" w:fill="auto"/>
          </w:tcPr>
          <w:p w14:paraId="020002A6" w14:textId="77777777" w:rsidR="009C1019" w:rsidRDefault="009C1019" w:rsidP="00094F6F">
            <w:pPr>
              <w:spacing w:after="0" w:line="240" w:lineRule="auto"/>
              <w:rPr>
                <w:rFonts w:ascii="Times New Roman" w:hAnsi="Times New Roman"/>
                <w:sz w:val="28"/>
                <w:szCs w:val="28"/>
                <w:lang w:bidi="kn-IN"/>
              </w:rPr>
            </w:pPr>
          </w:p>
          <w:p w14:paraId="55723A86" w14:textId="77777777" w:rsidR="009C1019" w:rsidRDefault="009C1019" w:rsidP="00094F6F">
            <w:pPr>
              <w:spacing w:after="0" w:line="240" w:lineRule="auto"/>
              <w:rPr>
                <w:rFonts w:ascii="Times New Roman" w:hAnsi="Times New Roman"/>
                <w:sz w:val="28"/>
                <w:szCs w:val="28"/>
                <w:lang w:bidi="kn-IN"/>
              </w:rPr>
            </w:pPr>
          </w:p>
          <w:p w14:paraId="1A3C0492" w14:textId="77777777" w:rsidR="009C1019" w:rsidRPr="004608D4"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67</w:t>
            </w:r>
          </w:p>
        </w:tc>
      </w:tr>
      <w:tr w:rsidR="009C1019" w:rsidRPr="00145B66" w14:paraId="747D53BD" w14:textId="77777777" w:rsidTr="007D0DA1">
        <w:trPr>
          <w:trHeight w:val="340"/>
        </w:trPr>
        <w:tc>
          <w:tcPr>
            <w:tcW w:w="776" w:type="dxa"/>
            <w:shd w:val="clear" w:color="auto" w:fill="auto"/>
          </w:tcPr>
          <w:p w14:paraId="7DDAF4B0" w14:textId="77777777" w:rsidR="009C1019" w:rsidRPr="00145B66"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3.1</w:t>
            </w:r>
          </w:p>
        </w:tc>
        <w:tc>
          <w:tcPr>
            <w:tcW w:w="8407" w:type="dxa"/>
            <w:shd w:val="clear" w:color="auto" w:fill="auto"/>
          </w:tcPr>
          <w:p w14:paraId="53EA0D94" w14:textId="77777777" w:rsidR="009C1019" w:rsidRPr="00145B66" w:rsidRDefault="009C1019" w:rsidP="00094F6F">
            <w:pPr>
              <w:tabs>
                <w:tab w:val="left" w:pos="0"/>
              </w:tabs>
              <w:spacing w:after="0" w:line="240" w:lineRule="auto"/>
              <w:jc w:val="both"/>
              <w:rPr>
                <w:rFonts w:ascii="Times New Roman" w:hAnsi="Times New Roman"/>
                <w:sz w:val="28"/>
                <w:szCs w:val="28"/>
                <w:lang w:bidi="kn-IN"/>
              </w:rPr>
            </w:pPr>
            <w:r w:rsidRPr="004C7459">
              <w:rPr>
                <w:rFonts w:ascii="Times New Roman" w:hAnsi="Times New Roman"/>
                <w:sz w:val="28"/>
                <w:szCs w:val="28"/>
                <w:lang w:bidi="kn-IN"/>
              </w:rPr>
              <w:t xml:space="preserve">Анализа </w:t>
            </w:r>
            <w:r>
              <w:rPr>
                <w:rFonts w:ascii="Times New Roman" w:hAnsi="Times New Roman"/>
                <w:sz w:val="28"/>
                <w:szCs w:val="28"/>
                <w:lang w:bidi="kn-IN"/>
              </w:rPr>
              <w:t>предикторов</w:t>
            </w:r>
            <w:r w:rsidRPr="004C7459">
              <w:rPr>
                <w:rFonts w:ascii="Times New Roman" w:hAnsi="Times New Roman"/>
                <w:sz w:val="28"/>
                <w:szCs w:val="28"/>
                <w:lang w:bidi="kn-IN"/>
              </w:rPr>
              <w:t>, влияющих</w:t>
            </w:r>
            <w:r w:rsidRPr="0024615B">
              <w:rPr>
                <w:rFonts w:ascii="Times New Roman" w:hAnsi="Times New Roman"/>
                <w:sz w:val="28"/>
                <w:szCs w:val="28"/>
                <w:lang w:bidi="kn-IN"/>
              </w:rPr>
              <w:t xml:space="preserve"> на выживаемость больных при раке ободочной кишки после радикального хирургического </w:t>
            </w:r>
            <w:proofErr w:type="gramStart"/>
            <w:r w:rsidRPr="0024615B">
              <w:rPr>
                <w:rFonts w:ascii="Times New Roman" w:hAnsi="Times New Roman"/>
                <w:sz w:val="28"/>
                <w:szCs w:val="28"/>
                <w:lang w:bidi="kn-IN"/>
              </w:rPr>
              <w:t>лечения</w:t>
            </w:r>
            <w:r w:rsidRPr="00145B66">
              <w:rPr>
                <w:rFonts w:ascii="Times New Roman" w:hAnsi="Times New Roman"/>
                <w:sz w:val="28"/>
                <w:szCs w:val="28"/>
                <w:lang w:bidi="kn-IN"/>
              </w:rPr>
              <w:t>)</w:t>
            </w:r>
            <w:r>
              <w:rPr>
                <w:rFonts w:ascii="Times New Roman" w:hAnsi="Times New Roman"/>
                <w:sz w:val="28"/>
                <w:szCs w:val="28"/>
                <w:lang w:bidi="kn-IN"/>
              </w:rPr>
              <w:t>…</w:t>
            </w:r>
            <w:proofErr w:type="gramEnd"/>
            <w:r>
              <w:rPr>
                <w:rFonts w:ascii="Times New Roman" w:hAnsi="Times New Roman"/>
                <w:sz w:val="28"/>
                <w:szCs w:val="28"/>
                <w:lang w:bidi="kn-IN"/>
              </w:rPr>
              <w:t>……………………………………………………………….</w:t>
            </w:r>
            <w:r w:rsidRPr="00145B66">
              <w:rPr>
                <w:rFonts w:ascii="Times New Roman" w:hAnsi="Times New Roman"/>
                <w:sz w:val="28"/>
                <w:szCs w:val="28"/>
                <w:lang w:bidi="kn-IN"/>
              </w:rPr>
              <w:t>.</w:t>
            </w:r>
          </w:p>
        </w:tc>
        <w:tc>
          <w:tcPr>
            <w:tcW w:w="636" w:type="dxa"/>
            <w:shd w:val="clear" w:color="auto" w:fill="auto"/>
          </w:tcPr>
          <w:p w14:paraId="5517DA87" w14:textId="038D7F27" w:rsidR="009C1019" w:rsidRDefault="009C1019" w:rsidP="00094F6F">
            <w:pPr>
              <w:spacing w:after="0" w:line="240" w:lineRule="auto"/>
              <w:rPr>
                <w:rFonts w:ascii="Times New Roman" w:hAnsi="Times New Roman"/>
                <w:sz w:val="28"/>
                <w:szCs w:val="28"/>
                <w:lang w:bidi="kn-IN"/>
              </w:rPr>
            </w:pPr>
          </w:p>
          <w:p w14:paraId="6653A640" w14:textId="77777777" w:rsidR="003F1ADB" w:rsidRDefault="003F1ADB" w:rsidP="00094F6F">
            <w:pPr>
              <w:spacing w:after="0" w:line="240" w:lineRule="auto"/>
              <w:rPr>
                <w:rFonts w:ascii="Times New Roman" w:hAnsi="Times New Roman"/>
                <w:sz w:val="28"/>
                <w:szCs w:val="28"/>
                <w:lang w:bidi="kn-IN"/>
              </w:rPr>
            </w:pPr>
          </w:p>
          <w:p w14:paraId="0F275F3D" w14:textId="77777777" w:rsidR="009C1019" w:rsidRPr="004608D4"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67</w:t>
            </w:r>
          </w:p>
        </w:tc>
      </w:tr>
      <w:tr w:rsidR="009C1019" w:rsidRPr="00145B66" w14:paraId="12C2509C" w14:textId="77777777" w:rsidTr="007D0DA1">
        <w:trPr>
          <w:trHeight w:val="340"/>
        </w:trPr>
        <w:tc>
          <w:tcPr>
            <w:tcW w:w="776" w:type="dxa"/>
            <w:shd w:val="clear" w:color="auto" w:fill="auto"/>
          </w:tcPr>
          <w:p w14:paraId="07027CCA" w14:textId="77777777" w:rsidR="009C1019" w:rsidRPr="00145B66"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3.2</w:t>
            </w:r>
          </w:p>
        </w:tc>
        <w:tc>
          <w:tcPr>
            <w:tcW w:w="8407" w:type="dxa"/>
            <w:shd w:val="clear" w:color="auto" w:fill="auto"/>
          </w:tcPr>
          <w:p w14:paraId="057A0011" w14:textId="77777777" w:rsidR="009C1019" w:rsidRPr="00145B66" w:rsidRDefault="009C1019" w:rsidP="00094F6F">
            <w:pPr>
              <w:tabs>
                <w:tab w:val="left" w:pos="0"/>
              </w:tabs>
              <w:spacing w:after="0" w:line="240" w:lineRule="auto"/>
              <w:jc w:val="both"/>
              <w:rPr>
                <w:rFonts w:ascii="Times New Roman" w:hAnsi="Times New Roman"/>
                <w:bCs/>
                <w:sz w:val="28"/>
                <w:szCs w:val="28"/>
                <w:lang w:bidi="kn-IN"/>
              </w:rPr>
            </w:pPr>
            <w:bookmarkStart w:id="0" w:name="_Hlk104372532"/>
            <w:r>
              <w:rPr>
                <w:rFonts w:ascii="Times New Roman" w:hAnsi="Times New Roman"/>
                <w:bCs/>
                <w:sz w:val="28"/>
                <w:szCs w:val="28"/>
                <w:lang w:bidi="kn-IN"/>
              </w:rPr>
              <w:t>Оценка показателей выживаемости больных при раке ободочной кишки после хирургического лечени</w:t>
            </w:r>
            <w:bookmarkEnd w:id="0"/>
            <w:r>
              <w:rPr>
                <w:rFonts w:ascii="Times New Roman" w:hAnsi="Times New Roman"/>
                <w:bCs/>
                <w:sz w:val="28"/>
                <w:szCs w:val="28"/>
                <w:lang w:bidi="kn-IN"/>
              </w:rPr>
              <w:t>я</w:t>
            </w:r>
            <w:r w:rsidRPr="00145B66">
              <w:rPr>
                <w:rFonts w:ascii="Times New Roman" w:hAnsi="Times New Roman"/>
                <w:bCs/>
                <w:sz w:val="28"/>
                <w:szCs w:val="28"/>
                <w:lang w:bidi="kn-IN"/>
              </w:rPr>
              <w:t>………</w:t>
            </w:r>
            <w:proofErr w:type="gramStart"/>
            <w:r w:rsidRPr="00145B66">
              <w:rPr>
                <w:rFonts w:ascii="Times New Roman" w:hAnsi="Times New Roman"/>
                <w:bCs/>
                <w:sz w:val="28"/>
                <w:szCs w:val="28"/>
                <w:lang w:bidi="kn-IN"/>
              </w:rPr>
              <w:t>…</w:t>
            </w:r>
            <w:r>
              <w:rPr>
                <w:rFonts w:ascii="Times New Roman" w:hAnsi="Times New Roman"/>
                <w:bCs/>
                <w:sz w:val="28"/>
                <w:szCs w:val="28"/>
                <w:lang w:bidi="kn-IN"/>
              </w:rPr>
              <w:t>….</w:t>
            </w:r>
            <w:proofErr w:type="gramEnd"/>
            <w:r>
              <w:rPr>
                <w:rFonts w:ascii="Times New Roman" w:hAnsi="Times New Roman"/>
                <w:bCs/>
                <w:sz w:val="28"/>
                <w:szCs w:val="28"/>
                <w:lang w:bidi="kn-IN"/>
              </w:rPr>
              <w:t>.</w:t>
            </w:r>
            <w:r w:rsidRPr="00145B66">
              <w:rPr>
                <w:rFonts w:ascii="Times New Roman" w:hAnsi="Times New Roman"/>
                <w:bCs/>
                <w:sz w:val="28"/>
                <w:szCs w:val="28"/>
                <w:lang w:bidi="kn-IN"/>
              </w:rPr>
              <w:t>………………</w:t>
            </w:r>
            <w:r>
              <w:rPr>
                <w:rFonts w:ascii="Times New Roman" w:hAnsi="Times New Roman"/>
                <w:bCs/>
                <w:sz w:val="28"/>
                <w:szCs w:val="28"/>
                <w:lang w:bidi="kn-IN"/>
              </w:rPr>
              <w:t>..</w:t>
            </w:r>
            <w:r w:rsidRPr="00145B66">
              <w:rPr>
                <w:rFonts w:ascii="Times New Roman" w:hAnsi="Times New Roman"/>
                <w:bCs/>
                <w:sz w:val="28"/>
                <w:szCs w:val="28"/>
                <w:lang w:bidi="kn-IN"/>
              </w:rPr>
              <w:t>…</w:t>
            </w:r>
          </w:p>
        </w:tc>
        <w:tc>
          <w:tcPr>
            <w:tcW w:w="636" w:type="dxa"/>
            <w:shd w:val="clear" w:color="auto" w:fill="auto"/>
          </w:tcPr>
          <w:p w14:paraId="3CC529AC" w14:textId="77777777" w:rsidR="003F1ADB" w:rsidRDefault="003F1ADB" w:rsidP="00094F6F">
            <w:pPr>
              <w:spacing w:after="0" w:line="240" w:lineRule="auto"/>
              <w:rPr>
                <w:rFonts w:ascii="Times New Roman" w:hAnsi="Times New Roman"/>
                <w:sz w:val="28"/>
                <w:szCs w:val="28"/>
                <w:lang w:bidi="kn-IN"/>
              </w:rPr>
            </w:pPr>
          </w:p>
          <w:p w14:paraId="346145DF" w14:textId="321DD019" w:rsidR="009C1019" w:rsidRPr="00D24F97"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73</w:t>
            </w:r>
          </w:p>
        </w:tc>
      </w:tr>
      <w:tr w:rsidR="007D0DA1" w:rsidRPr="00145B66" w14:paraId="4DA2106E" w14:textId="77777777" w:rsidTr="007D0DA1">
        <w:trPr>
          <w:trHeight w:val="340"/>
        </w:trPr>
        <w:tc>
          <w:tcPr>
            <w:tcW w:w="776" w:type="dxa"/>
            <w:shd w:val="clear" w:color="auto" w:fill="auto"/>
          </w:tcPr>
          <w:p w14:paraId="21AF9BFB" w14:textId="77777777" w:rsidR="007D0DA1" w:rsidRPr="00382E4D" w:rsidRDefault="007D0DA1" w:rsidP="00094F6F">
            <w:pPr>
              <w:spacing w:after="0" w:line="240" w:lineRule="auto"/>
              <w:rPr>
                <w:rFonts w:ascii="Times New Roman" w:hAnsi="Times New Roman"/>
                <w:b/>
                <w:bCs/>
                <w:sz w:val="28"/>
                <w:szCs w:val="28"/>
                <w:lang w:bidi="kn-IN"/>
              </w:rPr>
            </w:pPr>
          </w:p>
        </w:tc>
        <w:tc>
          <w:tcPr>
            <w:tcW w:w="8407" w:type="dxa"/>
            <w:shd w:val="clear" w:color="auto" w:fill="auto"/>
          </w:tcPr>
          <w:p w14:paraId="68FFACC5" w14:textId="77777777" w:rsidR="007D0DA1" w:rsidRPr="00382E4D" w:rsidRDefault="007D0DA1" w:rsidP="00094F6F">
            <w:pPr>
              <w:tabs>
                <w:tab w:val="left" w:pos="0"/>
                <w:tab w:val="left" w:pos="851"/>
              </w:tabs>
              <w:spacing w:after="0" w:line="240" w:lineRule="auto"/>
              <w:jc w:val="both"/>
              <w:rPr>
                <w:rFonts w:ascii="Times New Roman" w:hAnsi="Times New Roman"/>
                <w:b/>
                <w:bCs/>
                <w:sz w:val="28"/>
                <w:szCs w:val="28"/>
              </w:rPr>
            </w:pPr>
          </w:p>
        </w:tc>
        <w:tc>
          <w:tcPr>
            <w:tcW w:w="636" w:type="dxa"/>
            <w:shd w:val="clear" w:color="auto" w:fill="auto"/>
            <w:vAlign w:val="bottom"/>
          </w:tcPr>
          <w:p w14:paraId="3393F16F" w14:textId="77777777" w:rsidR="007D0DA1" w:rsidRPr="00145B66" w:rsidRDefault="007D0DA1" w:rsidP="003F1ADB">
            <w:pPr>
              <w:spacing w:after="0" w:line="240" w:lineRule="auto"/>
              <w:rPr>
                <w:rFonts w:ascii="Times New Roman" w:hAnsi="Times New Roman"/>
                <w:sz w:val="28"/>
                <w:szCs w:val="28"/>
                <w:lang w:bidi="kn-IN"/>
              </w:rPr>
            </w:pPr>
          </w:p>
        </w:tc>
      </w:tr>
      <w:tr w:rsidR="007D0DA1" w:rsidRPr="00145B66" w14:paraId="1D46CFF3" w14:textId="77777777" w:rsidTr="007D0DA1">
        <w:trPr>
          <w:trHeight w:val="340"/>
        </w:trPr>
        <w:tc>
          <w:tcPr>
            <w:tcW w:w="776" w:type="dxa"/>
            <w:shd w:val="clear" w:color="auto" w:fill="auto"/>
          </w:tcPr>
          <w:p w14:paraId="06A1A042" w14:textId="77777777" w:rsidR="007D0DA1" w:rsidRPr="00382E4D" w:rsidRDefault="007D0DA1" w:rsidP="00094F6F">
            <w:pPr>
              <w:spacing w:after="0" w:line="240" w:lineRule="auto"/>
              <w:rPr>
                <w:rFonts w:ascii="Times New Roman" w:hAnsi="Times New Roman"/>
                <w:b/>
                <w:bCs/>
                <w:sz w:val="28"/>
                <w:szCs w:val="28"/>
                <w:lang w:bidi="kn-IN"/>
              </w:rPr>
            </w:pPr>
          </w:p>
        </w:tc>
        <w:tc>
          <w:tcPr>
            <w:tcW w:w="8407" w:type="dxa"/>
            <w:shd w:val="clear" w:color="auto" w:fill="auto"/>
          </w:tcPr>
          <w:p w14:paraId="018DA912" w14:textId="77777777" w:rsidR="007D0DA1" w:rsidRPr="00382E4D" w:rsidRDefault="007D0DA1" w:rsidP="00094F6F">
            <w:pPr>
              <w:tabs>
                <w:tab w:val="left" w:pos="0"/>
                <w:tab w:val="left" w:pos="851"/>
              </w:tabs>
              <w:spacing w:after="0" w:line="240" w:lineRule="auto"/>
              <w:jc w:val="both"/>
              <w:rPr>
                <w:rFonts w:ascii="Times New Roman" w:hAnsi="Times New Roman"/>
                <w:b/>
                <w:bCs/>
                <w:sz w:val="28"/>
                <w:szCs w:val="28"/>
              </w:rPr>
            </w:pPr>
          </w:p>
        </w:tc>
        <w:tc>
          <w:tcPr>
            <w:tcW w:w="636" w:type="dxa"/>
            <w:shd w:val="clear" w:color="auto" w:fill="auto"/>
            <w:vAlign w:val="bottom"/>
          </w:tcPr>
          <w:p w14:paraId="329BC7A5" w14:textId="77777777" w:rsidR="007D0DA1" w:rsidRPr="00145B66" w:rsidRDefault="007D0DA1" w:rsidP="003F1ADB">
            <w:pPr>
              <w:spacing w:after="0" w:line="240" w:lineRule="auto"/>
              <w:rPr>
                <w:rFonts w:ascii="Times New Roman" w:hAnsi="Times New Roman"/>
                <w:sz w:val="28"/>
                <w:szCs w:val="28"/>
                <w:lang w:bidi="kn-IN"/>
              </w:rPr>
            </w:pPr>
          </w:p>
        </w:tc>
      </w:tr>
      <w:tr w:rsidR="009C1019" w:rsidRPr="00145B66" w14:paraId="2D1635AC" w14:textId="77777777" w:rsidTr="007D0DA1">
        <w:trPr>
          <w:trHeight w:val="340"/>
        </w:trPr>
        <w:tc>
          <w:tcPr>
            <w:tcW w:w="776" w:type="dxa"/>
            <w:shd w:val="clear" w:color="auto" w:fill="auto"/>
          </w:tcPr>
          <w:p w14:paraId="439B26EC" w14:textId="77777777" w:rsidR="009C1019" w:rsidRPr="00382E4D" w:rsidRDefault="009C1019" w:rsidP="00094F6F">
            <w:pPr>
              <w:spacing w:after="0" w:line="240" w:lineRule="auto"/>
              <w:rPr>
                <w:rFonts w:ascii="Times New Roman" w:hAnsi="Times New Roman"/>
                <w:b/>
                <w:bCs/>
                <w:sz w:val="28"/>
                <w:szCs w:val="28"/>
                <w:highlight w:val="yellow"/>
                <w:lang w:bidi="kn-IN"/>
              </w:rPr>
            </w:pPr>
            <w:r w:rsidRPr="00382E4D">
              <w:rPr>
                <w:rFonts w:ascii="Times New Roman" w:hAnsi="Times New Roman"/>
                <w:b/>
                <w:bCs/>
                <w:sz w:val="28"/>
                <w:szCs w:val="28"/>
                <w:lang w:bidi="kn-IN"/>
              </w:rPr>
              <w:lastRenderedPageBreak/>
              <w:t>4</w:t>
            </w:r>
          </w:p>
        </w:tc>
        <w:tc>
          <w:tcPr>
            <w:tcW w:w="8407" w:type="dxa"/>
            <w:shd w:val="clear" w:color="auto" w:fill="auto"/>
          </w:tcPr>
          <w:p w14:paraId="3230F2B1" w14:textId="4C23ACFD" w:rsidR="009C1019" w:rsidRPr="00382E4D" w:rsidRDefault="009C1019" w:rsidP="00094F6F">
            <w:pPr>
              <w:tabs>
                <w:tab w:val="left" w:pos="0"/>
                <w:tab w:val="left" w:pos="851"/>
              </w:tabs>
              <w:spacing w:after="0" w:line="240" w:lineRule="auto"/>
              <w:jc w:val="both"/>
              <w:rPr>
                <w:rFonts w:ascii="Times New Roman" w:hAnsi="Times New Roman"/>
                <w:b/>
                <w:bCs/>
                <w:sz w:val="28"/>
                <w:szCs w:val="28"/>
              </w:rPr>
            </w:pPr>
            <w:r w:rsidRPr="00382E4D">
              <w:rPr>
                <w:rFonts w:ascii="Times New Roman" w:hAnsi="Times New Roman"/>
                <w:b/>
                <w:bCs/>
                <w:sz w:val="28"/>
                <w:szCs w:val="28"/>
              </w:rPr>
              <w:t>ОЦЕНКА ФУНКЦИОНАЛЬНЫХ ОСЛОЖНЕНИЙ, КАЧЕСТВА ЖИЗНИ И РЕАБИЛИТАЦИОННЫХ МЕРОПРИЯТИЙ ПОСЛЕ ХИРУРГИЧЕСКОГО ЛЕЧЕНИЯ</w:t>
            </w:r>
            <w:r w:rsidRPr="00382E4D">
              <w:rPr>
                <w:rFonts w:ascii="Times New Roman" w:hAnsi="Times New Roman"/>
                <w:bCs/>
                <w:sz w:val="28"/>
                <w:szCs w:val="28"/>
                <w:lang w:bidi="kn-IN"/>
              </w:rPr>
              <w:t>……………</w:t>
            </w:r>
            <w:r w:rsidR="008260C5">
              <w:rPr>
                <w:rFonts w:ascii="Times New Roman" w:hAnsi="Times New Roman"/>
                <w:bCs/>
                <w:sz w:val="28"/>
                <w:szCs w:val="28"/>
                <w:lang w:bidi="kn-IN"/>
              </w:rPr>
              <w:t>………………………………………………….</w:t>
            </w:r>
          </w:p>
        </w:tc>
        <w:tc>
          <w:tcPr>
            <w:tcW w:w="636" w:type="dxa"/>
            <w:shd w:val="clear" w:color="auto" w:fill="auto"/>
            <w:vAlign w:val="bottom"/>
          </w:tcPr>
          <w:p w14:paraId="1ADB4AAB" w14:textId="77777777" w:rsidR="009C1019" w:rsidRPr="00145B66" w:rsidRDefault="009C1019" w:rsidP="003F1ADB">
            <w:pPr>
              <w:spacing w:after="0" w:line="240" w:lineRule="auto"/>
              <w:rPr>
                <w:rFonts w:ascii="Times New Roman" w:hAnsi="Times New Roman"/>
                <w:sz w:val="28"/>
                <w:szCs w:val="28"/>
                <w:lang w:bidi="kn-IN"/>
              </w:rPr>
            </w:pPr>
          </w:p>
          <w:p w14:paraId="69CC37D8" w14:textId="77777777" w:rsidR="009C1019" w:rsidRDefault="009C1019" w:rsidP="003F1ADB">
            <w:pPr>
              <w:spacing w:after="0" w:line="240" w:lineRule="auto"/>
              <w:rPr>
                <w:rFonts w:ascii="Times New Roman" w:hAnsi="Times New Roman"/>
                <w:sz w:val="28"/>
                <w:szCs w:val="28"/>
                <w:lang w:bidi="kn-IN"/>
              </w:rPr>
            </w:pPr>
          </w:p>
          <w:p w14:paraId="5A873C5F" w14:textId="72DC761C" w:rsidR="009C1019" w:rsidRDefault="009C1019" w:rsidP="003F1ADB">
            <w:pPr>
              <w:spacing w:after="0" w:line="240" w:lineRule="auto"/>
              <w:rPr>
                <w:rFonts w:ascii="Times New Roman" w:hAnsi="Times New Roman"/>
                <w:sz w:val="28"/>
                <w:szCs w:val="28"/>
                <w:lang w:bidi="kn-IN"/>
              </w:rPr>
            </w:pPr>
          </w:p>
          <w:p w14:paraId="1123FFBA" w14:textId="77777777" w:rsidR="009C1019" w:rsidRPr="005D1048" w:rsidRDefault="009C1019" w:rsidP="003F1ADB">
            <w:pPr>
              <w:spacing w:after="0" w:line="240" w:lineRule="auto"/>
              <w:rPr>
                <w:rFonts w:ascii="Times New Roman" w:hAnsi="Times New Roman"/>
                <w:sz w:val="28"/>
                <w:szCs w:val="28"/>
                <w:lang w:val="en-US" w:bidi="kn-IN"/>
              </w:rPr>
            </w:pPr>
            <w:r>
              <w:rPr>
                <w:rFonts w:ascii="Times New Roman" w:hAnsi="Times New Roman"/>
                <w:sz w:val="28"/>
                <w:szCs w:val="28"/>
                <w:lang w:bidi="kn-IN"/>
              </w:rPr>
              <w:t>86</w:t>
            </w:r>
          </w:p>
        </w:tc>
      </w:tr>
      <w:tr w:rsidR="009C1019" w:rsidRPr="00145B66" w14:paraId="5BBC4EA5" w14:textId="77777777" w:rsidTr="007D0DA1">
        <w:trPr>
          <w:trHeight w:val="340"/>
        </w:trPr>
        <w:tc>
          <w:tcPr>
            <w:tcW w:w="776" w:type="dxa"/>
            <w:shd w:val="clear" w:color="auto" w:fill="auto"/>
          </w:tcPr>
          <w:p w14:paraId="4815DCAD" w14:textId="77777777" w:rsidR="009C1019" w:rsidRPr="00D5132A" w:rsidRDefault="009C1019" w:rsidP="00094F6F">
            <w:pPr>
              <w:spacing w:after="0" w:line="240" w:lineRule="auto"/>
              <w:rPr>
                <w:rFonts w:ascii="Times New Roman" w:hAnsi="Times New Roman"/>
                <w:sz w:val="28"/>
                <w:szCs w:val="28"/>
                <w:lang w:bidi="kn-IN"/>
              </w:rPr>
            </w:pPr>
            <w:r w:rsidRPr="00D5132A">
              <w:rPr>
                <w:rFonts w:ascii="Times New Roman" w:hAnsi="Times New Roman"/>
                <w:sz w:val="28"/>
                <w:szCs w:val="28"/>
                <w:lang w:bidi="kn-IN"/>
              </w:rPr>
              <w:t>4.1</w:t>
            </w:r>
          </w:p>
        </w:tc>
        <w:tc>
          <w:tcPr>
            <w:tcW w:w="8407" w:type="dxa"/>
            <w:shd w:val="clear" w:color="auto" w:fill="auto"/>
          </w:tcPr>
          <w:p w14:paraId="09BFC6D9" w14:textId="77777777" w:rsidR="009C1019" w:rsidRPr="00382E4D" w:rsidRDefault="009C1019" w:rsidP="00094F6F">
            <w:pPr>
              <w:tabs>
                <w:tab w:val="left" w:pos="0"/>
                <w:tab w:val="left" w:pos="851"/>
              </w:tabs>
              <w:spacing w:after="0" w:line="240" w:lineRule="auto"/>
              <w:jc w:val="both"/>
              <w:rPr>
                <w:rFonts w:ascii="Times New Roman" w:hAnsi="Times New Roman"/>
                <w:sz w:val="28"/>
                <w:szCs w:val="28"/>
              </w:rPr>
            </w:pPr>
            <w:r w:rsidRPr="00382E4D">
              <w:rPr>
                <w:rFonts w:ascii="Times New Roman" w:hAnsi="Times New Roman"/>
                <w:sz w:val="28"/>
                <w:szCs w:val="28"/>
              </w:rPr>
              <w:t>Клинико-лабораторная оценка функциональных осложнений после хирургического лечения злокачественных новообразований ободочной кишки</w:t>
            </w:r>
            <w:r>
              <w:rPr>
                <w:rFonts w:ascii="Times New Roman" w:hAnsi="Times New Roman"/>
                <w:sz w:val="28"/>
                <w:szCs w:val="28"/>
                <w:lang w:bidi="kn-IN"/>
              </w:rPr>
              <w:t>…………………………………………………</w:t>
            </w:r>
            <w:proofErr w:type="gramStart"/>
            <w:r>
              <w:rPr>
                <w:rFonts w:ascii="Times New Roman" w:hAnsi="Times New Roman"/>
                <w:sz w:val="28"/>
                <w:szCs w:val="28"/>
                <w:lang w:bidi="kn-IN"/>
              </w:rPr>
              <w:t>…….</w:t>
            </w:r>
            <w:proofErr w:type="gramEnd"/>
            <w:r>
              <w:rPr>
                <w:rFonts w:ascii="Times New Roman" w:hAnsi="Times New Roman"/>
                <w:sz w:val="28"/>
                <w:szCs w:val="28"/>
                <w:lang w:bidi="kn-IN"/>
              </w:rPr>
              <w:t>.</w:t>
            </w:r>
          </w:p>
        </w:tc>
        <w:tc>
          <w:tcPr>
            <w:tcW w:w="636" w:type="dxa"/>
            <w:shd w:val="clear" w:color="auto" w:fill="auto"/>
          </w:tcPr>
          <w:p w14:paraId="1D3C18D3" w14:textId="77777777" w:rsidR="009C1019" w:rsidRDefault="009C1019" w:rsidP="00094F6F">
            <w:pPr>
              <w:spacing w:after="0" w:line="240" w:lineRule="auto"/>
              <w:rPr>
                <w:rFonts w:ascii="Times New Roman" w:hAnsi="Times New Roman"/>
                <w:sz w:val="28"/>
                <w:szCs w:val="28"/>
                <w:lang w:bidi="kn-IN"/>
              </w:rPr>
            </w:pPr>
          </w:p>
          <w:p w14:paraId="25910DA7" w14:textId="77777777" w:rsidR="009C1019" w:rsidRDefault="009C1019" w:rsidP="00094F6F">
            <w:pPr>
              <w:spacing w:after="0" w:line="240" w:lineRule="auto"/>
              <w:rPr>
                <w:rFonts w:ascii="Times New Roman" w:hAnsi="Times New Roman"/>
                <w:sz w:val="28"/>
                <w:szCs w:val="28"/>
                <w:lang w:bidi="kn-IN"/>
              </w:rPr>
            </w:pPr>
          </w:p>
          <w:p w14:paraId="48C57F95" w14:textId="77777777" w:rsidR="009C1019" w:rsidRPr="00145B66"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86</w:t>
            </w:r>
          </w:p>
        </w:tc>
      </w:tr>
      <w:tr w:rsidR="009C1019" w:rsidRPr="00145B66" w14:paraId="6C552BAC" w14:textId="77777777" w:rsidTr="007D0DA1">
        <w:trPr>
          <w:trHeight w:val="340"/>
        </w:trPr>
        <w:tc>
          <w:tcPr>
            <w:tcW w:w="776" w:type="dxa"/>
            <w:shd w:val="clear" w:color="auto" w:fill="auto"/>
          </w:tcPr>
          <w:p w14:paraId="6221EFC6" w14:textId="77777777" w:rsidR="009C1019" w:rsidRPr="00D5132A" w:rsidRDefault="009C1019" w:rsidP="00094F6F">
            <w:pPr>
              <w:spacing w:after="0" w:line="240" w:lineRule="auto"/>
              <w:rPr>
                <w:rFonts w:ascii="Times New Roman" w:hAnsi="Times New Roman"/>
                <w:sz w:val="28"/>
                <w:szCs w:val="28"/>
                <w:lang w:bidi="kn-IN"/>
              </w:rPr>
            </w:pPr>
            <w:r w:rsidRPr="00D5132A">
              <w:rPr>
                <w:rFonts w:ascii="Times New Roman" w:hAnsi="Times New Roman"/>
                <w:sz w:val="28"/>
                <w:szCs w:val="28"/>
                <w:lang w:bidi="kn-IN"/>
              </w:rPr>
              <w:t>4.2</w:t>
            </w:r>
          </w:p>
        </w:tc>
        <w:tc>
          <w:tcPr>
            <w:tcW w:w="8407" w:type="dxa"/>
            <w:shd w:val="clear" w:color="auto" w:fill="auto"/>
          </w:tcPr>
          <w:p w14:paraId="4AF864FB" w14:textId="77777777" w:rsidR="009C1019" w:rsidRPr="003A17A6" w:rsidRDefault="009C1019" w:rsidP="00094F6F">
            <w:pPr>
              <w:tabs>
                <w:tab w:val="left" w:pos="0"/>
                <w:tab w:val="left" w:pos="851"/>
              </w:tabs>
              <w:spacing w:after="0" w:line="240" w:lineRule="auto"/>
              <w:jc w:val="both"/>
              <w:rPr>
                <w:rFonts w:ascii="Times New Roman" w:hAnsi="Times New Roman"/>
                <w:sz w:val="28"/>
                <w:szCs w:val="28"/>
              </w:rPr>
            </w:pPr>
            <w:r w:rsidRPr="003A17A6">
              <w:rPr>
                <w:rFonts w:ascii="Times New Roman" w:hAnsi="Times New Roman"/>
                <w:sz w:val="28"/>
                <w:szCs w:val="28"/>
              </w:rPr>
              <w:t>Прогностические факторы развития энтероколита после хирургического лечения злокачественных новообразований ободочной кишки</w:t>
            </w:r>
            <w:r>
              <w:rPr>
                <w:rFonts w:ascii="Times New Roman" w:hAnsi="Times New Roman"/>
                <w:sz w:val="28"/>
                <w:szCs w:val="28"/>
                <w:lang w:bidi="kn-IN"/>
              </w:rPr>
              <w:t>…………………………………………………</w:t>
            </w:r>
            <w:proofErr w:type="gramStart"/>
            <w:r>
              <w:rPr>
                <w:rFonts w:ascii="Times New Roman" w:hAnsi="Times New Roman"/>
                <w:sz w:val="28"/>
                <w:szCs w:val="28"/>
                <w:lang w:bidi="kn-IN"/>
              </w:rPr>
              <w:t>…….</w:t>
            </w:r>
            <w:proofErr w:type="gramEnd"/>
            <w:r>
              <w:rPr>
                <w:rFonts w:ascii="Times New Roman" w:hAnsi="Times New Roman"/>
                <w:sz w:val="28"/>
                <w:szCs w:val="28"/>
                <w:lang w:bidi="kn-IN"/>
              </w:rPr>
              <w:t>.</w:t>
            </w:r>
          </w:p>
        </w:tc>
        <w:tc>
          <w:tcPr>
            <w:tcW w:w="636" w:type="dxa"/>
            <w:shd w:val="clear" w:color="auto" w:fill="auto"/>
          </w:tcPr>
          <w:p w14:paraId="3646DA29" w14:textId="77777777" w:rsidR="009C1019" w:rsidRDefault="009C1019" w:rsidP="00094F6F">
            <w:pPr>
              <w:spacing w:after="0" w:line="240" w:lineRule="auto"/>
              <w:rPr>
                <w:rFonts w:ascii="Times New Roman" w:hAnsi="Times New Roman"/>
                <w:sz w:val="28"/>
                <w:szCs w:val="28"/>
                <w:lang w:bidi="kn-IN"/>
              </w:rPr>
            </w:pPr>
          </w:p>
          <w:p w14:paraId="572C1CBA" w14:textId="77777777" w:rsidR="009C1019" w:rsidRDefault="009C1019" w:rsidP="00094F6F">
            <w:pPr>
              <w:spacing w:after="0" w:line="240" w:lineRule="auto"/>
              <w:rPr>
                <w:rFonts w:ascii="Times New Roman" w:hAnsi="Times New Roman"/>
                <w:sz w:val="28"/>
                <w:szCs w:val="28"/>
                <w:lang w:bidi="kn-IN"/>
              </w:rPr>
            </w:pPr>
          </w:p>
          <w:p w14:paraId="5256F07F" w14:textId="77777777" w:rsidR="009C1019" w:rsidRPr="00145B66"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93</w:t>
            </w:r>
          </w:p>
        </w:tc>
      </w:tr>
      <w:tr w:rsidR="009C1019" w:rsidRPr="00145B66" w14:paraId="5D0D3602" w14:textId="77777777" w:rsidTr="007D0DA1">
        <w:trPr>
          <w:trHeight w:val="340"/>
        </w:trPr>
        <w:tc>
          <w:tcPr>
            <w:tcW w:w="776" w:type="dxa"/>
            <w:shd w:val="clear" w:color="auto" w:fill="auto"/>
          </w:tcPr>
          <w:p w14:paraId="1A796923" w14:textId="77777777" w:rsidR="009C1019" w:rsidRPr="00D5132A" w:rsidRDefault="009C1019" w:rsidP="00094F6F">
            <w:pPr>
              <w:spacing w:after="0" w:line="240" w:lineRule="auto"/>
              <w:rPr>
                <w:rFonts w:ascii="Times New Roman" w:hAnsi="Times New Roman"/>
                <w:sz w:val="28"/>
                <w:szCs w:val="28"/>
                <w:lang w:bidi="kn-IN"/>
              </w:rPr>
            </w:pPr>
            <w:r w:rsidRPr="00D5132A">
              <w:rPr>
                <w:rFonts w:ascii="Times New Roman" w:hAnsi="Times New Roman"/>
                <w:sz w:val="28"/>
                <w:szCs w:val="28"/>
                <w:lang w:bidi="kn-IN"/>
              </w:rPr>
              <w:t>4.3</w:t>
            </w:r>
          </w:p>
        </w:tc>
        <w:tc>
          <w:tcPr>
            <w:tcW w:w="8407" w:type="dxa"/>
            <w:shd w:val="clear" w:color="auto" w:fill="auto"/>
          </w:tcPr>
          <w:p w14:paraId="3EC31CBC" w14:textId="77777777" w:rsidR="009C1019" w:rsidRPr="003A17A6" w:rsidRDefault="009C1019" w:rsidP="00094F6F">
            <w:pPr>
              <w:tabs>
                <w:tab w:val="left" w:pos="0"/>
                <w:tab w:val="left" w:pos="851"/>
              </w:tabs>
              <w:spacing w:after="0" w:line="240" w:lineRule="auto"/>
              <w:jc w:val="both"/>
              <w:rPr>
                <w:rFonts w:ascii="Times New Roman" w:hAnsi="Times New Roman"/>
                <w:sz w:val="28"/>
                <w:szCs w:val="28"/>
              </w:rPr>
            </w:pPr>
            <w:r w:rsidRPr="003A17A6">
              <w:rPr>
                <w:rFonts w:ascii="Times New Roman" w:hAnsi="Times New Roman"/>
                <w:sz w:val="28"/>
                <w:szCs w:val="28"/>
              </w:rPr>
              <w:t>Результаты оценки электролитного статуса у больных после радикальных операций по поводу злокачественных новообразований ободочной кишки</w:t>
            </w:r>
            <w:r>
              <w:rPr>
                <w:rFonts w:ascii="Times New Roman" w:hAnsi="Times New Roman"/>
                <w:sz w:val="28"/>
                <w:szCs w:val="28"/>
                <w:lang w:bidi="kn-IN"/>
              </w:rPr>
              <w:t>……………………………………</w:t>
            </w:r>
          </w:p>
        </w:tc>
        <w:tc>
          <w:tcPr>
            <w:tcW w:w="636" w:type="dxa"/>
            <w:shd w:val="clear" w:color="auto" w:fill="auto"/>
          </w:tcPr>
          <w:p w14:paraId="5E323AE7" w14:textId="77777777" w:rsidR="009C1019" w:rsidRDefault="009C1019" w:rsidP="00094F6F">
            <w:pPr>
              <w:spacing w:after="0" w:line="240" w:lineRule="auto"/>
              <w:rPr>
                <w:rFonts w:ascii="Times New Roman" w:hAnsi="Times New Roman"/>
                <w:sz w:val="28"/>
                <w:szCs w:val="28"/>
                <w:lang w:bidi="kn-IN"/>
              </w:rPr>
            </w:pPr>
          </w:p>
          <w:p w14:paraId="480A8B41" w14:textId="77777777" w:rsidR="009C1019" w:rsidRDefault="009C1019" w:rsidP="00094F6F">
            <w:pPr>
              <w:spacing w:after="0" w:line="240" w:lineRule="auto"/>
              <w:rPr>
                <w:rFonts w:ascii="Times New Roman" w:hAnsi="Times New Roman"/>
                <w:sz w:val="28"/>
                <w:szCs w:val="28"/>
                <w:lang w:bidi="kn-IN"/>
              </w:rPr>
            </w:pPr>
          </w:p>
          <w:p w14:paraId="578D2690" w14:textId="77777777" w:rsidR="009C1019"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93</w:t>
            </w:r>
          </w:p>
        </w:tc>
      </w:tr>
      <w:tr w:rsidR="009C1019" w:rsidRPr="00145B66" w14:paraId="4727DF2B" w14:textId="77777777" w:rsidTr="007D0DA1">
        <w:trPr>
          <w:trHeight w:val="340"/>
        </w:trPr>
        <w:tc>
          <w:tcPr>
            <w:tcW w:w="776" w:type="dxa"/>
            <w:shd w:val="clear" w:color="auto" w:fill="auto"/>
          </w:tcPr>
          <w:p w14:paraId="5EDDC071" w14:textId="77777777" w:rsidR="009C1019" w:rsidRPr="00D5132A" w:rsidRDefault="009C1019" w:rsidP="00094F6F">
            <w:pPr>
              <w:spacing w:after="0" w:line="240" w:lineRule="auto"/>
              <w:rPr>
                <w:rFonts w:ascii="Times New Roman" w:hAnsi="Times New Roman"/>
                <w:sz w:val="28"/>
                <w:szCs w:val="28"/>
                <w:lang w:bidi="kn-IN"/>
              </w:rPr>
            </w:pPr>
            <w:r w:rsidRPr="00D5132A">
              <w:rPr>
                <w:rFonts w:ascii="Times New Roman" w:hAnsi="Times New Roman"/>
                <w:sz w:val="28"/>
                <w:szCs w:val="28"/>
                <w:lang w:bidi="kn-IN"/>
              </w:rPr>
              <w:t>4.4</w:t>
            </w:r>
          </w:p>
        </w:tc>
        <w:tc>
          <w:tcPr>
            <w:tcW w:w="8407" w:type="dxa"/>
            <w:shd w:val="clear" w:color="auto" w:fill="auto"/>
          </w:tcPr>
          <w:p w14:paraId="7C2CA775" w14:textId="77777777" w:rsidR="009C1019" w:rsidRPr="003A17A6" w:rsidRDefault="009C1019" w:rsidP="00094F6F">
            <w:pPr>
              <w:tabs>
                <w:tab w:val="left" w:pos="0"/>
                <w:tab w:val="left" w:pos="851"/>
              </w:tabs>
              <w:spacing w:after="0" w:line="240" w:lineRule="auto"/>
              <w:jc w:val="both"/>
              <w:rPr>
                <w:rFonts w:ascii="Times New Roman" w:hAnsi="Times New Roman"/>
                <w:sz w:val="28"/>
                <w:szCs w:val="28"/>
              </w:rPr>
            </w:pPr>
            <w:r w:rsidRPr="003A17A6">
              <w:rPr>
                <w:rFonts w:ascii="Times New Roman" w:hAnsi="Times New Roman"/>
                <w:sz w:val="28"/>
                <w:szCs w:val="28"/>
              </w:rPr>
              <w:t>Результаты оценки нутритивной недостаточности у больных после радикального хирургического лечения злокачественных новообразований ободочной кишки</w:t>
            </w:r>
            <w:r>
              <w:rPr>
                <w:rFonts w:ascii="Times New Roman" w:hAnsi="Times New Roman"/>
                <w:sz w:val="28"/>
                <w:szCs w:val="28"/>
                <w:lang w:bidi="kn-IN"/>
              </w:rPr>
              <w:t>……………………………………</w:t>
            </w:r>
          </w:p>
        </w:tc>
        <w:tc>
          <w:tcPr>
            <w:tcW w:w="636" w:type="dxa"/>
            <w:shd w:val="clear" w:color="auto" w:fill="auto"/>
          </w:tcPr>
          <w:p w14:paraId="58212FBC" w14:textId="77777777" w:rsidR="009C1019" w:rsidRDefault="009C1019" w:rsidP="00094F6F">
            <w:pPr>
              <w:spacing w:after="0" w:line="240" w:lineRule="auto"/>
              <w:rPr>
                <w:rFonts w:ascii="Times New Roman" w:hAnsi="Times New Roman"/>
                <w:sz w:val="28"/>
                <w:szCs w:val="28"/>
                <w:lang w:bidi="kn-IN"/>
              </w:rPr>
            </w:pPr>
          </w:p>
          <w:p w14:paraId="0C311F6F" w14:textId="77777777" w:rsidR="009C1019" w:rsidRDefault="009C1019" w:rsidP="00094F6F">
            <w:pPr>
              <w:spacing w:after="0" w:line="240" w:lineRule="auto"/>
              <w:rPr>
                <w:rFonts w:ascii="Times New Roman" w:hAnsi="Times New Roman"/>
                <w:sz w:val="28"/>
                <w:szCs w:val="28"/>
                <w:lang w:bidi="kn-IN"/>
              </w:rPr>
            </w:pPr>
          </w:p>
          <w:p w14:paraId="538F9A86" w14:textId="77777777" w:rsidR="009C1019"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101</w:t>
            </w:r>
          </w:p>
        </w:tc>
      </w:tr>
      <w:tr w:rsidR="009C1019" w:rsidRPr="00145B66" w14:paraId="4E5DD647" w14:textId="77777777" w:rsidTr="007D0DA1">
        <w:trPr>
          <w:trHeight w:val="340"/>
        </w:trPr>
        <w:tc>
          <w:tcPr>
            <w:tcW w:w="776" w:type="dxa"/>
            <w:shd w:val="clear" w:color="auto" w:fill="auto"/>
          </w:tcPr>
          <w:p w14:paraId="5FA96251" w14:textId="77777777" w:rsidR="009C1019" w:rsidRPr="00D5132A" w:rsidRDefault="009C1019" w:rsidP="00094F6F">
            <w:pPr>
              <w:spacing w:after="0" w:line="240" w:lineRule="auto"/>
              <w:rPr>
                <w:rFonts w:ascii="Times New Roman" w:hAnsi="Times New Roman"/>
                <w:sz w:val="28"/>
                <w:szCs w:val="28"/>
                <w:lang w:bidi="kn-IN"/>
              </w:rPr>
            </w:pPr>
            <w:r w:rsidRPr="00D5132A">
              <w:rPr>
                <w:rFonts w:ascii="Times New Roman" w:hAnsi="Times New Roman"/>
                <w:sz w:val="28"/>
                <w:szCs w:val="28"/>
                <w:lang w:bidi="kn-IN"/>
              </w:rPr>
              <w:t>4.5</w:t>
            </w:r>
          </w:p>
        </w:tc>
        <w:tc>
          <w:tcPr>
            <w:tcW w:w="8407" w:type="dxa"/>
            <w:shd w:val="clear" w:color="auto" w:fill="auto"/>
          </w:tcPr>
          <w:p w14:paraId="002D9446" w14:textId="77777777" w:rsidR="009C1019" w:rsidRPr="003A17A6" w:rsidRDefault="009C1019" w:rsidP="00094F6F">
            <w:pPr>
              <w:tabs>
                <w:tab w:val="left" w:pos="0"/>
                <w:tab w:val="left" w:pos="851"/>
              </w:tabs>
              <w:spacing w:after="0" w:line="240" w:lineRule="auto"/>
              <w:jc w:val="both"/>
              <w:rPr>
                <w:rFonts w:ascii="Times New Roman" w:hAnsi="Times New Roman"/>
                <w:sz w:val="28"/>
                <w:szCs w:val="28"/>
              </w:rPr>
            </w:pPr>
            <w:r w:rsidRPr="00CF6607">
              <w:rPr>
                <w:rFonts w:ascii="Times New Roman" w:hAnsi="Times New Roman"/>
                <w:sz w:val="28"/>
                <w:szCs w:val="28"/>
              </w:rPr>
              <w:t>Динамика показателей качества жизни больных в результате реабилитационных мероприятий</w:t>
            </w:r>
            <w:r>
              <w:rPr>
                <w:rFonts w:ascii="Times New Roman" w:hAnsi="Times New Roman"/>
                <w:sz w:val="28"/>
                <w:szCs w:val="28"/>
                <w:lang w:bidi="kn-IN"/>
              </w:rPr>
              <w:t>……………………………………….</w:t>
            </w:r>
          </w:p>
        </w:tc>
        <w:tc>
          <w:tcPr>
            <w:tcW w:w="636" w:type="dxa"/>
            <w:shd w:val="clear" w:color="auto" w:fill="auto"/>
          </w:tcPr>
          <w:p w14:paraId="6F9DE28C" w14:textId="77777777" w:rsidR="009C1019" w:rsidRDefault="009C1019" w:rsidP="00094F6F">
            <w:pPr>
              <w:spacing w:after="0" w:line="240" w:lineRule="auto"/>
              <w:rPr>
                <w:rFonts w:ascii="Times New Roman" w:hAnsi="Times New Roman"/>
                <w:sz w:val="28"/>
                <w:szCs w:val="28"/>
                <w:lang w:bidi="kn-IN"/>
              </w:rPr>
            </w:pPr>
          </w:p>
          <w:p w14:paraId="1708F9A4" w14:textId="77777777" w:rsidR="009C1019"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103</w:t>
            </w:r>
          </w:p>
        </w:tc>
      </w:tr>
      <w:tr w:rsidR="009C1019" w:rsidRPr="00145B66" w14:paraId="1D489B6F" w14:textId="77777777" w:rsidTr="007D0DA1">
        <w:trPr>
          <w:trHeight w:val="340"/>
        </w:trPr>
        <w:tc>
          <w:tcPr>
            <w:tcW w:w="776" w:type="dxa"/>
            <w:shd w:val="clear" w:color="auto" w:fill="auto"/>
          </w:tcPr>
          <w:p w14:paraId="00F2497F" w14:textId="77777777" w:rsidR="009C1019" w:rsidRPr="00D5132A" w:rsidRDefault="009C1019" w:rsidP="00094F6F">
            <w:pPr>
              <w:spacing w:after="0" w:line="240" w:lineRule="auto"/>
              <w:rPr>
                <w:rFonts w:ascii="Times New Roman" w:hAnsi="Times New Roman"/>
                <w:sz w:val="28"/>
                <w:szCs w:val="28"/>
                <w:lang w:bidi="kn-IN"/>
              </w:rPr>
            </w:pPr>
            <w:r w:rsidRPr="00D5132A">
              <w:rPr>
                <w:rFonts w:ascii="Times New Roman" w:hAnsi="Times New Roman"/>
                <w:sz w:val="28"/>
                <w:szCs w:val="28"/>
                <w:lang w:bidi="kn-IN"/>
              </w:rPr>
              <w:t>4.6</w:t>
            </w:r>
          </w:p>
        </w:tc>
        <w:tc>
          <w:tcPr>
            <w:tcW w:w="8407" w:type="dxa"/>
            <w:shd w:val="clear" w:color="auto" w:fill="auto"/>
          </w:tcPr>
          <w:p w14:paraId="69FA4F99" w14:textId="77777777" w:rsidR="009C1019" w:rsidRPr="003A17A6" w:rsidRDefault="009C1019" w:rsidP="00094F6F">
            <w:pPr>
              <w:tabs>
                <w:tab w:val="left" w:pos="0"/>
                <w:tab w:val="left" w:pos="851"/>
              </w:tabs>
              <w:spacing w:after="0" w:line="240" w:lineRule="auto"/>
              <w:jc w:val="both"/>
              <w:rPr>
                <w:rFonts w:ascii="Times New Roman" w:hAnsi="Times New Roman"/>
                <w:sz w:val="28"/>
                <w:szCs w:val="28"/>
              </w:rPr>
            </w:pPr>
            <w:r w:rsidRPr="00CF6607">
              <w:rPr>
                <w:rFonts w:ascii="Times New Roman" w:hAnsi="Times New Roman"/>
                <w:sz w:val="28"/>
                <w:szCs w:val="28"/>
              </w:rPr>
              <w:t>Оценка влияния реабилитационных мероприятий на общую одногодичную и 3-летнюю выживаемость</w:t>
            </w:r>
            <w:r>
              <w:rPr>
                <w:rFonts w:ascii="Times New Roman" w:hAnsi="Times New Roman"/>
                <w:sz w:val="28"/>
                <w:szCs w:val="28"/>
                <w:lang w:bidi="kn-IN"/>
              </w:rPr>
              <w:t>…………………………….</w:t>
            </w:r>
          </w:p>
        </w:tc>
        <w:tc>
          <w:tcPr>
            <w:tcW w:w="636" w:type="dxa"/>
            <w:shd w:val="clear" w:color="auto" w:fill="auto"/>
          </w:tcPr>
          <w:p w14:paraId="42CC7ED8" w14:textId="77777777" w:rsidR="009C1019" w:rsidRDefault="009C1019" w:rsidP="00094F6F">
            <w:pPr>
              <w:spacing w:after="0" w:line="240" w:lineRule="auto"/>
              <w:rPr>
                <w:rFonts w:ascii="Times New Roman" w:hAnsi="Times New Roman"/>
                <w:sz w:val="28"/>
                <w:szCs w:val="28"/>
                <w:lang w:bidi="kn-IN"/>
              </w:rPr>
            </w:pPr>
          </w:p>
          <w:p w14:paraId="3A2AF6BE" w14:textId="77777777" w:rsidR="009C1019"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111</w:t>
            </w:r>
          </w:p>
        </w:tc>
      </w:tr>
      <w:tr w:rsidR="009C1019" w:rsidRPr="00145B66" w14:paraId="25AABDED" w14:textId="77777777" w:rsidTr="007D0DA1">
        <w:trPr>
          <w:trHeight w:val="340"/>
        </w:trPr>
        <w:tc>
          <w:tcPr>
            <w:tcW w:w="9183" w:type="dxa"/>
            <w:gridSpan w:val="2"/>
            <w:shd w:val="clear" w:color="auto" w:fill="auto"/>
          </w:tcPr>
          <w:p w14:paraId="057FC4F3" w14:textId="77777777" w:rsidR="009C1019" w:rsidRPr="00145B66" w:rsidRDefault="009C1019" w:rsidP="00094F6F">
            <w:pPr>
              <w:tabs>
                <w:tab w:val="left" w:pos="0"/>
              </w:tabs>
              <w:spacing w:after="0" w:line="240" w:lineRule="auto"/>
              <w:jc w:val="both"/>
              <w:rPr>
                <w:rFonts w:ascii="Times New Roman" w:hAnsi="Times New Roman"/>
                <w:bCs/>
                <w:sz w:val="28"/>
                <w:szCs w:val="28"/>
                <w:lang w:bidi="kn-IN"/>
              </w:rPr>
            </w:pPr>
            <w:r w:rsidRPr="00145B66">
              <w:rPr>
                <w:rFonts w:ascii="Times New Roman" w:hAnsi="Times New Roman"/>
                <w:b/>
                <w:bCs/>
                <w:sz w:val="28"/>
                <w:szCs w:val="28"/>
                <w:lang w:bidi="kn-IN"/>
              </w:rPr>
              <w:t>ЗАКЛЮЧЕНИЕ</w:t>
            </w:r>
            <w:r w:rsidRPr="00145B66">
              <w:rPr>
                <w:rFonts w:ascii="Times New Roman" w:hAnsi="Times New Roman"/>
                <w:bCs/>
                <w:sz w:val="28"/>
                <w:szCs w:val="28"/>
                <w:lang w:bidi="kn-IN"/>
              </w:rPr>
              <w:t>…………………………………………………………</w:t>
            </w:r>
            <w:proofErr w:type="gramStart"/>
            <w:r w:rsidRPr="00145B66">
              <w:rPr>
                <w:rFonts w:ascii="Times New Roman" w:hAnsi="Times New Roman"/>
                <w:bCs/>
                <w:sz w:val="28"/>
                <w:szCs w:val="28"/>
                <w:lang w:bidi="kn-IN"/>
              </w:rPr>
              <w:t>……</w:t>
            </w:r>
            <w:r>
              <w:rPr>
                <w:rFonts w:ascii="Times New Roman" w:hAnsi="Times New Roman"/>
                <w:bCs/>
                <w:sz w:val="28"/>
                <w:szCs w:val="28"/>
                <w:lang w:bidi="kn-IN"/>
              </w:rPr>
              <w:t>.</w:t>
            </w:r>
            <w:proofErr w:type="gramEnd"/>
            <w:r w:rsidRPr="00145B66">
              <w:rPr>
                <w:rFonts w:ascii="Times New Roman" w:hAnsi="Times New Roman"/>
                <w:bCs/>
                <w:sz w:val="28"/>
                <w:szCs w:val="28"/>
                <w:lang w:bidi="kn-IN"/>
              </w:rPr>
              <w:t>.</w:t>
            </w:r>
          </w:p>
        </w:tc>
        <w:tc>
          <w:tcPr>
            <w:tcW w:w="636" w:type="dxa"/>
            <w:shd w:val="clear" w:color="auto" w:fill="auto"/>
          </w:tcPr>
          <w:p w14:paraId="11B346AB" w14:textId="77777777" w:rsidR="009C1019" w:rsidRPr="00BC1970"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114</w:t>
            </w:r>
          </w:p>
        </w:tc>
      </w:tr>
      <w:tr w:rsidR="009C1019" w:rsidRPr="00145B66" w14:paraId="154231A8" w14:textId="77777777" w:rsidTr="007D0DA1">
        <w:trPr>
          <w:trHeight w:val="340"/>
        </w:trPr>
        <w:tc>
          <w:tcPr>
            <w:tcW w:w="9183" w:type="dxa"/>
            <w:gridSpan w:val="2"/>
            <w:shd w:val="clear" w:color="auto" w:fill="auto"/>
          </w:tcPr>
          <w:p w14:paraId="22450298" w14:textId="77777777" w:rsidR="009C1019" w:rsidRPr="00145B66" w:rsidRDefault="009C1019" w:rsidP="00094F6F">
            <w:pPr>
              <w:tabs>
                <w:tab w:val="left" w:pos="0"/>
              </w:tabs>
              <w:spacing w:after="0" w:line="240" w:lineRule="auto"/>
              <w:jc w:val="both"/>
              <w:rPr>
                <w:rFonts w:ascii="Times New Roman" w:hAnsi="Times New Roman"/>
                <w:bCs/>
                <w:sz w:val="28"/>
                <w:szCs w:val="28"/>
                <w:lang w:bidi="kn-IN"/>
              </w:rPr>
            </w:pPr>
            <w:r w:rsidRPr="00145B66">
              <w:rPr>
                <w:rFonts w:ascii="Times New Roman" w:hAnsi="Times New Roman"/>
                <w:b/>
                <w:bCs/>
                <w:sz w:val="28"/>
                <w:szCs w:val="28"/>
                <w:lang w:bidi="kn-IN"/>
              </w:rPr>
              <w:t>СПИСОК ИСПОЛЬЗОВАННЫХ ИСТОЧНИКОВ</w:t>
            </w:r>
            <w:r w:rsidRPr="00145B66">
              <w:rPr>
                <w:rFonts w:ascii="Times New Roman" w:hAnsi="Times New Roman"/>
                <w:bCs/>
                <w:sz w:val="28"/>
                <w:szCs w:val="28"/>
                <w:lang w:bidi="kn-IN"/>
              </w:rPr>
              <w:t>……………………</w:t>
            </w:r>
            <w:r>
              <w:rPr>
                <w:rFonts w:ascii="Times New Roman" w:hAnsi="Times New Roman"/>
                <w:bCs/>
                <w:sz w:val="28"/>
                <w:szCs w:val="28"/>
                <w:lang w:bidi="kn-IN"/>
              </w:rPr>
              <w:t>..</w:t>
            </w:r>
            <w:r w:rsidRPr="00145B66">
              <w:rPr>
                <w:rFonts w:ascii="Times New Roman" w:hAnsi="Times New Roman"/>
                <w:bCs/>
                <w:sz w:val="28"/>
                <w:szCs w:val="28"/>
                <w:lang w:bidi="kn-IN"/>
              </w:rPr>
              <w:t>..</w:t>
            </w:r>
          </w:p>
        </w:tc>
        <w:tc>
          <w:tcPr>
            <w:tcW w:w="636" w:type="dxa"/>
            <w:shd w:val="clear" w:color="auto" w:fill="auto"/>
          </w:tcPr>
          <w:p w14:paraId="4C813E5C" w14:textId="77777777" w:rsidR="009C1019" w:rsidRPr="00145B66"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120</w:t>
            </w:r>
          </w:p>
        </w:tc>
      </w:tr>
      <w:tr w:rsidR="009C1019" w:rsidRPr="00145B66" w14:paraId="0850789F" w14:textId="77777777" w:rsidTr="007D0DA1">
        <w:trPr>
          <w:trHeight w:val="340"/>
        </w:trPr>
        <w:tc>
          <w:tcPr>
            <w:tcW w:w="9183" w:type="dxa"/>
            <w:gridSpan w:val="2"/>
            <w:shd w:val="clear" w:color="auto" w:fill="auto"/>
          </w:tcPr>
          <w:p w14:paraId="2777B287" w14:textId="77777777" w:rsidR="009C1019" w:rsidRPr="00145B66" w:rsidRDefault="009C1019" w:rsidP="00094F6F">
            <w:pPr>
              <w:tabs>
                <w:tab w:val="left" w:pos="0"/>
              </w:tabs>
              <w:spacing w:after="0" w:line="240" w:lineRule="auto"/>
              <w:jc w:val="both"/>
              <w:rPr>
                <w:rFonts w:ascii="Times New Roman" w:hAnsi="Times New Roman"/>
                <w:bCs/>
                <w:sz w:val="28"/>
                <w:szCs w:val="28"/>
                <w:lang w:bidi="kn-IN"/>
              </w:rPr>
            </w:pPr>
            <w:r w:rsidRPr="00145B66">
              <w:rPr>
                <w:rFonts w:ascii="Times New Roman" w:hAnsi="Times New Roman"/>
                <w:b/>
                <w:bCs/>
                <w:sz w:val="28"/>
                <w:szCs w:val="28"/>
                <w:lang w:bidi="kn-IN"/>
              </w:rPr>
              <w:t>ПРИЛОЖЕНИ</w:t>
            </w:r>
            <w:r>
              <w:rPr>
                <w:rFonts w:ascii="Times New Roman" w:hAnsi="Times New Roman"/>
                <w:b/>
                <w:bCs/>
                <w:sz w:val="28"/>
                <w:szCs w:val="28"/>
                <w:lang w:bidi="kn-IN"/>
              </w:rPr>
              <w:t xml:space="preserve">Е А </w:t>
            </w:r>
            <w:r w:rsidRPr="00D24F97">
              <w:rPr>
                <w:rFonts w:ascii="Times New Roman" w:hAnsi="Times New Roman"/>
                <w:bCs/>
                <w:sz w:val="28"/>
                <w:szCs w:val="28"/>
                <w:lang w:bidi="kn-IN"/>
              </w:rPr>
              <w:t>–</w:t>
            </w:r>
            <w:r>
              <w:rPr>
                <w:rFonts w:ascii="Times New Roman" w:hAnsi="Times New Roman"/>
                <w:b/>
                <w:bCs/>
                <w:sz w:val="28"/>
                <w:szCs w:val="28"/>
                <w:lang w:bidi="kn-IN"/>
              </w:rPr>
              <w:t xml:space="preserve"> </w:t>
            </w:r>
            <w:r w:rsidRPr="00145B66">
              <w:rPr>
                <w:rFonts w:ascii="Times New Roman" w:hAnsi="Times New Roman"/>
                <w:sz w:val="28"/>
                <w:szCs w:val="28"/>
              </w:rPr>
              <w:t>Свидетельство</w:t>
            </w:r>
            <w:r w:rsidRPr="003E5EFA">
              <w:rPr>
                <w:rFonts w:ascii="Times New Roman" w:hAnsi="Times New Roman"/>
                <w:sz w:val="28"/>
                <w:szCs w:val="28"/>
              </w:rPr>
              <w:t xml:space="preserve"> </w:t>
            </w:r>
            <w:r w:rsidRPr="00145B66">
              <w:rPr>
                <w:rFonts w:ascii="Times New Roman" w:hAnsi="Times New Roman"/>
                <w:sz w:val="28"/>
                <w:szCs w:val="28"/>
              </w:rPr>
              <w:t>авторского</w:t>
            </w:r>
            <w:r w:rsidRPr="003E5EFA">
              <w:rPr>
                <w:rFonts w:ascii="Times New Roman" w:hAnsi="Times New Roman"/>
                <w:sz w:val="28"/>
                <w:szCs w:val="28"/>
              </w:rPr>
              <w:t xml:space="preserve"> </w:t>
            </w:r>
            <w:r w:rsidRPr="00145B66">
              <w:rPr>
                <w:rFonts w:ascii="Times New Roman" w:hAnsi="Times New Roman"/>
                <w:sz w:val="28"/>
                <w:szCs w:val="28"/>
              </w:rPr>
              <w:t>права</w:t>
            </w:r>
            <w:r w:rsidRPr="00145B66">
              <w:rPr>
                <w:rFonts w:ascii="Times New Roman" w:hAnsi="Times New Roman"/>
                <w:b/>
                <w:bCs/>
                <w:sz w:val="28"/>
                <w:szCs w:val="28"/>
                <w:lang w:bidi="kn-IN"/>
              </w:rPr>
              <w:t xml:space="preserve"> </w:t>
            </w:r>
            <w:r w:rsidRPr="00145B66">
              <w:rPr>
                <w:rFonts w:ascii="Times New Roman" w:hAnsi="Times New Roman"/>
                <w:bCs/>
                <w:sz w:val="28"/>
                <w:szCs w:val="28"/>
                <w:lang w:bidi="kn-IN"/>
              </w:rPr>
              <w:t>……………</w:t>
            </w:r>
            <w:r>
              <w:rPr>
                <w:rFonts w:ascii="Times New Roman" w:hAnsi="Times New Roman"/>
                <w:bCs/>
                <w:sz w:val="28"/>
                <w:szCs w:val="28"/>
                <w:lang w:bidi="kn-IN"/>
              </w:rPr>
              <w:t>…</w:t>
            </w:r>
            <w:proofErr w:type="gramStart"/>
            <w:r>
              <w:rPr>
                <w:rFonts w:ascii="Times New Roman" w:hAnsi="Times New Roman"/>
                <w:bCs/>
                <w:sz w:val="28"/>
                <w:szCs w:val="28"/>
                <w:lang w:bidi="kn-IN"/>
              </w:rPr>
              <w:t>…….</w:t>
            </w:r>
            <w:proofErr w:type="gramEnd"/>
            <w:r>
              <w:rPr>
                <w:rFonts w:ascii="Times New Roman" w:hAnsi="Times New Roman"/>
                <w:bCs/>
                <w:sz w:val="28"/>
                <w:szCs w:val="28"/>
                <w:lang w:bidi="kn-IN"/>
              </w:rPr>
              <w:t>.</w:t>
            </w:r>
          </w:p>
        </w:tc>
        <w:tc>
          <w:tcPr>
            <w:tcW w:w="636" w:type="dxa"/>
            <w:shd w:val="clear" w:color="auto" w:fill="auto"/>
          </w:tcPr>
          <w:p w14:paraId="3608BD3C" w14:textId="77777777" w:rsidR="009C1019" w:rsidRPr="00BC1970" w:rsidRDefault="009C1019" w:rsidP="00094F6F">
            <w:pPr>
              <w:spacing w:after="0" w:line="240" w:lineRule="auto"/>
              <w:rPr>
                <w:rFonts w:ascii="Times New Roman" w:hAnsi="Times New Roman"/>
                <w:sz w:val="28"/>
                <w:szCs w:val="28"/>
                <w:lang w:bidi="kn-IN"/>
              </w:rPr>
            </w:pPr>
            <w:r w:rsidRPr="00145B66">
              <w:rPr>
                <w:rFonts w:ascii="Times New Roman" w:hAnsi="Times New Roman"/>
                <w:sz w:val="28"/>
                <w:szCs w:val="28"/>
                <w:lang w:bidi="kn-IN"/>
              </w:rPr>
              <w:t>1</w:t>
            </w:r>
            <w:r>
              <w:rPr>
                <w:rFonts w:ascii="Times New Roman" w:hAnsi="Times New Roman"/>
                <w:sz w:val="28"/>
                <w:szCs w:val="28"/>
                <w:lang w:bidi="kn-IN"/>
              </w:rPr>
              <w:t>40</w:t>
            </w:r>
          </w:p>
        </w:tc>
      </w:tr>
      <w:tr w:rsidR="009C1019" w:rsidRPr="00145B66" w14:paraId="2DB29117" w14:textId="77777777" w:rsidTr="007D0DA1">
        <w:trPr>
          <w:trHeight w:val="340"/>
        </w:trPr>
        <w:tc>
          <w:tcPr>
            <w:tcW w:w="9183" w:type="dxa"/>
            <w:gridSpan w:val="2"/>
            <w:shd w:val="clear" w:color="auto" w:fill="auto"/>
          </w:tcPr>
          <w:p w14:paraId="12302CBA" w14:textId="77777777" w:rsidR="009C1019" w:rsidRPr="00145B66" w:rsidRDefault="009C1019" w:rsidP="00094F6F">
            <w:pPr>
              <w:tabs>
                <w:tab w:val="left" w:pos="0"/>
              </w:tabs>
              <w:spacing w:after="0" w:line="240" w:lineRule="auto"/>
              <w:jc w:val="both"/>
              <w:rPr>
                <w:rFonts w:ascii="Times New Roman" w:hAnsi="Times New Roman"/>
                <w:b/>
                <w:bCs/>
                <w:sz w:val="28"/>
                <w:szCs w:val="28"/>
                <w:lang w:bidi="kn-IN"/>
              </w:rPr>
            </w:pPr>
            <w:r w:rsidRPr="00145B66">
              <w:rPr>
                <w:rFonts w:ascii="Times New Roman" w:hAnsi="Times New Roman"/>
                <w:b/>
                <w:sz w:val="28"/>
                <w:szCs w:val="28"/>
              </w:rPr>
              <w:t xml:space="preserve">ПРИЛОЖЕНИЕ </w:t>
            </w:r>
            <w:r>
              <w:rPr>
                <w:rFonts w:ascii="Times New Roman" w:hAnsi="Times New Roman"/>
                <w:b/>
                <w:sz w:val="28"/>
                <w:szCs w:val="28"/>
              </w:rPr>
              <w:t>Б</w:t>
            </w:r>
            <w:r w:rsidRPr="00145B66">
              <w:rPr>
                <w:rFonts w:ascii="Times New Roman" w:hAnsi="Times New Roman"/>
                <w:sz w:val="28"/>
                <w:szCs w:val="28"/>
              </w:rPr>
              <w:t xml:space="preserve"> </w:t>
            </w:r>
            <w:r>
              <w:rPr>
                <w:rFonts w:ascii="Times New Roman" w:hAnsi="Times New Roman"/>
                <w:sz w:val="28"/>
                <w:szCs w:val="28"/>
              </w:rPr>
              <w:t xml:space="preserve">– </w:t>
            </w:r>
            <w:r w:rsidRPr="00145B66">
              <w:rPr>
                <w:rFonts w:ascii="Times New Roman" w:hAnsi="Times New Roman"/>
                <w:sz w:val="28"/>
                <w:szCs w:val="28"/>
              </w:rPr>
              <w:t>Акты внедрения</w:t>
            </w:r>
            <w:r>
              <w:rPr>
                <w:rFonts w:ascii="Times New Roman" w:hAnsi="Times New Roman"/>
                <w:sz w:val="28"/>
                <w:szCs w:val="28"/>
              </w:rPr>
              <w:t>………………………………</w:t>
            </w:r>
            <w:proofErr w:type="gramStart"/>
            <w:r>
              <w:rPr>
                <w:rFonts w:ascii="Times New Roman" w:hAnsi="Times New Roman"/>
                <w:sz w:val="28"/>
                <w:szCs w:val="28"/>
              </w:rPr>
              <w:t>……</w:t>
            </w:r>
            <w:r>
              <w:rPr>
                <w:rFonts w:ascii="Times New Roman" w:hAnsi="Times New Roman"/>
                <w:sz w:val="28"/>
                <w:szCs w:val="28"/>
                <w:lang w:val="en-US"/>
              </w:rPr>
              <w:t>.</w:t>
            </w:r>
            <w:proofErr w:type="gramEnd"/>
            <w:r>
              <w:rPr>
                <w:rFonts w:ascii="Times New Roman" w:hAnsi="Times New Roman"/>
                <w:sz w:val="28"/>
                <w:szCs w:val="28"/>
              </w:rPr>
              <w:t>….</w:t>
            </w:r>
          </w:p>
        </w:tc>
        <w:tc>
          <w:tcPr>
            <w:tcW w:w="636" w:type="dxa"/>
            <w:shd w:val="clear" w:color="auto" w:fill="auto"/>
          </w:tcPr>
          <w:p w14:paraId="5D30A18D" w14:textId="77777777" w:rsidR="009C1019" w:rsidRPr="00145B66"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141</w:t>
            </w:r>
          </w:p>
        </w:tc>
      </w:tr>
      <w:tr w:rsidR="009C1019" w:rsidRPr="00145B66" w14:paraId="6D2FC101" w14:textId="77777777" w:rsidTr="007D0DA1">
        <w:trPr>
          <w:trHeight w:val="340"/>
        </w:trPr>
        <w:tc>
          <w:tcPr>
            <w:tcW w:w="9183" w:type="dxa"/>
            <w:gridSpan w:val="2"/>
            <w:shd w:val="clear" w:color="auto" w:fill="auto"/>
          </w:tcPr>
          <w:p w14:paraId="3674E44A" w14:textId="77777777" w:rsidR="009C1019" w:rsidRPr="00D24F97" w:rsidRDefault="009C1019" w:rsidP="00094F6F">
            <w:pPr>
              <w:tabs>
                <w:tab w:val="left" w:pos="0"/>
              </w:tabs>
              <w:spacing w:after="0" w:line="240" w:lineRule="auto"/>
              <w:jc w:val="both"/>
              <w:rPr>
                <w:rFonts w:ascii="Times New Roman" w:hAnsi="Times New Roman"/>
                <w:sz w:val="28"/>
                <w:szCs w:val="28"/>
              </w:rPr>
            </w:pPr>
            <w:r w:rsidRPr="00145B66">
              <w:rPr>
                <w:rFonts w:ascii="Times New Roman" w:hAnsi="Times New Roman"/>
                <w:b/>
                <w:sz w:val="28"/>
                <w:szCs w:val="28"/>
              </w:rPr>
              <w:t xml:space="preserve">ПРИЛОЖЕНИЕ </w:t>
            </w:r>
            <w:r>
              <w:rPr>
                <w:rFonts w:ascii="Times New Roman" w:hAnsi="Times New Roman"/>
                <w:b/>
                <w:sz w:val="28"/>
                <w:szCs w:val="28"/>
              </w:rPr>
              <w:t xml:space="preserve">В </w:t>
            </w:r>
            <w:r>
              <w:rPr>
                <w:rFonts w:ascii="Times New Roman" w:hAnsi="Times New Roman"/>
                <w:sz w:val="28"/>
                <w:szCs w:val="28"/>
              </w:rPr>
              <w:t xml:space="preserve">– </w:t>
            </w:r>
            <w:r w:rsidRPr="00E63035">
              <w:rPr>
                <w:rFonts w:ascii="Times New Roman" w:hAnsi="Times New Roman"/>
                <w:sz w:val="28"/>
                <w:szCs w:val="28"/>
              </w:rPr>
              <w:t>Заключение Локального Биоэтического Комитета</w:t>
            </w:r>
            <w:r>
              <w:rPr>
                <w:rFonts w:ascii="Times New Roman" w:hAnsi="Times New Roman"/>
                <w:sz w:val="28"/>
                <w:szCs w:val="28"/>
              </w:rPr>
              <w:t xml:space="preserve"> НАО «</w:t>
            </w:r>
            <w:proofErr w:type="gramStart"/>
            <w:r>
              <w:rPr>
                <w:rFonts w:ascii="Times New Roman" w:hAnsi="Times New Roman"/>
                <w:sz w:val="28"/>
                <w:szCs w:val="28"/>
              </w:rPr>
              <w:t>МУА»…</w:t>
            </w:r>
            <w:proofErr w:type="gramEnd"/>
            <w:r>
              <w:rPr>
                <w:rFonts w:ascii="Times New Roman" w:hAnsi="Times New Roman"/>
                <w:sz w:val="28"/>
                <w:szCs w:val="28"/>
              </w:rPr>
              <w:t>………………………………………………………………....</w:t>
            </w:r>
          </w:p>
        </w:tc>
        <w:tc>
          <w:tcPr>
            <w:tcW w:w="636" w:type="dxa"/>
            <w:shd w:val="clear" w:color="auto" w:fill="auto"/>
          </w:tcPr>
          <w:p w14:paraId="3D66C8EB" w14:textId="77777777" w:rsidR="009C1019" w:rsidRDefault="009C1019" w:rsidP="00094F6F">
            <w:pPr>
              <w:spacing w:after="0" w:line="240" w:lineRule="auto"/>
              <w:rPr>
                <w:rFonts w:ascii="Times New Roman" w:hAnsi="Times New Roman"/>
                <w:sz w:val="28"/>
                <w:szCs w:val="28"/>
                <w:lang w:bidi="kn-IN"/>
              </w:rPr>
            </w:pPr>
          </w:p>
          <w:p w14:paraId="2B36B7A3" w14:textId="068CF4EF" w:rsidR="009C1019" w:rsidRPr="00145B66"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14</w:t>
            </w:r>
            <w:r w:rsidR="003F1ADB">
              <w:rPr>
                <w:rFonts w:ascii="Times New Roman" w:hAnsi="Times New Roman"/>
                <w:sz w:val="28"/>
                <w:szCs w:val="28"/>
                <w:lang w:bidi="kn-IN"/>
              </w:rPr>
              <w:t>6</w:t>
            </w:r>
          </w:p>
        </w:tc>
      </w:tr>
      <w:tr w:rsidR="009C1019" w:rsidRPr="00145B66" w14:paraId="375996F6" w14:textId="77777777" w:rsidTr="007D0DA1">
        <w:trPr>
          <w:trHeight w:val="340"/>
        </w:trPr>
        <w:tc>
          <w:tcPr>
            <w:tcW w:w="9183" w:type="dxa"/>
            <w:gridSpan w:val="2"/>
            <w:shd w:val="clear" w:color="auto" w:fill="auto"/>
          </w:tcPr>
          <w:p w14:paraId="5C0C2691" w14:textId="77777777" w:rsidR="009C1019" w:rsidRPr="00D24F97" w:rsidRDefault="009C1019" w:rsidP="00094F6F">
            <w:pPr>
              <w:tabs>
                <w:tab w:val="left" w:pos="0"/>
              </w:tabs>
              <w:spacing w:after="0" w:line="240" w:lineRule="auto"/>
              <w:jc w:val="both"/>
              <w:rPr>
                <w:rFonts w:ascii="Times New Roman" w:hAnsi="Times New Roman"/>
                <w:sz w:val="28"/>
                <w:szCs w:val="28"/>
              </w:rPr>
            </w:pPr>
            <w:r w:rsidRPr="00E63035">
              <w:rPr>
                <w:rFonts w:ascii="Times New Roman" w:hAnsi="Times New Roman"/>
                <w:b/>
                <w:sz w:val="28"/>
                <w:szCs w:val="28"/>
              </w:rPr>
              <w:t>ПРИЛОЖЕНИЕ Г</w:t>
            </w:r>
            <w:r>
              <w:rPr>
                <w:rFonts w:ascii="Times New Roman" w:hAnsi="Times New Roman"/>
                <w:b/>
                <w:sz w:val="28"/>
                <w:szCs w:val="28"/>
              </w:rPr>
              <w:t xml:space="preserve"> </w:t>
            </w:r>
            <w:r>
              <w:rPr>
                <w:rFonts w:ascii="Times New Roman" w:hAnsi="Times New Roman"/>
                <w:sz w:val="28"/>
                <w:szCs w:val="28"/>
              </w:rPr>
              <w:t xml:space="preserve">– </w:t>
            </w:r>
            <w:r w:rsidRPr="00354796">
              <w:rPr>
                <w:rFonts w:ascii="Times New Roman" w:hAnsi="Times New Roman"/>
                <w:sz w:val="28"/>
                <w:szCs w:val="28"/>
              </w:rPr>
              <w:t>Форма информированного согласия на участие в клиническом исследовании</w:t>
            </w:r>
            <w:r>
              <w:rPr>
                <w:rFonts w:ascii="Times New Roman" w:hAnsi="Times New Roman"/>
                <w:sz w:val="28"/>
                <w:szCs w:val="28"/>
              </w:rPr>
              <w:t>……………………………………………………</w:t>
            </w:r>
          </w:p>
        </w:tc>
        <w:tc>
          <w:tcPr>
            <w:tcW w:w="636" w:type="dxa"/>
            <w:shd w:val="clear" w:color="auto" w:fill="auto"/>
          </w:tcPr>
          <w:p w14:paraId="59307565" w14:textId="77777777" w:rsidR="009C1019" w:rsidRDefault="009C1019" w:rsidP="00094F6F">
            <w:pPr>
              <w:spacing w:after="0" w:line="240" w:lineRule="auto"/>
              <w:rPr>
                <w:rFonts w:ascii="Times New Roman" w:hAnsi="Times New Roman"/>
                <w:sz w:val="28"/>
                <w:szCs w:val="28"/>
                <w:lang w:bidi="kn-IN"/>
              </w:rPr>
            </w:pPr>
          </w:p>
          <w:p w14:paraId="33149309" w14:textId="711158C7" w:rsidR="009C1019" w:rsidRPr="00145B66" w:rsidRDefault="009C1019" w:rsidP="00094F6F">
            <w:pPr>
              <w:spacing w:after="0" w:line="240" w:lineRule="auto"/>
              <w:rPr>
                <w:rFonts w:ascii="Times New Roman" w:hAnsi="Times New Roman"/>
                <w:sz w:val="28"/>
                <w:szCs w:val="28"/>
                <w:lang w:bidi="kn-IN"/>
              </w:rPr>
            </w:pPr>
            <w:r>
              <w:rPr>
                <w:rFonts w:ascii="Times New Roman" w:hAnsi="Times New Roman"/>
                <w:sz w:val="28"/>
                <w:szCs w:val="28"/>
                <w:lang w:bidi="kn-IN"/>
              </w:rPr>
              <w:t>14</w:t>
            </w:r>
            <w:r w:rsidR="003F1ADB">
              <w:rPr>
                <w:rFonts w:ascii="Times New Roman" w:hAnsi="Times New Roman"/>
                <w:sz w:val="28"/>
                <w:szCs w:val="28"/>
                <w:lang w:bidi="kn-IN"/>
              </w:rPr>
              <w:t>8</w:t>
            </w:r>
          </w:p>
        </w:tc>
      </w:tr>
    </w:tbl>
    <w:p w14:paraId="7A401AB7" w14:textId="77777777" w:rsidR="00403127" w:rsidRDefault="00403127" w:rsidP="00403127">
      <w:pPr>
        <w:spacing w:after="0" w:line="240" w:lineRule="auto"/>
        <w:jc w:val="center"/>
        <w:rPr>
          <w:rFonts w:ascii="Times New Roman" w:hAnsi="Times New Roman"/>
          <w:sz w:val="28"/>
          <w:szCs w:val="28"/>
        </w:rPr>
      </w:pPr>
    </w:p>
    <w:p w14:paraId="084DE881" w14:textId="77777777" w:rsidR="00403127" w:rsidRDefault="00403127" w:rsidP="00403127">
      <w:pPr>
        <w:spacing w:after="0" w:line="240" w:lineRule="auto"/>
        <w:rPr>
          <w:rFonts w:ascii="Times New Roman" w:hAnsi="Times New Roman"/>
          <w:sz w:val="28"/>
          <w:szCs w:val="28"/>
        </w:rPr>
      </w:pPr>
      <w:r>
        <w:rPr>
          <w:rFonts w:ascii="Times New Roman" w:hAnsi="Times New Roman"/>
          <w:sz w:val="28"/>
          <w:szCs w:val="28"/>
        </w:rPr>
        <w:br w:type="page"/>
      </w:r>
    </w:p>
    <w:p w14:paraId="2FDD4075" w14:textId="77777777" w:rsidR="00403127" w:rsidRPr="00145B66" w:rsidRDefault="00403127" w:rsidP="00403127">
      <w:pPr>
        <w:spacing w:after="0" w:line="240" w:lineRule="auto"/>
        <w:jc w:val="center"/>
        <w:rPr>
          <w:rFonts w:ascii="Times New Roman" w:hAnsi="Times New Roman"/>
          <w:b/>
          <w:sz w:val="28"/>
          <w:szCs w:val="28"/>
        </w:rPr>
      </w:pPr>
      <w:r w:rsidRPr="00145B66">
        <w:rPr>
          <w:rFonts w:ascii="Times New Roman" w:hAnsi="Times New Roman"/>
          <w:b/>
          <w:sz w:val="28"/>
          <w:szCs w:val="28"/>
        </w:rPr>
        <w:lastRenderedPageBreak/>
        <w:t>НОРМАТИВНЫЕ ССЫЛКИ</w:t>
      </w:r>
    </w:p>
    <w:p w14:paraId="55FE86B2" w14:textId="77777777" w:rsidR="00403127" w:rsidRPr="00145B66" w:rsidRDefault="00403127" w:rsidP="00403127">
      <w:pPr>
        <w:spacing w:after="0" w:line="240" w:lineRule="auto"/>
        <w:ind w:firstLine="567"/>
        <w:jc w:val="center"/>
        <w:rPr>
          <w:rFonts w:ascii="Times New Roman" w:hAnsi="Times New Roman"/>
          <w:b/>
          <w:sz w:val="28"/>
          <w:szCs w:val="28"/>
        </w:rPr>
      </w:pPr>
    </w:p>
    <w:p w14:paraId="20822B5D"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rPr>
        <w:t>В настоящей диссертации использованы ссылки на следующие стандарты:</w:t>
      </w:r>
    </w:p>
    <w:p w14:paraId="3CC65A50"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rPr>
        <w:t xml:space="preserve">Злокачественное новообразование ободочной кишки: клинический протокол диагностики и лечения: утв. Экспертной комиссией Министерства Здравоохранения Республики Казахстан 07 марта 2019 года, №57. </w:t>
      </w:r>
    </w:p>
    <w:p w14:paraId="20838C80" w14:textId="77777777" w:rsidR="00403127" w:rsidRPr="00145B66" w:rsidRDefault="00403127" w:rsidP="00403127">
      <w:pPr>
        <w:spacing w:after="0" w:line="240" w:lineRule="auto"/>
        <w:ind w:firstLine="567"/>
        <w:jc w:val="both"/>
        <w:rPr>
          <w:rFonts w:ascii="Times New Roman" w:hAnsi="Times New Roman"/>
          <w:color w:val="000000"/>
          <w:sz w:val="28"/>
          <w:szCs w:val="28"/>
          <w:shd w:val="clear" w:color="auto" w:fill="FFFFFF"/>
        </w:rPr>
      </w:pPr>
      <w:r w:rsidRPr="00145B66">
        <w:rPr>
          <w:rFonts w:ascii="Times New Roman" w:hAnsi="Times New Roman"/>
          <w:color w:val="000000"/>
          <w:sz w:val="28"/>
          <w:szCs w:val="28"/>
          <w:shd w:val="clear" w:color="auto" w:fill="FFFFFF"/>
        </w:rPr>
        <w:t>Консенсусные рекомендации европейского общества медицинской онкологии (ESMO) по ведению больных колоректальным раком. Annals of Oncology 2012; 23:2479-2516.</w:t>
      </w:r>
    </w:p>
    <w:p w14:paraId="71B1D161" w14:textId="77777777" w:rsidR="00403127" w:rsidRPr="00145B66" w:rsidRDefault="00403127" w:rsidP="00403127">
      <w:pPr>
        <w:shd w:val="clear" w:color="auto" w:fill="FFFFFF"/>
        <w:spacing w:after="0" w:line="240" w:lineRule="auto"/>
        <w:ind w:firstLine="567"/>
        <w:jc w:val="both"/>
        <w:rPr>
          <w:rFonts w:ascii="Times New Roman" w:hAnsi="Times New Roman"/>
          <w:sz w:val="28"/>
          <w:szCs w:val="28"/>
        </w:rPr>
      </w:pPr>
      <w:r w:rsidRPr="00145B66">
        <w:rPr>
          <w:rFonts w:ascii="Times New Roman" w:hAnsi="Times New Roman"/>
          <w:sz w:val="28"/>
          <w:szCs w:val="28"/>
        </w:rPr>
        <w:t xml:space="preserve">Об утверждении Стратегического плана Министерства здравоохранения Республики Казахстан на 2017–2021 годы: утв. Приказом министра здравоохранения Республики Казахстан от 10 марта 2017 года, №61 </w:t>
      </w:r>
    </w:p>
    <w:p w14:paraId="4DBA6FFF" w14:textId="77777777" w:rsidR="00403127" w:rsidRPr="00145B66" w:rsidRDefault="00403127" w:rsidP="00403127">
      <w:pPr>
        <w:shd w:val="clear" w:color="auto" w:fill="FFFFFF"/>
        <w:spacing w:after="0" w:line="240" w:lineRule="auto"/>
        <w:ind w:firstLine="567"/>
        <w:jc w:val="both"/>
        <w:rPr>
          <w:rFonts w:ascii="Times New Roman" w:hAnsi="Times New Roman"/>
          <w:sz w:val="28"/>
          <w:szCs w:val="28"/>
          <w:shd w:val="clear" w:color="auto" w:fill="FFFFFF"/>
        </w:rPr>
      </w:pPr>
      <w:r w:rsidRPr="00145B66">
        <w:rPr>
          <w:rFonts w:ascii="Times New Roman" w:hAnsi="Times New Roman"/>
          <w:sz w:val="28"/>
          <w:szCs w:val="28"/>
        </w:rPr>
        <w:t>Государственная программа развития здравоохранения «Денсаулық» на 2016–2020 годы: утв. Указом Президента Республики Казахстан от 15 января 2016 г, №176.</w:t>
      </w:r>
    </w:p>
    <w:p w14:paraId="046769EC" w14:textId="77777777" w:rsidR="00403127" w:rsidRPr="00145B66" w:rsidRDefault="00403127" w:rsidP="00403127">
      <w:pPr>
        <w:shd w:val="clear" w:color="auto" w:fill="FFFFFF"/>
        <w:spacing w:after="0" w:line="240" w:lineRule="auto"/>
        <w:ind w:firstLine="567"/>
        <w:jc w:val="both"/>
        <w:rPr>
          <w:rFonts w:ascii="Times New Roman" w:hAnsi="Times New Roman"/>
          <w:sz w:val="28"/>
          <w:szCs w:val="28"/>
          <w:shd w:val="clear" w:color="auto" w:fill="FFFFFF"/>
        </w:rPr>
      </w:pPr>
      <w:r w:rsidRPr="00145B66">
        <w:rPr>
          <w:rFonts w:ascii="Times New Roman" w:hAnsi="Times New Roman"/>
          <w:sz w:val="28"/>
          <w:szCs w:val="28"/>
          <w:shd w:val="clear" w:color="auto" w:fill="FFFFFF"/>
        </w:rPr>
        <w:t>Комплексный план по борьбе с онкологическими заболеваниями на 2018–2022 годы: утв. Постановлением Правительства Республики Казахстан от 29 июня 2018 года, №395.</w:t>
      </w:r>
    </w:p>
    <w:p w14:paraId="0E5745E0"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rPr>
        <w:t>Этические принципы проведения исследований в медицине с участием человека: Хельсинская декларация Всемирной Медицинской Ассоциации (ВМА): утв. на 18-й Генеральной Ассамблее ВМА (06.1964 г., Хельсинки, Финляндия; крайние изменения внесены 10.2013 г. Форталеза, Бразилия на 64-й Генеральной Ассамблее ВМА.</w:t>
      </w:r>
    </w:p>
    <w:p w14:paraId="45204C43"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rPr>
        <w:t>ГОСТ 7.1–2003 (Межгосударственный стандарт).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p>
    <w:p w14:paraId="031A6E6D"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rPr>
        <w:t xml:space="preserve">ГОСТ 7.12–93 (Межгосударственный стандарт).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 </w:t>
      </w:r>
    </w:p>
    <w:p w14:paraId="280AF509"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rPr>
        <w:t>ГОСТ 7.54–88.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p>
    <w:p w14:paraId="47671EE8" w14:textId="77777777" w:rsidR="00403127" w:rsidRDefault="00403127" w:rsidP="00403127">
      <w:pPr>
        <w:spacing w:after="0" w:line="240" w:lineRule="auto"/>
        <w:ind w:firstLine="567"/>
        <w:rPr>
          <w:rFonts w:ascii="Times New Roman" w:eastAsia="SimSun" w:hAnsi="Times New Roman" w:cs="Lucida Sans"/>
          <w:b/>
          <w:bCs/>
          <w:kern w:val="3"/>
          <w:sz w:val="28"/>
          <w:szCs w:val="28"/>
          <w:lang w:eastAsia="zh-CN" w:bidi="hi-IN"/>
        </w:rPr>
      </w:pPr>
      <w:r>
        <w:rPr>
          <w:rFonts w:ascii="Times New Roman" w:hAnsi="Times New Roman"/>
          <w:b/>
          <w:bCs/>
          <w:sz w:val="28"/>
          <w:szCs w:val="28"/>
        </w:rPr>
        <w:br w:type="page"/>
      </w:r>
    </w:p>
    <w:p w14:paraId="7756BCBF" w14:textId="2E39AE37" w:rsidR="008260C5" w:rsidRPr="008260C5" w:rsidRDefault="008260C5" w:rsidP="008260C5">
      <w:pPr>
        <w:pStyle w:val="Standard"/>
        <w:ind w:firstLine="567"/>
        <w:jc w:val="center"/>
        <w:rPr>
          <w:rFonts w:ascii="Times New Roman" w:hAnsi="Times New Roman" w:cs="Times New Roman"/>
          <w:b/>
          <w:sz w:val="28"/>
          <w:szCs w:val="28"/>
        </w:rPr>
      </w:pPr>
      <w:r w:rsidRPr="008260C5">
        <w:rPr>
          <w:rFonts w:ascii="Times New Roman" w:hAnsi="Times New Roman" w:cs="Times New Roman"/>
          <w:b/>
          <w:sz w:val="28"/>
          <w:szCs w:val="28"/>
        </w:rPr>
        <w:lastRenderedPageBreak/>
        <w:t>ОПРЕДЕЛЕНИЯ</w:t>
      </w:r>
    </w:p>
    <w:p w14:paraId="0A0837D1" w14:textId="0FB03E67" w:rsidR="00C014F7" w:rsidRPr="005203ED" w:rsidRDefault="00C014F7" w:rsidP="00C65055">
      <w:pPr>
        <w:pStyle w:val="Standard"/>
        <w:ind w:firstLine="567"/>
        <w:jc w:val="both"/>
        <w:rPr>
          <w:rFonts w:ascii="Times New Roman" w:hAnsi="Times New Roman" w:cs="Times New Roman"/>
          <w:bCs/>
          <w:sz w:val="28"/>
          <w:szCs w:val="28"/>
        </w:rPr>
      </w:pPr>
      <w:r w:rsidRPr="005203ED">
        <w:rPr>
          <w:rFonts w:ascii="Times New Roman" w:hAnsi="Times New Roman" w:cs="Times New Roman"/>
          <w:bCs/>
          <w:sz w:val="28"/>
          <w:szCs w:val="28"/>
        </w:rPr>
        <w:t>В настоящей диссертации применяют следующие термины с соответствующими определениями:</w:t>
      </w:r>
    </w:p>
    <w:p w14:paraId="7851FFE0" w14:textId="0783B4AB" w:rsidR="00C014F7" w:rsidRPr="005203ED" w:rsidRDefault="00C014F7" w:rsidP="00C65055">
      <w:pPr>
        <w:pStyle w:val="Standard"/>
        <w:ind w:firstLine="567"/>
        <w:jc w:val="both"/>
        <w:rPr>
          <w:rFonts w:ascii="Times New Roman" w:hAnsi="Times New Roman" w:cs="Times New Roman"/>
          <w:sz w:val="28"/>
          <w:szCs w:val="28"/>
        </w:rPr>
      </w:pPr>
      <w:r w:rsidRPr="005203ED">
        <w:rPr>
          <w:rFonts w:ascii="Times New Roman" w:hAnsi="Times New Roman" w:cs="Times New Roman"/>
          <w:b/>
          <w:bCs/>
          <w:sz w:val="28"/>
          <w:szCs w:val="28"/>
        </w:rPr>
        <w:t>Адъювантная химиотерапия</w:t>
      </w:r>
      <w:r w:rsidRPr="005203ED">
        <w:rPr>
          <w:rFonts w:ascii="Times New Roman" w:hAnsi="Times New Roman" w:cs="Times New Roman"/>
          <w:bCs/>
          <w:sz w:val="28"/>
          <w:szCs w:val="28"/>
        </w:rPr>
        <w:t xml:space="preserve"> </w:t>
      </w:r>
      <w:r w:rsidR="00C65055">
        <w:rPr>
          <w:rFonts w:ascii="Times New Roman" w:hAnsi="Times New Roman" w:cs="Times New Roman"/>
          <w:bCs/>
          <w:sz w:val="28"/>
          <w:szCs w:val="28"/>
        </w:rPr>
        <w:t>–</w:t>
      </w:r>
      <w:r w:rsidRPr="005203ED">
        <w:rPr>
          <w:rFonts w:ascii="Times New Roman" w:hAnsi="Times New Roman" w:cs="Times New Roman"/>
          <w:sz w:val="28"/>
          <w:szCs w:val="28"/>
        </w:rPr>
        <w:t xml:space="preserve"> лекарственная терапия, направленная на уничтожение отдаленных микрометастазов после радикального хирургического лечения с целью увеличения безрецидивной и общей выживаемости.</w:t>
      </w:r>
    </w:p>
    <w:p w14:paraId="7CD221FE" w14:textId="78D96839" w:rsidR="00C014F7" w:rsidRPr="005203ED" w:rsidRDefault="00C014F7" w:rsidP="00C65055">
      <w:pPr>
        <w:spacing w:after="0" w:line="240" w:lineRule="auto"/>
        <w:ind w:firstLine="567"/>
        <w:jc w:val="both"/>
        <w:rPr>
          <w:rFonts w:ascii="Times New Roman" w:hAnsi="Times New Roman"/>
          <w:sz w:val="28"/>
          <w:szCs w:val="28"/>
        </w:rPr>
      </w:pPr>
      <w:r w:rsidRPr="005203ED">
        <w:rPr>
          <w:rFonts w:ascii="Times New Roman" w:hAnsi="Times New Roman"/>
          <w:b/>
          <w:sz w:val="28"/>
          <w:szCs w:val="28"/>
        </w:rPr>
        <w:t>Выживания частота</w:t>
      </w:r>
      <w:r w:rsidRPr="005203ED">
        <w:rPr>
          <w:rFonts w:ascii="Times New Roman" w:hAnsi="Times New Roman"/>
          <w:sz w:val="28"/>
          <w:szCs w:val="28"/>
        </w:rPr>
        <w:t xml:space="preserve"> </w:t>
      </w:r>
      <w:r w:rsidR="00C65055">
        <w:rPr>
          <w:rFonts w:ascii="Times New Roman" w:hAnsi="Times New Roman"/>
          <w:sz w:val="28"/>
          <w:szCs w:val="28"/>
        </w:rPr>
        <w:t xml:space="preserve">– </w:t>
      </w:r>
      <w:r w:rsidRPr="005203ED">
        <w:rPr>
          <w:rFonts w:ascii="Times New Roman" w:hAnsi="Times New Roman"/>
          <w:sz w:val="28"/>
          <w:szCs w:val="28"/>
        </w:rPr>
        <w:t>доля</w:t>
      </w:r>
      <w:r w:rsidR="00C65055">
        <w:rPr>
          <w:rFonts w:ascii="Times New Roman" w:hAnsi="Times New Roman"/>
          <w:sz w:val="28"/>
          <w:szCs w:val="28"/>
        </w:rPr>
        <w:t xml:space="preserve"> </w:t>
      </w:r>
      <w:r w:rsidRPr="005203ED">
        <w:rPr>
          <w:rFonts w:ascii="Times New Roman" w:hAnsi="Times New Roman"/>
          <w:sz w:val="28"/>
          <w:szCs w:val="28"/>
        </w:rPr>
        <w:t>выживших в группе, например, в изучаемой группе больных в течение периода времени.</w:t>
      </w:r>
    </w:p>
    <w:p w14:paraId="246F0396" w14:textId="01713A2A" w:rsidR="00C014F7" w:rsidRPr="005203ED" w:rsidRDefault="00C014F7" w:rsidP="00C65055">
      <w:pPr>
        <w:pStyle w:val="Standard"/>
        <w:ind w:firstLine="567"/>
        <w:jc w:val="both"/>
        <w:rPr>
          <w:rFonts w:ascii="Times New Roman" w:hAnsi="Times New Roman" w:cs="Times New Roman"/>
          <w:bCs/>
          <w:sz w:val="28"/>
          <w:szCs w:val="28"/>
        </w:rPr>
      </w:pPr>
      <w:r w:rsidRPr="005203ED">
        <w:rPr>
          <w:rFonts w:ascii="Times New Roman" w:hAnsi="Times New Roman" w:cs="Times New Roman"/>
          <w:b/>
          <w:color w:val="0A0A0A"/>
          <w:sz w:val="28"/>
          <w:szCs w:val="28"/>
          <w:shd w:val="clear" w:color="auto" w:fill="FFFFFF"/>
        </w:rPr>
        <w:t xml:space="preserve">Гемиколэктомия </w:t>
      </w:r>
      <w:r w:rsidR="00C65055">
        <w:rPr>
          <w:rFonts w:ascii="Times New Roman" w:hAnsi="Times New Roman" w:cs="Times New Roman"/>
          <w:b/>
          <w:color w:val="0A0A0A"/>
          <w:sz w:val="28"/>
          <w:szCs w:val="28"/>
          <w:shd w:val="clear" w:color="auto" w:fill="FFFFFF"/>
        </w:rPr>
        <w:t>–</w:t>
      </w:r>
      <w:r w:rsidRPr="005203ED">
        <w:rPr>
          <w:rFonts w:ascii="Times New Roman" w:hAnsi="Times New Roman" w:cs="Times New Roman"/>
          <w:b/>
          <w:bCs/>
          <w:sz w:val="28"/>
          <w:szCs w:val="28"/>
        </w:rPr>
        <w:t xml:space="preserve"> </w:t>
      </w:r>
      <w:r w:rsidRPr="005203ED">
        <w:rPr>
          <w:rFonts w:ascii="Times New Roman" w:hAnsi="Times New Roman" w:cs="Times New Roman"/>
          <w:bCs/>
          <w:sz w:val="28"/>
          <w:szCs w:val="28"/>
        </w:rPr>
        <w:t>резекция</w:t>
      </w:r>
      <w:r w:rsidR="00C65055">
        <w:rPr>
          <w:rFonts w:ascii="Times New Roman" w:hAnsi="Times New Roman" w:cs="Times New Roman"/>
          <w:bCs/>
          <w:sz w:val="28"/>
          <w:szCs w:val="28"/>
        </w:rPr>
        <w:t xml:space="preserve"> </w:t>
      </w:r>
      <w:r w:rsidRPr="005203ED">
        <w:rPr>
          <w:rFonts w:ascii="Times New Roman" w:hAnsi="Times New Roman" w:cs="Times New Roman"/>
          <w:bCs/>
          <w:sz w:val="28"/>
          <w:szCs w:val="28"/>
        </w:rPr>
        <w:t>правой или левой половины ободочной кишки.</w:t>
      </w:r>
    </w:p>
    <w:p w14:paraId="51E96423" w14:textId="724F028B" w:rsidR="00C014F7" w:rsidRPr="005203ED" w:rsidRDefault="00C014F7" w:rsidP="00C65055">
      <w:pPr>
        <w:pStyle w:val="Standard"/>
        <w:ind w:firstLine="567"/>
        <w:jc w:val="both"/>
        <w:rPr>
          <w:rFonts w:ascii="Times New Roman" w:hAnsi="Times New Roman" w:cs="Times New Roman"/>
          <w:bCs/>
          <w:sz w:val="28"/>
          <w:szCs w:val="28"/>
        </w:rPr>
      </w:pPr>
      <w:r w:rsidRPr="005203ED">
        <w:rPr>
          <w:rFonts w:ascii="Times New Roman" w:hAnsi="Times New Roman" w:cs="Times New Roman"/>
          <w:b/>
          <w:bCs/>
          <w:sz w:val="28"/>
          <w:szCs w:val="28"/>
        </w:rPr>
        <w:t xml:space="preserve">Гемокульт-тест </w:t>
      </w:r>
      <w:r w:rsidR="00C65055">
        <w:rPr>
          <w:rFonts w:ascii="Times New Roman" w:hAnsi="Times New Roman" w:cs="Times New Roman"/>
          <w:b/>
          <w:bCs/>
          <w:sz w:val="28"/>
          <w:szCs w:val="28"/>
        </w:rPr>
        <w:t>–</w:t>
      </w:r>
      <w:r w:rsidRPr="005203ED">
        <w:rPr>
          <w:rFonts w:ascii="Times New Roman" w:hAnsi="Times New Roman" w:cs="Times New Roman"/>
          <w:b/>
          <w:bCs/>
          <w:sz w:val="28"/>
          <w:szCs w:val="28"/>
        </w:rPr>
        <w:t xml:space="preserve"> </w:t>
      </w:r>
      <w:r w:rsidRPr="005203ED">
        <w:rPr>
          <w:rFonts w:ascii="Times New Roman" w:hAnsi="Times New Roman" w:cs="Times New Roman"/>
          <w:bCs/>
          <w:sz w:val="28"/>
          <w:szCs w:val="28"/>
        </w:rPr>
        <w:t>определение</w:t>
      </w:r>
      <w:r w:rsidR="00C65055">
        <w:rPr>
          <w:rFonts w:ascii="Times New Roman" w:hAnsi="Times New Roman" w:cs="Times New Roman"/>
          <w:bCs/>
          <w:sz w:val="28"/>
          <w:szCs w:val="28"/>
        </w:rPr>
        <w:t xml:space="preserve"> </w:t>
      </w:r>
      <w:r w:rsidRPr="005203ED">
        <w:rPr>
          <w:rFonts w:ascii="Times New Roman" w:hAnsi="Times New Roman" w:cs="Times New Roman"/>
          <w:bCs/>
          <w:sz w:val="28"/>
          <w:szCs w:val="28"/>
        </w:rPr>
        <w:t>скрытой крови в кале.</w:t>
      </w:r>
    </w:p>
    <w:p w14:paraId="01B379F8" w14:textId="007C2B61" w:rsidR="00C014F7" w:rsidRPr="005203ED" w:rsidRDefault="00C014F7" w:rsidP="00C65055">
      <w:pPr>
        <w:pStyle w:val="Standard"/>
        <w:ind w:firstLine="567"/>
        <w:jc w:val="both"/>
        <w:rPr>
          <w:rFonts w:ascii="Times New Roman" w:hAnsi="Times New Roman" w:cs="Times New Roman"/>
          <w:bCs/>
          <w:sz w:val="28"/>
          <w:szCs w:val="28"/>
        </w:rPr>
      </w:pPr>
      <w:r w:rsidRPr="005203ED">
        <w:rPr>
          <w:rFonts w:ascii="Times New Roman" w:hAnsi="Times New Roman" w:cs="Times New Roman"/>
          <w:b/>
          <w:bCs/>
          <w:sz w:val="28"/>
          <w:szCs w:val="28"/>
        </w:rPr>
        <w:t>Дисбактериоз</w:t>
      </w:r>
      <w:r w:rsidRPr="005203ED">
        <w:rPr>
          <w:rFonts w:ascii="Times New Roman" w:hAnsi="Times New Roman" w:cs="Times New Roman"/>
          <w:bCs/>
          <w:sz w:val="28"/>
          <w:szCs w:val="28"/>
        </w:rPr>
        <w:t xml:space="preserve"> </w:t>
      </w:r>
      <w:r w:rsidR="00C65055">
        <w:rPr>
          <w:rFonts w:ascii="Times New Roman" w:hAnsi="Times New Roman" w:cs="Times New Roman"/>
          <w:bCs/>
          <w:sz w:val="28"/>
          <w:szCs w:val="28"/>
        </w:rPr>
        <w:t>–</w:t>
      </w:r>
      <w:r w:rsidRPr="005203ED">
        <w:rPr>
          <w:rFonts w:ascii="Times New Roman" w:hAnsi="Times New Roman" w:cs="Times New Roman"/>
          <w:bCs/>
          <w:sz w:val="28"/>
          <w:szCs w:val="28"/>
        </w:rPr>
        <w:t xml:space="preserve"> изменение</w:t>
      </w:r>
      <w:r w:rsidR="00C65055">
        <w:rPr>
          <w:rFonts w:ascii="Times New Roman" w:hAnsi="Times New Roman" w:cs="Times New Roman"/>
          <w:bCs/>
          <w:sz w:val="28"/>
          <w:szCs w:val="28"/>
        </w:rPr>
        <w:t xml:space="preserve"> </w:t>
      </w:r>
      <w:r w:rsidRPr="005203ED">
        <w:rPr>
          <w:rFonts w:ascii="Times New Roman" w:hAnsi="Times New Roman" w:cs="Times New Roman"/>
          <w:bCs/>
          <w:sz w:val="28"/>
          <w:szCs w:val="28"/>
        </w:rPr>
        <w:t>количественного состава микрофлоры кишечника, где недостаток полезных микроорганизмов замешаются с патогенными бактериями, что сопровождается нарушением функции желудочно-кишечного тракта.</w:t>
      </w:r>
    </w:p>
    <w:p w14:paraId="5D5ADE1B" w14:textId="11061411" w:rsidR="00C014F7" w:rsidRPr="005203ED" w:rsidRDefault="00C014F7" w:rsidP="00C65055">
      <w:pPr>
        <w:spacing w:after="0" w:line="240" w:lineRule="auto"/>
        <w:ind w:firstLine="567"/>
        <w:jc w:val="both"/>
        <w:rPr>
          <w:rFonts w:ascii="Times New Roman" w:hAnsi="Times New Roman"/>
          <w:b/>
          <w:sz w:val="28"/>
          <w:szCs w:val="28"/>
        </w:rPr>
      </w:pPr>
      <w:r w:rsidRPr="005203ED">
        <w:rPr>
          <w:rFonts w:ascii="Times New Roman" w:hAnsi="Times New Roman"/>
          <w:b/>
          <w:sz w:val="28"/>
          <w:szCs w:val="28"/>
        </w:rPr>
        <w:t>Каплана-Мейера оценка</w:t>
      </w:r>
      <w:r w:rsidRPr="005203ED">
        <w:rPr>
          <w:rFonts w:ascii="Times New Roman" w:hAnsi="Times New Roman"/>
          <w:sz w:val="28"/>
          <w:szCs w:val="28"/>
        </w:rPr>
        <w:t xml:space="preserve"> </w:t>
      </w:r>
      <w:r w:rsidR="00C65055">
        <w:rPr>
          <w:rFonts w:ascii="Times New Roman" w:hAnsi="Times New Roman"/>
          <w:sz w:val="28"/>
          <w:szCs w:val="28"/>
        </w:rPr>
        <w:t>–</w:t>
      </w:r>
      <w:r w:rsidRPr="005203ED">
        <w:rPr>
          <w:rFonts w:ascii="Times New Roman" w:hAnsi="Times New Roman"/>
          <w:sz w:val="28"/>
          <w:szCs w:val="28"/>
        </w:rPr>
        <w:t xml:space="preserve"> непараметрический</w:t>
      </w:r>
      <w:r w:rsidR="00C65055">
        <w:rPr>
          <w:rFonts w:ascii="Times New Roman" w:hAnsi="Times New Roman"/>
          <w:sz w:val="28"/>
          <w:szCs w:val="28"/>
        </w:rPr>
        <w:t xml:space="preserve"> </w:t>
      </w:r>
      <w:r w:rsidRPr="005203ED">
        <w:rPr>
          <w:rFonts w:ascii="Times New Roman" w:hAnsi="Times New Roman"/>
          <w:sz w:val="28"/>
          <w:szCs w:val="28"/>
        </w:rPr>
        <w:t>метод составления таблиц смертности или выживания.</w:t>
      </w:r>
    </w:p>
    <w:p w14:paraId="0207A8CD" w14:textId="77777777" w:rsidR="00C014F7" w:rsidRPr="005203ED" w:rsidRDefault="00C014F7" w:rsidP="00C65055">
      <w:pPr>
        <w:spacing w:after="0" w:line="240" w:lineRule="auto"/>
        <w:ind w:firstLine="567"/>
        <w:jc w:val="both"/>
        <w:rPr>
          <w:rFonts w:ascii="Times New Roman" w:hAnsi="Times New Roman"/>
          <w:sz w:val="28"/>
          <w:szCs w:val="28"/>
        </w:rPr>
      </w:pPr>
      <w:r w:rsidRPr="005203ED">
        <w:rPr>
          <w:rFonts w:ascii="Times New Roman" w:hAnsi="Times New Roman"/>
          <w:b/>
          <w:sz w:val="28"/>
          <w:szCs w:val="28"/>
        </w:rPr>
        <w:t>Качество жизни</w:t>
      </w:r>
      <w:r w:rsidRPr="005203ED">
        <w:rPr>
          <w:rFonts w:ascii="Times New Roman" w:hAnsi="Times New Roman"/>
          <w:sz w:val="28"/>
          <w:szCs w:val="28"/>
        </w:rPr>
        <w:t xml:space="preserve"> - степень, в которой люди воспринимают себя способными к функционированию физически, эмоционально и социально.</w:t>
      </w:r>
    </w:p>
    <w:p w14:paraId="7AE375AB" w14:textId="77777777" w:rsidR="00C014F7" w:rsidRPr="005203ED" w:rsidRDefault="00C014F7" w:rsidP="00C65055">
      <w:pPr>
        <w:pStyle w:val="Standard"/>
        <w:ind w:firstLine="567"/>
        <w:jc w:val="both"/>
        <w:rPr>
          <w:rFonts w:ascii="Times New Roman" w:hAnsi="Times New Roman" w:cs="Times New Roman"/>
          <w:b/>
          <w:bCs/>
          <w:sz w:val="28"/>
          <w:szCs w:val="28"/>
        </w:rPr>
      </w:pPr>
      <w:r w:rsidRPr="005203ED">
        <w:rPr>
          <w:rFonts w:ascii="Times New Roman" w:hAnsi="Times New Roman" w:cs="Times New Roman"/>
          <w:b/>
          <w:bCs/>
          <w:sz w:val="28"/>
          <w:szCs w:val="28"/>
        </w:rPr>
        <w:t xml:space="preserve">Констипация - </w:t>
      </w:r>
      <w:r w:rsidRPr="005203ED">
        <w:rPr>
          <w:rFonts w:ascii="Times New Roman" w:hAnsi="Times New Roman" w:cs="Times New Roman"/>
          <w:color w:val="292B2C"/>
          <w:sz w:val="28"/>
          <w:szCs w:val="28"/>
          <w:shd w:val="clear" w:color="auto" w:fill="FFFFFF"/>
        </w:rPr>
        <w:t>замедление суточного ритма эвакуаторной функции кишечника, проявляющееся её нерегулярностью при частоте стула менее 7 раз в неделю. </w:t>
      </w:r>
    </w:p>
    <w:p w14:paraId="03261FFB" w14:textId="6EBF2A7C" w:rsidR="00C014F7" w:rsidRPr="005203ED" w:rsidRDefault="00C014F7" w:rsidP="00C65055">
      <w:pPr>
        <w:pStyle w:val="Standard"/>
        <w:ind w:firstLine="567"/>
        <w:jc w:val="both"/>
        <w:rPr>
          <w:rFonts w:ascii="Times New Roman" w:hAnsi="Times New Roman" w:cs="Times New Roman"/>
          <w:color w:val="0A0A0A"/>
          <w:sz w:val="28"/>
          <w:szCs w:val="28"/>
          <w:shd w:val="clear" w:color="auto" w:fill="FFFFFF"/>
        </w:rPr>
      </w:pPr>
      <w:r w:rsidRPr="005203ED">
        <w:rPr>
          <w:rFonts w:ascii="Times New Roman" w:hAnsi="Times New Roman" w:cs="Times New Roman"/>
          <w:b/>
          <w:bCs/>
          <w:sz w:val="28"/>
          <w:szCs w:val="28"/>
        </w:rPr>
        <w:t xml:space="preserve">Колоректальный рак </w:t>
      </w:r>
      <w:r w:rsidR="00C65055">
        <w:rPr>
          <w:rFonts w:ascii="Times New Roman" w:hAnsi="Times New Roman" w:cs="Times New Roman"/>
          <w:b/>
          <w:bCs/>
          <w:sz w:val="28"/>
          <w:szCs w:val="28"/>
        </w:rPr>
        <w:t>–</w:t>
      </w:r>
      <w:r w:rsidRPr="005203ED">
        <w:rPr>
          <w:rFonts w:ascii="Times New Roman" w:hAnsi="Times New Roman" w:cs="Times New Roman"/>
          <w:b/>
          <w:bCs/>
          <w:sz w:val="28"/>
          <w:szCs w:val="28"/>
        </w:rPr>
        <w:t xml:space="preserve"> </w:t>
      </w:r>
      <w:r w:rsidRPr="005203ED">
        <w:rPr>
          <w:rFonts w:ascii="Times New Roman" w:hAnsi="Times New Roman" w:cs="Times New Roman"/>
          <w:color w:val="0A0A0A"/>
          <w:sz w:val="28"/>
          <w:szCs w:val="28"/>
          <w:shd w:val="clear" w:color="auto" w:fill="FFFFFF"/>
        </w:rPr>
        <w:t>собирательное</w:t>
      </w:r>
      <w:r w:rsidR="00C65055">
        <w:rPr>
          <w:rFonts w:ascii="Times New Roman" w:hAnsi="Times New Roman" w:cs="Times New Roman"/>
          <w:color w:val="0A0A0A"/>
          <w:sz w:val="28"/>
          <w:szCs w:val="28"/>
          <w:shd w:val="clear" w:color="auto" w:fill="FFFFFF"/>
        </w:rPr>
        <w:t xml:space="preserve"> </w:t>
      </w:r>
      <w:r w:rsidRPr="005203ED">
        <w:rPr>
          <w:rFonts w:ascii="Times New Roman" w:hAnsi="Times New Roman" w:cs="Times New Roman"/>
          <w:color w:val="0A0A0A"/>
          <w:sz w:val="28"/>
          <w:szCs w:val="28"/>
          <w:shd w:val="clear" w:color="auto" w:fill="FFFFFF"/>
        </w:rPr>
        <w:t>понятие, объединяющее злокачественные новообразования ободочной и прямой кишок.</w:t>
      </w:r>
    </w:p>
    <w:p w14:paraId="68A59827" w14:textId="0FF67896" w:rsidR="00C014F7" w:rsidRPr="005203ED" w:rsidRDefault="00C014F7" w:rsidP="00C65055">
      <w:pPr>
        <w:pStyle w:val="Standard"/>
        <w:ind w:firstLine="567"/>
        <w:jc w:val="both"/>
        <w:rPr>
          <w:rFonts w:ascii="Times New Roman" w:hAnsi="Times New Roman" w:cs="Times New Roman"/>
          <w:b/>
          <w:color w:val="202122"/>
          <w:sz w:val="28"/>
          <w:szCs w:val="28"/>
          <w:shd w:val="clear" w:color="auto" w:fill="FFFFFF"/>
        </w:rPr>
      </w:pPr>
      <w:r w:rsidRPr="005203ED">
        <w:rPr>
          <w:rFonts w:ascii="Times New Roman" w:hAnsi="Times New Roman" w:cs="Times New Roman"/>
          <w:b/>
          <w:sz w:val="28"/>
          <w:szCs w:val="28"/>
        </w:rPr>
        <w:t>Мета-Анализ</w:t>
      </w:r>
      <w:r w:rsidRPr="005203ED">
        <w:rPr>
          <w:rFonts w:ascii="Times New Roman" w:hAnsi="Times New Roman" w:cs="Times New Roman"/>
          <w:sz w:val="28"/>
          <w:szCs w:val="28"/>
        </w:rPr>
        <w:t xml:space="preserve"> - статистический синтез данных из разных, но подобных, т.е. сопоставимых исследований, итог которого </w:t>
      </w:r>
      <w:r w:rsidR="00C65055">
        <w:rPr>
          <w:rFonts w:ascii="Times New Roman" w:hAnsi="Times New Roman" w:cs="Times New Roman"/>
          <w:sz w:val="28"/>
          <w:szCs w:val="28"/>
        </w:rPr>
        <w:t>–</w:t>
      </w:r>
      <w:r w:rsidRPr="005203ED">
        <w:rPr>
          <w:rFonts w:ascii="Times New Roman" w:hAnsi="Times New Roman" w:cs="Times New Roman"/>
          <w:sz w:val="28"/>
          <w:szCs w:val="28"/>
        </w:rPr>
        <w:t xml:space="preserve"> количественная</w:t>
      </w:r>
      <w:r w:rsidR="00C65055">
        <w:rPr>
          <w:rFonts w:ascii="Times New Roman" w:hAnsi="Times New Roman" w:cs="Times New Roman"/>
          <w:sz w:val="28"/>
          <w:szCs w:val="28"/>
        </w:rPr>
        <w:t xml:space="preserve"> </w:t>
      </w:r>
      <w:r w:rsidRPr="005203ED">
        <w:rPr>
          <w:rFonts w:ascii="Times New Roman" w:hAnsi="Times New Roman" w:cs="Times New Roman"/>
          <w:sz w:val="28"/>
          <w:szCs w:val="28"/>
        </w:rPr>
        <w:t xml:space="preserve">оценка обобщенных результатов. </w:t>
      </w:r>
    </w:p>
    <w:p w14:paraId="33CB044F" w14:textId="77777777" w:rsidR="00C014F7" w:rsidRPr="005203ED" w:rsidRDefault="00C014F7" w:rsidP="00C65055">
      <w:pPr>
        <w:pStyle w:val="Standard"/>
        <w:ind w:firstLine="567"/>
        <w:jc w:val="both"/>
        <w:rPr>
          <w:rFonts w:ascii="Times New Roman" w:hAnsi="Times New Roman" w:cs="Times New Roman"/>
          <w:b/>
          <w:bCs/>
          <w:sz w:val="28"/>
          <w:szCs w:val="28"/>
        </w:rPr>
      </w:pPr>
      <w:r w:rsidRPr="005203ED">
        <w:rPr>
          <w:rFonts w:ascii="Times New Roman" w:hAnsi="Times New Roman" w:cs="Times New Roman"/>
          <w:b/>
          <w:color w:val="202122"/>
          <w:sz w:val="28"/>
          <w:szCs w:val="28"/>
          <w:shd w:val="clear" w:color="auto" w:fill="FFFFFF"/>
        </w:rPr>
        <w:t xml:space="preserve">Нутритивная недостаточность </w:t>
      </w:r>
      <w:r w:rsidRPr="005203ED">
        <w:rPr>
          <w:rFonts w:ascii="Times New Roman" w:hAnsi="Times New Roman" w:cs="Times New Roman"/>
          <w:bCs/>
          <w:sz w:val="28"/>
          <w:szCs w:val="28"/>
        </w:rPr>
        <w:t>–</w:t>
      </w:r>
      <w:r w:rsidRPr="005203ED">
        <w:rPr>
          <w:rFonts w:ascii="Times New Roman" w:hAnsi="Times New Roman" w:cs="Times New Roman"/>
          <w:b/>
          <w:bCs/>
          <w:sz w:val="28"/>
          <w:szCs w:val="28"/>
        </w:rPr>
        <w:t xml:space="preserve"> </w:t>
      </w:r>
      <w:r w:rsidRPr="005203ED">
        <w:rPr>
          <w:rFonts w:ascii="Times New Roman" w:hAnsi="Times New Roman" w:cs="Times New Roman"/>
          <w:color w:val="202122"/>
          <w:sz w:val="28"/>
          <w:szCs w:val="28"/>
          <w:shd w:val="clear" w:color="auto" w:fill="FFFFFF"/>
        </w:rPr>
        <w:t>состояние питания, при котором дефицит</w:t>
      </w:r>
      <w:hyperlink r:id="rId7" w:tooltip="Дисбаланс" w:history="1"/>
      <w:r w:rsidRPr="005203ED">
        <w:rPr>
          <w:rFonts w:ascii="Times New Roman" w:hAnsi="Times New Roman" w:cs="Times New Roman"/>
          <w:sz w:val="28"/>
          <w:szCs w:val="28"/>
        </w:rPr>
        <w:t xml:space="preserve"> </w:t>
      </w:r>
      <w:r w:rsidRPr="005203ED">
        <w:rPr>
          <w:rFonts w:ascii="Times New Roman" w:hAnsi="Times New Roman" w:cs="Times New Roman"/>
          <w:color w:val="202122"/>
          <w:sz w:val="28"/>
          <w:szCs w:val="28"/>
          <w:shd w:val="clear" w:color="auto" w:fill="FFFFFF"/>
        </w:rPr>
        <w:t>белков и других питательных веществ ведет к измеримым нежелательным эффектам на ткани, функции и клинические исходы.</w:t>
      </w:r>
    </w:p>
    <w:p w14:paraId="0E712A03" w14:textId="01616A89" w:rsidR="00C014F7" w:rsidRPr="007A2241" w:rsidRDefault="00C014F7" w:rsidP="00C65055">
      <w:pPr>
        <w:pStyle w:val="Standard"/>
        <w:ind w:firstLine="567"/>
        <w:jc w:val="both"/>
        <w:rPr>
          <w:rFonts w:ascii="Times New Roman" w:hAnsi="Times New Roman" w:cs="Times New Roman"/>
          <w:sz w:val="28"/>
          <w:szCs w:val="28"/>
        </w:rPr>
      </w:pPr>
      <w:r w:rsidRPr="007A2241">
        <w:rPr>
          <w:rFonts w:ascii="Times New Roman" w:hAnsi="Times New Roman" w:cs="Times New Roman"/>
          <w:b/>
          <w:sz w:val="28"/>
          <w:szCs w:val="28"/>
        </w:rPr>
        <w:t>Нутритивная поддержка</w:t>
      </w:r>
      <w:r w:rsidRPr="007A2241">
        <w:rPr>
          <w:rFonts w:ascii="Times New Roman" w:hAnsi="Times New Roman" w:cs="Times New Roman"/>
          <w:sz w:val="28"/>
          <w:szCs w:val="28"/>
        </w:rPr>
        <w:t xml:space="preserve"> </w:t>
      </w:r>
      <w:r w:rsidR="00C65055">
        <w:rPr>
          <w:rFonts w:ascii="Times New Roman" w:hAnsi="Times New Roman" w:cs="Times New Roman"/>
          <w:sz w:val="28"/>
          <w:szCs w:val="28"/>
        </w:rPr>
        <w:t>–</w:t>
      </w:r>
      <w:r w:rsidRPr="007A2241">
        <w:rPr>
          <w:rFonts w:ascii="Times New Roman" w:hAnsi="Times New Roman" w:cs="Times New Roman"/>
          <w:sz w:val="28"/>
          <w:szCs w:val="28"/>
        </w:rPr>
        <w:t xml:space="preserve"> процесс</w:t>
      </w:r>
      <w:r w:rsidR="00C65055">
        <w:rPr>
          <w:rFonts w:ascii="Times New Roman" w:hAnsi="Times New Roman" w:cs="Times New Roman"/>
          <w:sz w:val="28"/>
          <w:szCs w:val="28"/>
        </w:rPr>
        <w:t xml:space="preserve"> </w:t>
      </w:r>
      <w:r w:rsidRPr="007A2241">
        <w:rPr>
          <w:rFonts w:ascii="Times New Roman" w:hAnsi="Times New Roman" w:cs="Times New Roman"/>
          <w:sz w:val="28"/>
          <w:szCs w:val="28"/>
        </w:rPr>
        <w:t>обеспечения полноценного питания больных с использованием специальных средств, максимально сбалансированных в количественном и качественном соотношении.</w:t>
      </w:r>
    </w:p>
    <w:p w14:paraId="26656A5E" w14:textId="77777777" w:rsidR="00C014F7" w:rsidRPr="005203ED" w:rsidRDefault="00C014F7" w:rsidP="00C65055">
      <w:pPr>
        <w:pStyle w:val="Standard"/>
        <w:ind w:firstLine="567"/>
        <w:jc w:val="both"/>
        <w:rPr>
          <w:rFonts w:ascii="Times New Roman" w:hAnsi="Times New Roman" w:cs="Times New Roman"/>
          <w:b/>
          <w:bCs/>
          <w:sz w:val="28"/>
          <w:szCs w:val="28"/>
        </w:rPr>
      </w:pPr>
      <w:r w:rsidRPr="005203ED">
        <w:rPr>
          <w:rFonts w:ascii="Times New Roman" w:hAnsi="Times New Roman" w:cs="Times New Roman"/>
          <w:b/>
          <w:sz w:val="28"/>
          <w:szCs w:val="28"/>
        </w:rPr>
        <w:t xml:space="preserve">Постколэктомический синдром </w:t>
      </w:r>
      <w:r w:rsidRPr="005203ED">
        <w:rPr>
          <w:rFonts w:ascii="Times New Roman" w:hAnsi="Times New Roman" w:cs="Times New Roman"/>
          <w:sz w:val="28"/>
          <w:szCs w:val="28"/>
        </w:rPr>
        <w:t>–</w:t>
      </w:r>
      <w:r w:rsidRPr="005203ED">
        <w:rPr>
          <w:rFonts w:ascii="Times New Roman" w:hAnsi="Times New Roman" w:cs="Times New Roman"/>
          <w:b/>
          <w:sz w:val="28"/>
          <w:szCs w:val="28"/>
        </w:rPr>
        <w:t xml:space="preserve"> </w:t>
      </w:r>
      <w:r w:rsidRPr="005203ED">
        <w:rPr>
          <w:rFonts w:ascii="Times New Roman" w:hAnsi="Times New Roman" w:cs="Times New Roman"/>
          <w:sz w:val="28"/>
          <w:szCs w:val="28"/>
        </w:rPr>
        <w:t>совокупность функциональных и метаболических осложнений после резекции ободочной кишки.</w:t>
      </w:r>
    </w:p>
    <w:p w14:paraId="1BAE513F" w14:textId="77777777" w:rsidR="00C014F7" w:rsidRPr="005203ED" w:rsidRDefault="00C014F7" w:rsidP="00C65055">
      <w:pPr>
        <w:pStyle w:val="Standard"/>
        <w:ind w:firstLine="567"/>
        <w:jc w:val="both"/>
        <w:rPr>
          <w:rFonts w:ascii="Times New Roman" w:hAnsi="Times New Roman" w:cs="Times New Roman"/>
          <w:sz w:val="28"/>
          <w:szCs w:val="28"/>
        </w:rPr>
      </w:pPr>
      <w:r w:rsidRPr="005203ED">
        <w:rPr>
          <w:rFonts w:ascii="Times New Roman" w:hAnsi="Times New Roman" w:cs="Times New Roman"/>
          <w:b/>
          <w:sz w:val="28"/>
          <w:szCs w:val="28"/>
        </w:rPr>
        <w:t xml:space="preserve">Рецидив рака </w:t>
      </w:r>
      <w:r w:rsidRPr="005203ED">
        <w:rPr>
          <w:rFonts w:ascii="Times New Roman" w:hAnsi="Times New Roman" w:cs="Times New Roman"/>
          <w:bCs/>
          <w:sz w:val="28"/>
          <w:szCs w:val="28"/>
        </w:rPr>
        <w:t>–</w:t>
      </w:r>
      <w:r w:rsidRPr="005203ED">
        <w:rPr>
          <w:rFonts w:ascii="Times New Roman" w:hAnsi="Times New Roman" w:cs="Times New Roman"/>
          <w:b/>
          <w:bCs/>
          <w:sz w:val="28"/>
          <w:szCs w:val="28"/>
        </w:rPr>
        <w:t xml:space="preserve"> </w:t>
      </w:r>
      <w:r w:rsidRPr="005203ED">
        <w:rPr>
          <w:rFonts w:ascii="Times New Roman" w:hAnsi="Times New Roman" w:cs="Times New Roman"/>
          <w:sz w:val="28"/>
          <w:szCs w:val="28"/>
        </w:rPr>
        <w:t>возобновление клинических проявлений заболевания после их временного исчезновения.</w:t>
      </w:r>
    </w:p>
    <w:p w14:paraId="096FA11A" w14:textId="313C98A2" w:rsidR="00C014F7" w:rsidRPr="005203ED" w:rsidRDefault="00C014F7" w:rsidP="00C65055">
      <w:pPr>
        <w:spacing w:after="0" w:line="240" w:lineRule="auto"/>
        <w:ind w:firstLine="567"/>
        <w:jc w:val="both"/>
        <w:rPr>
          <w:rFonts w:ascii="Times New Roman" w:hAnsi="Times New Roman"/>
          <w:b/>
          <w:bCs/>
          <w:sz w:val="28"/>
          <w:szCs w:val="28"/>
        </w:rPr>
      </w:pPr>
      <w:r w:rsidRPr="005203ED">
        <w:rPr>
          <w:rFonts w:ascii="Times New Roman" w:hAnsi="Times New Roman"/>
          <w:b/>
          <w:bCs/>
          <w:color w:val="202122"/>
          <w:sz w:val="28"/>
          <w:szCs w:val="28"/>
          <w:shd w:val="clear" w:color="auto" w:fill="FFFFFF"/>
        </w:rPr>
        <w:t>Тенезмы</w:t>
      </w:r>
      <w:r w:rsidR="00C65055">
        <w:rPr>
          <w:rFonts w:ascii="Times New Roman" w:hAnsi="Times New Roman"/>
          <w:b/>
          <w:bCs/>
          <w:color w:val="202122"/>
          <w:sz w:val="28"/>
          <w:szCs w:val="28"/>
          <w:shd w:val="clear" w:color="auto" w:fill="FFFFFF"/>
        </w:rPr>
        <w:t xml:space="preserve"> </w:t>
      </w:r>
      <w:r w:rsidR="00C65055">
        <w:rPr>
          <w:rFonts w:ascii="Times New Roman" w:hAnsi="Times New Roman"/>
          <w:color w:val="202122"/>
          <w:sz w:val="28"/>
          <w:szCs w:val="28"/>
          <w:shd w:val="clear" w:color="auto" w:fill="FFFFFF"/>
        </w:rPr>
        <w:t>–</w:t>
      </w:r>
      <w:r w:rsidRPr="005203ED">
        <w:rPr>
          <w:rFonts w:ascii="Times New Roman" w:hAnsi="Times New Roman"/>
          <w:color w:val="202122"/>
          <w:sz w:val="28"/>
          <w:szCs w:val="28"/>
          <w:shd w:val="clear" w:color="auto" w:fill="FFFFFF"/>
        </w:rPr>
        <w:t xml:space="preserve"> постоянные, режущие, тянущие, жгущие боли в области прямой кишки, без выделения кала.</w:t>
      </w:r>
    </w:p>
    <w:p w14:paraId="1A84134D" w14:textId="75DD4700" w:rsidR="00C014F7" w:rsidRPr="005203ED" w:rsidRDefault="00C014F7" w:rsidP="00C65055">
      <w:pPr>
        <w:spacing w:after="0" w:line="240" w:lineRule="auto"/>
        <w:ind w:firstLine="567"/>
        <w:jc w:val="both"/>
        <w:rPr>
          <w:rFonts w:ascii="Times New Roman" w:hAnsi="Times New Roman"/>
          <w:sz w:val="28"/>
          <w:szCs w:val="28"/>
        </w:rPr>
      </w:pPr>
      <w:r w:rsidRPr="005203ED">
        <w:rPr>
          <w:rFonts w:ascii="Times New Roman" w:hAnsi="Times New Roman"/>
          <w:b/>
          <w:bCs/>
          <w:sz w:val="28"/>
          <w:szCs w:val="28"/>
        </w:rPr>
        <w:t>Фактор риска</w:t>
      </w:r>
      <w:r w:rsidR="00C65055">
        <w:rPr>
          <w:rFonts w:ascii="Times New Roman" w:hAnsi="Times New Roman"/>
          <w:b/>
          <w:bCs/>
          <w:sz w:val="28"/>
          <w:szCs w:val="28"/>
        </w:rPr>
        <w:t xml:space="preserve"> –</w:t>
      </w:r>
      <w:r w:rsidRPr="005203ED">
        <w:rPr>
          <w:rFonts w:ascii="Times New Roman" w:hAnsi="Times New Roman"/>
          <w:b/>
          <w:bCs/>
          <w:sz w:val="28"/>
          <w:szCs w:val="28"/>
        </w:rPr>
        <w:t xml:space="preserve"> </w:t>
      </w:r>
      <w:r w:rsidRPr="005203ED">
        <w:rPr>
          <w:rFonts w:ascii="Times New Roman" w:hAnsi="Times New Roman"/>
          <w:bCs/>
          <w:sz w:val="28"/>
          <w:szCs w:val="28"/>
        </w:rPr>
        <w:t>п</w:t>
      </w:r>
      <w:r w:rsidRPr="005203ED">
        <w:rPr>
          <w:rFonts w:ascii="Times New Roman" w:hAnsi="Times New Roman"/>
          <w:sz w:val="28"/>
          <w:szCs w:val="28"/>
        </w:rPr>
        <w:t>ризнак</w:t>
      </w:r>
      <w:r w:rsidR="00C65055">
        <w:rPr>
          <w:rFonts w:ascii="Times New Roman" w:hAnsi="Times New Roman"/>
          <w:sz w:val="28"/>
          <w:szCs w:val="28"/>
        </w:rPr>
        <w:t xml:space="preserve"> </w:t>
      </w:r>
      <w:r w:rsidRPr="005203ED">
        <w:rPr>
          <w:rFonts w:ascii="Times New Roman" w:hAnsi="Times New Roman"/>
          <w:sz w:val="28"/>
          <w:szCs w:val="28"/>
        </w:rPr>
        <w:t xml:space="preserve">или экспозиция, повышающие вероятность заболевания или иного конкретного исхода. </w:t>
      </w:r>
    </w:p>
    <w:p w14:paraId="4738B8EE" w14:textId="77777777" w:rsidR="00403127" w:rsidRDefault="00403127" w:rsidP="00403127">
      <w:pPr>
        <w:spacing w:after="0" w:line="240" w:lineRule="auto"/>
        <w:ind w:firstLine="567"/>
        <w:rPr>
          <w:rFonts w:ascii="Times New Roman" w:eastAsia="SimSun" w:hAnsi="Times New Roman" w:cs="Lucida Sans"/>
          <w:b/>
          <w:bCs/>
          <w:kern w:val="3"/>
          <w:sz w:val="28"/>
          <w:szCs w:val="28"/>
          <w:lang w:eastAsia="zh-CN" w:bidi="hi-IN"/>
        </w:rPr>
      </w:pPr>
      <w:r>
        <w:rPr>
          <w:rFonts w:ascii="Times New Roman" w:hAnsi="Times New Roman"/>
          <w:b/>
          <w:bCs/>
          <w:sz w:val="28"/>
          <w:szCs w:val="28"/>
        </w:rPr>
        <w:br w:type="page"/>
      </w:r>
    </w:p>
    <w:p w14:paraId="661B618B" w14:textId="77777777" w:rsidR="00403127" w:rsidRPr="00145B66" w:rsidRDefault="00403127" w:rsidP="00403127">
      <w:pPr>
        <w:pStyle w:val="Standard"/>
        <w:jc w:val="center"/>
        <w:rPr>
          <w:rFonts w:ascii="Times New Roman" w:hAnsi="Times New Roman"/>
          <w:b/>
          <w:bCs/>
          <w:sz w:val="28"/>
          <w:szCs w:val="28"/>
        </w:rPr>
      </w:pPr>
      <w:r w:rsidRPr="00145B66">
        <w:rPr>
          <w:rFonts w:ascii="Times New Roman" w:hAnsi="Times New Roman"/>
          <w:b/>
          <w:bCs/>
          <w:sz w:val="28"/>
          <w:szCs w:val="28"/>
        </w:rPr>
        <w:lastRenderedPageBreak/>
        <w:t>ОБОЗНАЧЕНИЯ И СОКРАЩЕНИЯ</w:t>
      </w:r>
    </w:p>
    <w:p w14:paraId="4379FE98" w14:textId="77777777" w:rsidR="00403127" w:rsidRPr="00145B66" w:rsidRDefault="00403127" w:rsidP="00403127">
      <w:pPr>
        <w:pStyle w:val="Standard"/>
        <w:jc w:val="right"/>
        <w:rPr>
          <w:rFonts w:ascii="Times New Roman" w:hAnsi="Times New Roman"/>
          <w:b/>
          <w:bCs/>
          <w:sz w:val="28"/>
          <w:szCs w:val="28"/>
        </w:rPr>
      </w:pPr>
    </w:p>
    <w:tbl>
      <w:tblPr>
        <w:tblW w:w="0" w:type="auto"/>
        <w:tblLook w:val="04A0" w:firstRow="1" w:lastRow="0" w:firstColumn="1" w:lastColumn="0" w:noHBand="0" w:noVBand="1"/>
      </w:tblPr>
      <w:tblGrid>
        <w:gridCol w:w="1838"/>
        <w:gridCol w:w="7768"/>
      </w:tblGrid>
      <w:tr w:rsidR="00403127" w:rsidRPr="00145B66" w14:paraId="36E88864" w14:textId="77777777" w:rsidTr="00094F6F">
        <w:tc>
          <w:tcPr>
            <w:tcW w:w="1838" w:type="dxa"/>
            <w:shd w:val="clear" w:color="auto" w:fill="auto"/>
          </w:tcPr>
          <w:p w14:paraId="3A28D2AE" w14:textId="77777777" w:rsidR="00403127" w:rsidRPr="00145B66" w:rsidRDefault="00403127" w:rsidP="00094F6F">
            <w:pPr>
              <w:pStyle w:val="Standard"/>
              <w:rPr>
                <w:rFonts w:ascii="Times New Roman" w:hAnsi="Times New Roman" w:cs="Times New Roman"/>
                <w:bCs/>
                <w:sz w:val="28"/>
                <w:szCs w:val="28"/>
              </w:rPr>
            </w:pPr>
            <w:proofErr w:type="spellStart"/>
            <w:r w:rsidRPr="00145B66">
              <w:rPr>
                <w:rFonts w:ascii="Times New Roman" w:hAnsi="Times New Roman" w:cs="Times New Roman"/>
                <w:sz w:val="28"/>
                <w:szCs w:val="28"/>
              </w:rPr>
              <w:t>Абс</w:t>
            </w:r>
            <w:proofErr w:type="spellEnd"/>
          </w:p>
        </w:tc>
        <w:tc>
          <w:tcPr>
            <w:tcW w:w="7768" w:type="dxa"/>
            <w:shd w:val="clear" w:color="auto" w:fill="auto"/>
          </w:tcPr>
          <w:p w14:paraId="4B271F4C" w14:textId="77777777" w:rsidR="00403127" w:rsidRPr="00100A04" w:rsidRDefault="00403127" w:rsidP="00403127">
            <w:pPr>
              <w:pStyle w:val="Standard"/>
              <w:numPr>
                <w:ilvl w:val="0"/>
                <w:numId w:val="1"/>
              </w:numPr>
              <w:ind w:left="289" w:hanging="284"/>
              <w:jc w:val="both"/>
              <w:rPr>
                <w:rFonts w:ascii="Times New Roman" w:hAnsi="Times New Roman" w:cs="Times New Roman"/>
                <w:bCs/>
                <w:i/>
                <w:iCs/>
                <w:sz w:val="28"/>
                <w:szCs w:val="28"/>
              </w:rPr>
            </w:pPr>
            <w:r w:rsidRPr="00100A04">
              <w:rPr>
                <w:rStyle w:val="a5"/>
                <w:rFonts w:ascii="Times New Roman" w:hAnsi="Times New Roman" w:cs="Times New Roman"/>
                <w:i w:val="0"/>
                <w:iCs w:val="0"/>
                <w:sz w:val="28"/>
                <w:szCs w:val="28"/>
                <w:shd w:val="clear" w:color="auto" w:fill="FFFFFF"/>
              </w:rPr>
              <w:t>Абсолютное количество</w:t>
            </w:r>
          </w:p>
        </w:tc>
      </w:tr>
      <w:tr w:rsidR="00403127" w:rsidRPr="00145B66" w14:paraId="2D73CB57" w14:textId="77777777" w:rsidTr="00094F6F">
        <w:tc>
          <w:tcPr>
            <w:tcW w:w="1838" w:type="dxa"/>
            <w:shd w:val="clear" w:color="auto" w:fill="auto"/>
          </w:tcPr>
          <w:p w14:paraId="11C53FBE" w14:textId="77777777" w:rsidR="00403127" w:rsidRPr="00145B66" w:rsidRDefault="00403127" w:rsidP="00094F6F">
            <w:pPr>
              <w:pStyle w:val="Standard"/>
              <w:rPr>
                <w:rFonts w:ascii="Times New Roman" w:hAnsi="Times New Roman" w:cs="Times New Roman"/>
                <w:bCs/>
                <w:sz w:val="28"/>
                <w:szCs w:val="28"/>
                <w:lang w:val="en-US"/>
              </w:rPr>
            </w:pPr>
            <w:r w:rsidRPr="00145B66">
              <w:rPr>
                <w:rFonts w:ascii="Times New Roman" w:hAnsi="Times New Roman" w:cs="Times New Roman"/>
                <w:bCs/>
                <w:sz w:val="28"/>
                <w:szCs w:val="28"/>
              </w:rPr>
              <w:t>ВОЗ</w:t>
            </w:r>
          </w:p>
        </w:tc>
        <w:tc>
          <w:tcPr>
            <w:tcW w:w="7768" w:type="dxa"/>
            <w:shd w:val="clear" w:color="auto" w:fill="auto"/>
          </w:tcPr>
          <w:p w14:paraId="572B2693" w14:textId="77777777" w:rsidR="00403127" w:rsidRPr="00100A04" w:rsidRDefault="00403127" w:rsidP="00403127">
            <w:pPr>
              <w:pStyle w:val="Standard"/>
              <w:numPr>
                <w:ilvl w:val="0"/>
                <w:numId w:val="1"/>
              </w:numPr>
              <w:ind w:left="289" w:hanging="284"/>
              <w:jc w:val="both"/>
              <w:rPr>
                <w:rFonts w:ascii="Times New Roman" w:hAnsi="Times New Roman" w:cs="Times New Roman"/>
                <w:sz w:val="28"/>
                <w:szCs w:val="28"/>
                <w:lang w:val="en-US"/>
              </w:rPr>
            </w:pPr>
            <w:r w:rsidRPr="00100A04">
              <w:rPr>
                <w:rFonts w:ascii="Times New Roman" w:hAnsi="Times New Roman" w:cs="Times New Roman"/>
                <w:sz w:val="28"/>
                <w:szCs w:val="28"/>
              </w:rPr>
              <w:t>Всемирная организация здравоохранения</w:t>
            </w:r>
          </w:p>
        </w:tc>
      </w:tr>
      <w:tr w:rsidR="00403127" w:rsidRPr="00145B66" w14:paraId="473B93D9" w14:textId="77777777" w:rsidTr="00094F6F">
        <w:tc>
          <w:tcPr>
            <w:tcW w:w="1838" w:type="dxa"/>
            <w:shd w:val="clear" w:color="auto" w:fill="auto"/>
          </w:tcPr>
          <w:p w14:paraId="4E4C9EB3" w14:textId="77777777" w:rsidR="00403127" w:rsidRPr="00145B66" w:rsidRDefault="00403127" w:rsidP="00094F6F">
            <w:pPr>
              <w:pStyle w:val="Standard"/>
              <w:rPr>
                <w:rFonts w:ascii="Times New Roman" w:hAnsi="Times New Roman" w:cs="Times New Roman"/>
                <w:bCs/>
                <w:sz w:val="28"/>
                <w:szCs w:val="28"/>
              </w:rPr>
            </w:pPr>
            <w:r w:rsidRPr="00145B66">
              <w:rPr>
                <w:rFonts w:ascii="Times New Roman" w:hAnsi="Times New Roman" w:cs="Times New Roman"/>
                <w:sz w:val="28"/>
                <w:szCs w:val="28"/>
                <w:lang w:eastAsia="en-US"/>
              </w:rPr>
              <w:t>ДИ</w:t>
            </w:r>
          </w:p>
        </w:tc>
        <w:tc>
          <w:tcPr>
            <w:tcW w:w="7768" w:type="dxa"/>
            <w:shd w:val="clear" w:color="auto" w:fill="auto"/>
          </w:tcPr>
          <w:p w14:paraId="6C71078D" w14:textId="77777777" w:rsidR="00403127" w:rsidRPr="00100A04" w:rsidRDefault="00403127" w:rsidP="00403127">
            <w:pPr>
              <w:pStyle w:val="Standard"/>
              <w:numPr>
                <w:ilvl w:val="0"/>
                <w:numId w:val="1"/>
              </w:numPr>
              <w:ind w:left="289" w:hanging="284"/>
              <w:jc w:val="both"/>
              <w:rPr>
                <w:rFonts w:ascii="Times New Roman" w:hAnsi="Times New Roman" w:cs="Times New Roman"/>
                <w:i/>
                <w:iCs/>
                <w:sz w:val="28"/>
                <w:szCs w:val="28"/>
              </w:rPr>
            </w:pPr>
            <w:r w:rsidRPr="00100A04">
              <w:rPr>
                <w:rStyle w:val="a5"/>
                <w:rFonts w:ascii="Times New Roman" w:hAnsi="Times New Roman" w:cs="Times New Roman"/>
                <w:i w:val="0"/>
                <w:iCs w:val="0"/>
                <w:sz w:val="28"/>
                <w:szCs w:val="28"/>
                <w:shd w:val="clear" w:color="auto" w:fill="FFFFFF"/>
              </w:rPr>
              <w:t>Доверительный интервал</w:t>
            </w:r>
          </w:p>
        </w:tc>
      </w:tr>
      <w:tr w:rsidR="00403127" w:rsidRPr="00145B66" w14:paraId="4763691D" w14:textId="77777777" w:rsidTr="00094F6F">
        <w:tc>
          <w:tcPr>
            <w:tcW w:w="1838" w:type="dxa"/>
            <w:shd w:val="clear" w:color="auto" w:fill="auto"/>
          </w:tcPr>
          <w:p w14:paraId="53A3CDC3" w14:textId="77777777" w:rsidR="00403127" w:rsidRPr="00145B66" w:rsidRDefault="00403127" w:rsidP="00094F6F">
            <w:pPr>
              <w:pStyle w:val="Standard"/>
              <w:rPr>
                <w:rFonts w:ascii="Times New Roman" w:hAnsi="Times New Roman" w:cs="Times New Roman"/>
                <w:sz w:val="28"/>
                <w:szCs w:val="28"/>
                <w:lang w:eastAsia="en-US"/>
              </w:rPr>
            </w:pPr>
            <w:r w:rsidRPr="00145B66">
              <w:rPr>
                <w:rFonts w:ascii="Times New Roman" w:hAnsi="Times New Roman" w:cs="Times New Roman"/>
                <w:bCs/>
                <w:sz w:val="28"/>
                <w:szCs w:val="28"/>
              </w:rPr>
              <w:t>ЖКТ</w:t>
            </w:r>
          </w:p>
        </w:tc>
        <w:tc>
          <w:tcPr>
            <w:tcW w:w="7768" w:type="dxa"/>
            <w:shd w:val="clear" w:color="auto" w:fill="auto"/>
          </w:tcPr>
          <w:p w14:paraId="4E199B30" w14:textId="77777777" w:rsidR="00403127" w:rsidRPr="00100A04" w:rsidRDefault="00403127" w:rsidP="00403127">
            <w:pPr>
              <w:pStyle w:val="Standard"/>
              <w:numPr>
                <w:ilvl w:val="0"/>
                <w:numId w:val="1"/>
              </w:numPr>
              <w:ind w:left="289" w:hanging="284"/>
              <w:jc w:val="both"/>
              <w:rPr>
                <w:rStyle w:val="a5"/>
                <w:rFonts w:ascii="Times New Roman" w:hAnsi="Times New Roman" w:cs="Times New Roman"/>
                <w:sz w:val="28"/>
                <w:szCs w:val="28"/>
                <w:shd w:val="clear" w:color="auto" w:fill="FFFFFF"/>
              </w:rPr>
            </w:pPr>
            <w:r w:rsidRPr="00100A04">
              <w:rPr>
                <w:rFonts w:ascii="Times New Roman" w:hAnsi="Times New Roman" w:cs="Times New Roman"/>
                <w:sz w:val="28"/>
                <w:szCs w:val="28"/>
              </w:rPr>
              <w:t>Желудочно-кишечный тракт</w:t>
            </w:r>
          </w:p>
        </w:tc>
      </w:tr>
      <w:tr w:rsidR="00403127" w:rsidRPr="00145B66" w14:paraId="23307F23" w14:textId="77777777" w:rsidTr="00094F6F">
        <w:tc>
          <w:tcPr>
            <w:tcW w:w="1838" w:type="dxa"/>
            <w:shd w:val="clear" w:color="auto" w:fill="auto"/>
          </w:tcPr>
          <w:p w14:paraId="4BC44DDC" w14:textId="77777777" w:rsidR="00403127" w:rsidRPr="00145B66" w:rsidRDefault="00403127" w:rsidP="00094F6F">
            <w:pPr>
              <w:pStyle w:val="Standard"/>
              <w:rPr>
                <w:rFonts w:ascii="Times New Roman" w:hAnsi="Times New Roman" w:cs="Times New Roman"/>
                <w:bCs/>
                <w:sz w:val="28"/>
                <w:szCs w:val="28"/>
              </w:rPr>
            </w:pPr>
            <w:r w:rsidRPr="00145B66">
              <w:rPr>
                <w:rFonts w:ascii="Times New Roman" w:hAnsi="Times New Roman" w:cs="Times New Roman"/>
                <w:sz w:val="28"/>
                <w:szCs w:val="28"/>
              </w:rPr>
              <w:t>ИМТ</w:t>
            </w:r>
          </w:p>
        </w:tc>
        <w:tc>
          <w:tcPr>
            <w:tcW w:w="7768" w:type="dxa"/>
            <w:shd w:val="clear" w:color="auto" w:fill="auto"/>
          </w:tcPr>
          <w:p w14:paraId="44EBBFF9" w14:textId="77777777" w:rsidR="00403127" w:rsidRPr="00100A04" w:rsidRDefault="00403127" w:rsidP="00403127">
            <w:pPr>
              <w:pStyle w:val="Standard"/>
              <w:numPr>
                <w:ilvl w:val="0"/>
                <w:numId w:val="1"/>
              </w:numPr>
              <w:ind w:left="289" w:hanging="284"/>
              <w:jc w:val="both"/>
              <w:rPr>
                <w:rFonts w:ascii="Times New Roman" w:hAnsi="Times New Roman" w:cs="Times New Roman"/>
                <w:i/>
                <w:iCs/>
                <w:sz w:val="28"/>
                <w:szCs w:val="28"/>
              </w:rPr>
            </w:pPr>
            <w:r w:rsidRPr="00100A04">
              <w:rPr>
                <w:rStyle w:val="a5"/>
                <w:rFonts w:ascii="Times New Roman" w:hAnsi="Times New Roman" w:cs="Times New Roman"/>
                <w:i w:val="0"/>
                <w:iCs w:val="0"/>
                <w:sz w:val="28"/>
                <w:szCs w:val="28"/>
                <w:shd w:val="clear" w:color="auto" w:fill="FFFFFF"/>
              </w:rPr>
              <w:t>Индекс массы тела</w:t>
            </w:r>
          </w:p>
        </w:tc>
      </w:tr>
      <w:tr w:rsidR="00403127" w:rsidRPr="00145B66" w14:paraId="0AD027C4" w14:textId="77777777" w:rsidTr="00094F6F">
        <w:tc>
          <w:tcPr>
            <w:tcW w:w="1838" w:type="dxa"/>
            <w:shd w:val="clear" w:color="auto" w:fill="auto"/>
          </w:tcPr>
          <w:p w14:paraId="168A26BA" w14:textId="77777777" w:rsidR="00403127" w:rsidRPr="00145B66" w:rsidRDefault="00403127" w:rsidP="00094F6F">
            <w:pPr>
              <w:pStyle w:val="Standard"/>
              <w:rPr>
                <w:rFonts w:ascii="Times New Roman" w:hAnsi="Times New Roman" w:cs="Times New Roman"/>
                <w:sz w:val="28"/>
                <w:szCs w:val="28"/>
              </w:rPr>
            </w:pPr>
            <w:r w:rsidRPr="00145B66">
              <w:rPr>
                <w:rFonts w:ascii="Times New Roman" w:hAnsi="Times New Roman" w:cs="Times New Roman"/>
                <w:sz w:val="28"/>
                <w:szCs w:val="28"/>
              </w:rPr>
              <w:t>КОЕ/г</w:t>
            </w:r>
          </w:p>
        </w:tc>
        <w:tc>
          <w:tcPr>
            <w:tcW w:w="7768" w:type="dxa"/>
            <w:shd w:val="clear" w:color="auto" w:fill="auto"/>
          </w:tcPr>
          <w:p w14:paraId="4CFC6C36" w14:textId="77777777" w:rsidR="00403127" w:rsidRPr="00100A04" w:rsidRDefault="00403127" w:rsidP="00403127">
            <w:pPr>
              <w:pStyle w:val="Standard"/>
              <w:numPr>
                <w:ilvl w:val="0"/>
                <w:numId w:val="1"/>
              </w:numPr>
              <w:ind w:left="289" w:hanging="284"/>
              <w:jc w:val="both"/>
              <w:rPr>
                <w:rStyle w:val="a5"/>
                <w:rFonts w:ascii="Times New Roman" w:hAnsi="Times New Roman" w:cs="Times New Roman"/>
                <w:sz w:val="28"/>
                <w:szCs w:val="28"/>
                <w:shd w:val="clear" w:color="auto" w:fill="FFFFFF"/>
              </w:rPr>
            </w:pPr>
            <w:r w:rsidRPr="00100A04">
              <w:rPr>
                <w:rFonts w:ascii="Times New Roman" w:hAnsi="Times New Roman" w:cs="Times New Roman"/>
                <w:bCs/>
                <w:sz w:val="28"/>
                <w:szCs w:val="28"/>
              </w:rPr>
              <w:t xml:space="preserve">Колониеобразующие единицы на 1 грамм  </w:t>
            </w:r>
          </w:p>
        </w:tc>
      </w:tr>
      <w:tr w:rsidR="00403127" w:rsidRPr="00145B66" w14:paraId="2888B78D" w14:textId="77777777" w:rsidTr="00094F6F">
        <w:tc>
          <w:tcPr>
            <w:tcW w:w="1838" w:type="dxa"/>
            <w:shd w:val="clear" w:color="auto" w:fill="auto"/>
          </w:tcPr>
          <w:p w14:paraId="6E923D01" w14:textId="77777777" w:rsidR="00403127" w:rsidRPr="00145B66" w:rsidRDefault="00403127" w:rsidP="00094F6F">
            <w:pPr>
              <w:pStyle w:val="Standard"/>
              <w:rPr>
                <w:rFonts w:ascii="Times New Roman" w:hAnsi="Times New Roman" w:cs="Times New Roman"/>
                <w:sz w:val="28"/>
                <w:szCs w:val="28"/>
              </w:rPr>
            </w:pPr>
            <w:r w:rsidRPr="00145B66">
              <w:rPr>
                <w:rFonts w:ascii="Times New Roman" w:hAnsi="Times New Roman" w:cs="Times New Roman"/>
                <w:bCs/>
                <w:sz w:val="28"/>
                <w:szCs w:val="28"/>
                <w:lang w:eastAsia="en-US"/>
              </w:rPr>
              <w:t>КЖ</w:t>
            </w:r>
          </w:p>
        </w:tc>
        <w:tc>
          <w:tcPr>
            <w:tcW w:w="7768" w:type="dxa"/>
            <w:shd w:val="clear" w:color="auto" w:fill="auto"/>
          </w:tcPr>
          <w:p w14:paraId="7B3B2F0B" w14:textId="77777777" w:rsidR="00403127" w:rsidRPr="00100A04" w:rsidRDefault="00403127" w:rsidP="00403127">
            <w:pPr>
              <w:pStyle w:val="Standard"/>
              <w:numPr>
                <w:ilvl w:val="0"/>
                <w:numId w:val="1"/>
              </w:numPr>
              <w:ind w:left="289" w:hanging="284"/>
              <w:jc w:val="both"/>
              <w:rPr>
                <w:rFonts w:ascii="Times New Roman" w:hAnsi="Times New Roman" w:cs="Times New Roman"/>
                <w:bCs/>
                <w:i/>
                <w:iCs/>
                <w:sz w:val="28"/>
                <w:szCs w:val="28"/>
              </w:rPr>
            </w:pPr>
            <w:r w:rsidRPr="00100A04">
              <w:rPr>
                <w:rStyle w:val="a5"/>
                <w:rFonts w:ascii="Times New Roman" w:hAnsi="Times New Roman" w:cs="Times New Roman"/>
                <w:i w:val="0"/>
                <w:iCs w:val="0"/>
                <w:sz w:val="28"/>
                <w:szCs w:val="28"/>
                <w:shd w:val="clear" w:color="auto" w:fill="FFFFFF"/>
              </w:rPr>
              <w:t>Качество жизни</w:t>
            </w:r>
          </w:p>
        </w:tc>
      </w:tr>
      <w:tr w:rsidR="00403127" w:rsidRPr="00145B66" w14:paraId="20493707" w14:textId="77777777" w:rsidTr="00094F6F">
        <w:tc>
          <w:tcPr>
            <w:tcW w:w="1838" w:type="dxa"/>
            <w:shd w:val="clear" w:color="auto" w:fill="auto"/>
          </w:tcPr>
          <w:p w14:paraId="1FF66E1F" w14:textId="77777777" w:rsidR="00403127" w:rsidRPr="00145B66" w:rsidRDefault="00403127" w:rsidP="00094F6F">
            <w:pPr>
              <w:pStyle w:val="Standard"/>
              <w:rPr>
                <w:rFonts w:ascii="Times New Roman" w:hAnsi="Times New Roman" w:cs="Times New Roman"/>
                <w:bCs/>
                <w:sz w:val="28"/>
                <w:szCs w:val="28"/>
                <w:lang w:eastAsia="en-US"/>
              </w:rPr>
            </w:pPr>
            <w:r w:rsidRPr="00145B66">
              <w:rPr>
                <w:rFonts w:ascii="Times New Roman" w:hAnsi="Times New Roman" w:cs="Times New Roman"/>
                <w:sz w:val="28"/>
                <w:szCs w:val="28"/>
              </w:rPr>
              <w:t>МИК</w:t>
            </w:r>
          </w:p>
        </w:tc>
        <w:tc>
          <w:tcPr>
            <w:tcW w:w="7768" w:type="dxa"/>
            <w:shd w:val="clear" w:color="auto" w:fill="auto"/>
          </w:tcPr>
          <w:p w14:paraId="4BEB6331" w14:textId="77777777" w:rsidR="00403127" w:rsidRPr="00100A04" w:rsidRDefault="00403127" w:rsidP="00403127">
            <w:pPr>
              <w:pStyle w:val="Standard"/>
              <w:numPr>
                <w:ilvl w:val="0"/>
                <w:numId w:val="1"/>
              </w:numPr>
              <w:ind w:left="289" w:hanging="284"/>
              <w:jc w:val="both"/>
              <w:rPr>
                <w:rStyle w:val="a5"/>
                <w:rFonts w:ascii="Times New Roman" w:hAnsi="Times New Roman" w:cs="Times New Roman"/>
                <w:i w:val="0"/>
                <w:iCs w:val="0"/>
                <w:sz w:val="28"/>
                <w:szCs w:val="28"/>
                <w:shd w:val="clear" w:color="auto" w:fill="FFFFFF"/>
              </w:rPr>
            </w:pPr>
            <w:r w:rsidRPr="00100A04">
              <w:rPr>
                <w:rStyle w:val="a5"/>
                <w:rFonts w:ascii="Times New Roman" w:hAnsi="Times New Roman" w:cs="Times New Roman"/>
                <w:i w:val="0"/>
                <w:iCs w:val="0"/>
                <w:sz w:val="28"/>
                <w:szCs w:val="28"/>
                <w:shd w:val="clear" w:color="auto" w:fill="FFFFFF"/>
              </w:rPr>
              <w:t>Минимальная ингибирующая концентрация</w:t>
            </w:r>
          </w:p>
        </w:tc>
      </w:tr>
      <w:tr w:rsidR="00403127" w:rsidRPr="00145B66" w14:paraId="47C34DBC" w14:textId="77777777" w:rsidTr="00094F6F">
        <w:tc>
          <w:tcPr>
            <w:tcW w:w="1838" w:type="dxa"/>
            <w:shd w:val="clear" w:color="auto" w:fill="auto"/>
          </w:tcPr>
          <w:p w14:paraId="33D0D46C" w14:textId="77777777" w:rsidR="00403127" w:rsidRPr="00145B66" w:rsidRDefault="00403127" w:rsidP="00094F6F">
            <w:pPr>
              <w:pStyle w:val="Standard"/>
              <w:rPr>
                <w:rFonts w:ascii="Times New Roman" w:hAnsi="Times New Roman" w:cs="Times New Roman"/>
                <w:sz w:val="28"/>
                <w:szCs w:val="28"/>
              </w:rPr>
            </w:pPr>
            <w:r w:rsidRPr="00145B66">
              <w:rPr>
                <w:rFonts w:ascii="Times New Roman" w:hAnsi="Times New Roman" w:cs="Times New Roman"/>
                <w:bCs/>
                <w:sz w:val="28"/>
                <w:szCs w:val="28"/>
                <w:lang w:eastAsia="en-US"/>
              </w:rPr>
              <w:t>НГОБ</w:t>
            </w:r>
          </w:p>
        </w:tc>
        <w:tc>
          <w:tcPr>
            <w:tcW w:w="7768" w:type="dxa"/>
            <w:shd w:val="clear" w:color="auto" w:fill="auto"/>
          </w:tcPr>
          <w:p w14:paraId="6D71F4A5" w14:textId="77777777" w:rsidR="00403127" w:rsidRPr="00100A04" w:rsidRDefault="00403127" w:rsidP="00403127">
            <w:pPr>
              <w:pStyle w:val="Standard"/>
              <w:numPr>
                <w:ilvl w:val="0"/>
                <w:numId w:val="1"/>
              </w:numPr>
              <w:ind w:left="289" w:hanging="284"/>
              <w:jc w:val="both"/>
              <w:rPr>
                <w:rStyle w:val="a5"/>
                <w:rFonts w:ascii="Times New Roman" w:hAnsi="Times New Roman" w:cs="Times New Roman"/>
                <w:sz w:val="28"/>
                <w:szCs w:val="28"/>
                <w:shd w:val="clear" w:color="auto" w:fill="FFFFFF"/>
              </w:rPr>
            </w:pPr>
            <w:r w:rsidRPr="00100A04">
              <w:rPr>
                <w:rFonts w:ascii="Times New Roman" w:hAnsi="Times New Roman" w:cs="Times New Roman"/>
                <w:bCs/>
                <w:sz w:val="28"/>
                <w:szCs w:val="28"/>
                <w:lang w:eastAsia="en-US"/>
              </w:rPr>
              <w:t>Неферментирующие грамотрицательные бактерии</w:t>
            </w:r>
          </w:p>
        </w:tc>
      </w:tr>
      <w:tr w:rsidR="00403127" w:rsidRPr="00145B66" w14:paraId="60C15DEA" w14:textId="77777777" w:rsidTr="00094F6F">
        <w:tc>
          <w:tcPr>
            <w:tcW w:w="1838" w:type="dxa"/>
            <w:shd w:val="clear" w:color="auto" w:fill="auto"/>
          </w:tcPr>
          <w:p w14:paraId="2A89FF70" w14:textId="77777777" w:rsidR="00403127" w:rsidRPr="00145B66" w:rsidRDefault="00403127" w:rsidP="00094F6F">
            <w:pPr>
              <w:pStyle w:val="Standard"/>
              <w:rPr>
                <w:rFonts w:ascii="Times New Roman" w:hAnsi="Times New Roman" w:cs="Times New Roman"/>
                <w:sz w:val="28"/>
                <w:szCs w:val="28"/>
              </w:rPr>
            </w:pPr>
            <w:r w:rsidRPr="00145B66">
              <w:rPr>
                <w:rFonts w:ascii="Times New Roman" w:hAnsi="Times New Roman" w:cs="Times New Roman"/>
                <w:sz w:val="28"/>
                <w:szCs w:val="28"/>
              </w:rPr>
              <w:t>ПНИ</w:t>
            </w:r>
          </w:p>
        </w:tc>
        <w:tc>
          <w:tcPr>
            <w:tcW w:w="7768" w:type="dxa"/>
            <w:shd w:val="clear" w:color="auto" w:fill="auto"/>
          </w:tcPr>
          <w:p w14:paraId="0B1932DF" w14:textId="77777777" w:rsidR="00403127" w:rsidRPr="00100A04" w:rsidRDefault="00403127" w:rsidP="00403127">
            <w:pPr>
              <w:pStyle w:val="Standard"/>
              <w:numPr>
                <w:ilvl w:val="0"/>
                <w:numId w:val="1"/>
              </w:numPr>
              <w:ind w:left="289" w:hanging="284"/>
              <w:jc w:val="both"/>
              <w:rPr>
                <w:rFonts w:ascii="Times New Roman" w:hAnsi="Times New Roman" w:cs="Times New Roman"/>
                <w:sz w:val="28"/>
                <w:szCs w:val="28"/>
              </w:rPr>
            </w:pPr>
            <w:proofErr w:type="spellStart"/>
            <w:r w:rsidRPr="00100A04">
              <w:rPr>
                <w:rFonts w:ascii="Times New Roman" w:hAnsi="Times New Roman" w:cs="Times New Roman"/>
                <w:sz w:val="28"/>
                <w:szCs w:val="28"/>
              </w:rPr>
              <w:t>Преоперационный</w:t>
            </w:r>
            <w:proofErr w:type="spellEnd"/>
            <w:r w:rsidRPr="00100A04">
              <w:rPr>
                <w:rFonts w:ascii="Times New Roman" w:hAnsi="Times New Roman" w:cs="Times New Roman"/>
                <w:sz w:val="28"/>
                <w:szCs w:val="28"/>
              </w:rPr>
              <w:t xml:space="preserve"> нутритивной индекс</w:t>
            </w:r>
          </w:p>
        </w:tc>
      </w:tr>
      <w:tr w:rsidR="00403127" w:rsidRPr="00145B66" w14:paraId="04DDE81D" w14:textId="77777777" w:rsidTr="00094F6F">
        <w:tc>
          <w:tcPr>
            <w:tcW w:w="1838" w:type="dxa"/>
            <w:shd w:val="clear" w:color="auto" w:fill="auto"/>
          </w:tcPr>
          <w:p w14:paraId="753CD018" w14:textId="77777777" w:rsidR="00403127" w:rsidRPr="00145B66" w:rsidRDefault="00403127" w:rsidP="00094F6F">
            <w:pPr>
              <w:pStyle w:val="Standard"/>
              <w:rPr>
                <w:rFonts w:ascii="Times New Roman" w:hAnsi="Times New Roman" w:cs="Times New Roman"/>
                <w:sz w:val="28"/>
                <w:szCs w:val="28"/>
              </w:rPr>
            </w:pPr>
            <w:r w:rsidRPr="00145B66">
              <w:rPr>
                <w:rFonts w:ascii="Times New Roman" w:hAnsi="Times New Roman" w:cs="Times New Roman"/>
                <w:sz w:val="28"/>
                <w:szCs w:val="28"/>
              </w:rPr>
              <w:t>РК</w:t>
            </w:r>
          </w:p>
        </w:tc>
        <w:tc>
          <w:tcPr>
            <w:tcW w:w="7768" w:type="dxa"/>
            <w:shd w:val="clear" w:color="auto" w:fill="auto"/>
          </w:tcPr>
          <w:p w14:paraId="39080CC0" w14:textId="77777777" w:rsidR="00403127" w:rsidRPr="00100A04" w:rsidRDefault="00403127" w:rsidP="00403127">
            <w:pPr>
              <w:pStyle w:val="Standard"/>
              <w:numPr>
                <w:ilvl w:val="0"/>
                <w:numId w:val="1"/>
              </w:numPr>
              <w:ind w:left="289" w:hanging="284"/>
              <w:jc w:val="both"/>
              <w:rPr>
                <w:rFonts w:ascii="Times New Roman" w:hAnsi="Times New Roman" w:cs="Times New Roman"/>
                <w:sz w:val="28"/>
                <w:szCs w:val="28"/>
              </w:rPr>
            </w:pPr>
            <w:r w:rsidRPr="00100A04">
              <w:rPr>
                <w:rFonts w:ascii="Times New Roman" w:hAnsi="Times New Roman" w:cs="Times New Roman"/>
                <w:sz w:val="28"/>
                <w:szCs w:val="28"/>
              </w:rPr>
              <w:t>Республика Казахстан</w:t>
            </w:r>
          </w:p>
        </w:tc>
      </w:tr>
      <w:tr w:rsidR="00403127" w:rsidRPr="00145B66" w14:paraId="7304A8D4" w14:textId="77777777" w:rsidTr="00094F6F">
        <w:tc>
          <w:tcPr>
            <w:tcW w:w="1838" w:type="dxa"/>
            <w:shd w:val="clear" w:color="auto" w:fill="auto"/>
          </w:tcPr>
          <w:p w14:paraId="501E4327" w14:textId="77777777" w:rsidR="00403127" w:rsidRPr="00145B66" w:rsidRDefault="00403127" w:rsidP="00094F6F">
            <w:pPr>
              <w:pStyle w:val="Standard"/>
              <w:rPr>
                <w:rFonts w:ascii="Times New Roman" w:hAnsi="Times New Roman" w:cs="Times New Roman"/>
                <w:bCs/>
                <w:sz w:val="28"/>
                <w:szCs w:val="28"/>
              </w:rPr>
            </w:pPr>
            <w:r w:rsidRPr="00145B66">
              <w:rPr>
                <w:rFonts w:ascii="Times New Roman" w:hAnsi="Times New Roman" w:cs="Times New Roman"/>
                <w:sz w:val="28"/>
                <w:szCs w:val="28"/>
              </w:rPr>
              <w:t>СИБР</w:t>
            </w:r>
          </w:p>
        </w:tc>
        <w:tc>
          <w:tcPr>
            <w:tcW w:w="7768" w:type="dxa"/>
            <w:shd w:val="clear" w:color="auto" w:fill="auto"/>
          </w:tcPr>
          <w:p w14:paraId="340305DC" w14:textId="77777777" w:rsidR="00403127" w:rsidRPr="00100A04" w:rsidRDefault="00403127" w:rsidP="00403127">
            <w:pPr>
              <w:pStyle w:val="Standard"/>
              <w:numPr>
                <w:ilvl w:val="0"/>
                <w:numId w:val="1"/>
              </w:numPr>
              <w:ind w:left="289" w:hanging="284"/>
              <w:jc w:val="both"/>
              <w:rPr>
                <w:rFonts w:ascii="Times New Roman" w:hAnsi="Times New Roman" w:cs="Times New Roman"/>
                <w:i/>
                <w:iCs/>
                <w:sz w:val="28"/>
                <w:szCs w:val="28"/>
              </w:rPr>
            </w:pPr>
            <w:r w:rsidRPr="00100A04">
              <w:rPr>
                <w:rStyle w:val="a5"/>
                <w:rFonts w:ascii="Times New Roman" w:hAnsi="Times New Roman" w:cs="Times New Roman"/>
                <w:i w:val="0"/>
                <w:iCs w:val="0"/>
                <w:sz w:val="28"/>
                <w:szCs w:val="28"/>
                <w:shd w:val="clear" w:color="auto" w:fill="FFFFFF"/>
              </w:rPr>
              <w:t>Синдром избыточного бактериального роста</w:t>
            </w:r>
          </w:p>
        </w:tc>
      </w:tr>
      <w:tr w:rsidR="00403127" w:rsidRPr="00145B66" w14:paraId="0A4E01B5" w14:textId="77777777" w:rsidTr="00094F6F">
        <w:tc>
          <w:tcPr>
            <w:tcW w:w="1838" w:type="dxa"/>
            <w:shd w:val="clear" w:color="auto" w:fill="auto"/>
          </w:tcPr>
          <w:p w14:paraId="14CDBA0A" w14:textId="77777777" w:rsidR="00403127" w:rsidRPr="00145B66" w:rsidRDefault="00403127" w:rsidP="00094F6F">
            <w:pPr>
              <w:pStyle w:val="Standard"/>
              <w:rPr>
                <w:rFonts w:ascii="Times New Roman" w:hAnsi="Times New Roman" w:cs="Times New Roman"/>
                <w:bCs/>
                <w:sz w:val="28"/>
                <w:szCs w:val="28"/>
                <w:lang w:val="en-US"/>
              </w:rPr>
            </w:pPr>
            <w:r w:rsidRPr="00145B66">
              <w:rPr>
                <w:rFonts w:ascii="Times New Roman" w:hAnsi="Times New Roman" w:cs="Times New Roman"/>
                <w:sz w:val="28"/>
                <w:szCs w:val="28"/>
                <w:lang w:eastAsia="en-US"/>
              </w:rPr>
              <w:t>СРБ</w:t>
            </w:r>
          </w:p>
        </w:tc>
        <w:tc>
          <w:tcPr>
            <w:tcW w:w="7768" w:type="dxa"/>
            <w:shd w:val="clear" w:color="auto" w:fill="auto"/>
          </w:tcPr>
          <w:p w14:paraId="3366D033" w14:textId="77777777" w:rsidR="00403127" w:rsidRPr="00100A04" w:rsidRDefault="00403127" w:rsidP="00403127">
            <w:pPr>
              <w:pStyle w:val="Standard"/>
              <w:numPr>
                <w:ilvl w:val="0"/>
                <w:numId w:val="1"/>
              </w:numPr>
              <w:ind w:left="289" w:hanging="284"/>
              <w:jc w:val="both"/>
              <w:rPr>
                <w:rFonts w:ascii="Times New Roman" w:hAnsi="Times New Roman" w:cs="Times New Roman"/>
                <w:i/>
                <w:iCs/>
                <w:sz w:val="28"/>
                <w:szCs w:val="28"/>
              </w:rPr>
            </w:pPr>
            <w:r w:rsidRPr="00100A04">
              <w:rPr>
                <w:rStyle w:val="a5"/>
                <w:rFonts w:ascii="Times New Roman" w:hAnsi="Times New Roman" w:cs="Times New Roman"/>
                <w:i w:val="0"/>
                <w:iCs w:val="0"/>
                <w:sz w:val="28"/>
                <w:szCs w:val="28"/>
                <w:shd w:val="clear" w:color="auto" w:fill="FFFFFF"/>
              </w:rPr>
              <w:t>С реактивный белок</w:t>
            </w:r>
          </w:p>
        </w:tc>
      </w:tr>
      <w:tr w:rsidR="00403127" w:rsidRPr="00145B66" w14:paraId="1706012C" w14:textId="77777777" w:rsidTr="00094F6F">
        <w:tc>
          <w:tcPr>
            <w:tcW w:w="1838" w:type="dxa"/>
            <w:shd w:val="clear" w:color="auto" w:fill="auto"/>
          </w:tcPr>
          <w:p w14:paraId="6DA433AD" w14:textId="77777777" w:rsidR="00403127" w:rsidRPr="00145B66" w:rsidRDefault="00403127" w:rsidP="00094F6F">
            <w:pPr>
              <w:pStyle w:val="Standard"/>
              <w:rPr>
                <w:rFonts w:ascii="Times New Roman" w:hAnsi="Times New Roman" w:cs="Times New Roman"/>
                <w:sz w:val="28"/>
                <w:szCs w:val="28"/>
                <w:lang w:eastAsia="en-US"/>
              </w:rPr>
            </w:pPr>
            <w:r w:rsidRPr="00145B66">
              <w:rPr>
                <w:rFonts w:ascii="Times New Roman" w:hAnsi="Times New Roman" w:cs="Times New Roman"/>
                <w:sz w:val="28"/>
                <w:szCs w:val="28"/>
                <w:lang w:eastAsia="en-US"/>
              </w:rPr>
              <w:t>СО</w:t>
            </w:r>
          </w:p>
        </w:tc>
        <w:tc>
          <w:tcPr>
            <w:tcW w:w="7768" w:type="dxa"/>
            <w:shd w:val="clear" w:color="auto" w:fill="auto"/>
          </w:tcPr>
          <w:p w14:paraId="4F5F5328" w14:textId="77777777" w:rsidR="00403127" w:rsidRPr="00100A04" w:rsidRDefault="00403127" w:rsidP="00403127">
            <w:pPr>
              <w:pStyle w:val="Standard"/>
              <w:numPr>
                <w:ilvl w:val="0"/>
                <w:numId w:val="1"/>
              </w:numPr>
              <w:ind w:left="289" w:hanging="284"/>
              <w:jc w:val="both"/>
              <w:rPr>
                <w:rStyle w:val="a5"/>
                <w:rFonts w:ascii="Times New Roman" w:hAnsi="Times New Roman" w:cs="Times New Roman"/>
                <w:i w:val="0"/>
                <w:iCs w:val="0"/>
                <w:sz w:val="28"/>
                <w:szCs w:val="28"/>
                <w:shd w:val="clear" w:color="auto" w:fill="FFFFFF"/>
              </w:rPr>
            </w:pPr>
            <w:r w:rsidRPr="00100A04">
              <w:rPr>
                <w:rStyle w:val="a5"/>
                <w:rFonts w:ascii="Times New Roman" w:hAnsi="Times New Roman" w:cs="Times New Roman"/>
                <w:i w:val="0"/>
                <w:iCs w:val="0"/>
                <w:sz w:val="28"/>
                <w:szCs w:val="28"/>
                <w:shd w:val="clear" w:color="auto" w:fill="FFFFFF"/>
              </w:rPr>
              <w:t>Систематический обзор</w:t>
            </w:r>
          </w:p>
        </w:tc>
      </w:tr>
      <w:tr w:rsidR="00403127" w:rsidRPr="00145B66" w14:paraId="3741F553" w14:textId="77777777" w:rsidTr="00094F6F">
        <w:tc>
          <w:tcPr>
            <w:tcW w:w="1838" w:type="dxa"/>
            <w:shd w:val="clear" w:color="auto" w:fill="auto"/>
          </w:tcPr>
          <w:p w14:paraId="5C67AE14" w14:textId="77777777" w:rsidR="00403127" w:rsidRPr="00145B66" w:rsidRDefault="00403127" w:rsidP="00094F6F">
            <w:pPr>
              <w:pStyle w:val="Standard"/>
              <w:rPr>
                <w:rFonts w:ascii="Times New Roman" w:hAnsi="Times New Roman" w:cs="Times New Roman"/>
                <w:sz w:val="28"/>
                <w:szCs w:val="28"/>
                <w:lang w:eastAsia="en-US"/>
              </w:rPr>
            </w:pPr>
            <w:r w:rsidRPr="00145B66">
              <w:rPr>
                <w:rFonts w:ascii="Times New Roman" w:hAnsi="Times New Roman" w:cs="Times New Roman"/>
                <w:sz w:val="28"/>
                <w:szCs w:val="28"/>
                <w:lang w:eastAsia="en-US"/>
              </w:rPr>
              <w:t>Соавт.</w:t>
            </w:r>
          </w:p>
        </w:tc>
        <w:tc>
          <w:tcPr>
            <w:tcW w:w="7768" w:type="dxa"/>
            <w:shd w:val="clear" w:color="auto" w:fill="auto"/>
          </w:tcPr>
          <w:p w14:paraId="108E1ED8" w14:textId="77777777" w:rsidR="00403127" w:rsidRPr="00100A04" w:rsidRDefault="00403127" w:rsidP="00403127">
            <w:pPr>
              <w:pStyle w:val="Standard"/>
              <w:numPr>
                <w:ilvl w:val="0"/>
                <w:numId w:val="1"/>
              </w:numPr>
              <w:ind w:left="289" w:hanging="284"/>
              <w:jc w:val="both"/>
              <w:rPr>
                <w:rStyle w:val="a5"/>
                <w:rFonts w:ascii="Times New Roman" w:hAnsi="Times New Roman" w:cs="Times New Roman"/>
                <w:i w:val="0"/>
                <w:iCs w:val="0"/>
                <w:sz w:val="28"/>
                <w:szCs w:val="28"/>
                <w:shd w:val="clear" w:color="auto" w:fill="FFFFFF"/>
              </w:rPr>
            </w:pPr>
            <w:proofErr w:type="gramStart"/>
            <w:r w:rsidRPr="00100A04">
              <w:rPr>
                <w:rStyle w:val="a5"/>
                <w:rFonts w:ascii="Times New Roman" w:hAnsi="Times New Roman" w:cs="Times New Roman"/>
                <w:i w:val="0"/>
                <w:iCs w:val="0"/>
                <w:sz w:val="28"/>
                <w:szCs w:val="28"/>
                <w:shd w:val="clear" w:color="auto" w:fill="FFFFFF"/>
              </w:rPr>
              <w:t>соавторы</w:t>
            </w:r>
            <w:proofErr w:type="gramEnd"/>
          </w:p>
        </w:tc>
      </w:tr>
      <w:tr w:rsidR="00403127" w:rsidRPr="00145B66" w14:paraId="35332C61" w14:textId="77777777" w:rsidTr="00094F6F">
        <w:tc>
          <w:tcPr>
            <w:tcW w:w="1838" w:type="dxa"/>
            <w:shd w:val="clear" w:color="auto" w:fill="auto"/>
          </w:tcPr>
          <w:p w14:paraId="786D351C" w14:textId="77777777" w:rsidR="00403127" w:rsidRPr="00145B66" w:rsidRDefault="00403127" w:rsidP="00094F6F">
            <w:pPr>
              <w:pStyle w:val="Standard"/>
              <w:rPr>
                <w:rFonts w:ascii="Times New Roman" w:hAnsi="Times New Roman" w:cs="Times New Roman"/>
                <w:sz w:val="28"/>
                <w:szCs w:val="28"/>
                <w:lang w:eastAsia="en-US"/>
              </w:rPr>
            </w:pPr>
            <w:r>
              <w:rPr>
                <w:rFonts w:ascii="Times New Roman" w:hAnsi="Times New Roman" w:cs="Times New Roman"/>
                <w:sz w:val="28"/>
                <w:szCs w:val="28"/>
                <w:lang w:eastAsia="en-US"/>
              </w:rPr>
              <w:t>Утв.</w:t>
            </w:r>
          </w:p>
        </w:tc>
        <w:tc>
          <w:tcPr>
            <w:tcW w:w="7768" w:type="dxa"/>
            <w:shd w:val="clear" w:color="auto" w:fill="auto"/>
          </w:tcPr>
          <w:p w14:paraId="109B69B6" w14:textId="77777777" w:rsidR="00403127" w:rsidRPr="00100A04" w:rsidRDefault="00403127" w:rsidP="00403127">
            <w:pPr>
              <w:pStyle w:val="Standard"/>
              <w:numPr>
                <w:ilvl w:val="0"/>
                <w:numId w:val="1"/>
              </w:numPr>
              <w:ind w:left="289" w:hanging="284"/>
              <w:jc w:val="both"/>
              <w:rPr>
                <w:rStyle w:val="a5"/>
                <w:rFonts w:ascii="Times New Roman" w:hAnsi="Times New Roman" w:cs="Times New Roman"/>
                <w:i w:val="0"/>
                <w:iCs w:val="0"/>
                <w:sz w:val="28"/>
                <w:szCs w:val="28"/>
                <w:shd w:val="clear" w:color="auto" w:fill="FFFFFF"/>
              </w:rPr>
            </w:pPr>
            <w:r w:rsidRPr="00100A04">
              <w:rPr>
                <w:rStyle w:val="a5"/>
                <w:rFonts w:ascii="Times New Roman" w:hAnsi="Times New Roman" w:cs="Times New Roman"/>
                <w:i w:val="0"/>
                <w:iCs w:val="0"/>
                <w:sz w:val="28"/>
                <w:szCs w:val="28"/>
                <w:shd w:val="clear" w:color="auto" w:fill="FFFFFF"/>
              </w:rPr>
              <w:t xml:space="preserve">Утверждено </w:t>
            </w:r>
          </w:p>
        </w:tc>
      </w:tr>
      <w:tr w:rsidR="00403127" w:rsidRPr="00145B66" w14:paraId="063539E2" w14:textId="77777777" w:rsidTr="00094F6F">
        <w:tc>
          <w:tcPr>
            <w:tcW w:w="1838" w:type="dxa"/>
            <w:shd w:val="clear" w:color="auto" w:fill="auto"/>
          </w:tcPr>
          <w:p w14:paraId="073A6719" w14:textId="77777777" w:rsidR="00403127" w:rsidRPr="00145B66" w:rsidRDefault="00403127" w:rsidP="00094F6F">
            <w:pPr>
              <w:pStyle w:val="Standard"/>
              <w:rPr>
                <w:rFonts w:ascii="Times New Roman" w:hAnsi="Times New Roman" w:cs="Times New Roman"/>
                <w:bCs/>
                <w:sz w:val="28"/>
                <w:szCs w:val="28"/>
                <w:lang w:val="en-US"/>
              </w:rPr>
            </w:pPr>
            <w:r w:rsidRPr="00145B66">
              <w:rPr>
                <w:rFonts w:ascii="Times New Roman" w:hAnsi="Times New Roman" w:cs="Times New Roman"/>
                <w:sz w:val="28"/>
                <w:szCs w:val="28"/>
                <w:lang w:eastAsia="en-US"/>
              </w:rPr>
              <w:t>ФКС</w:t>
            </w:r>
          </w:p>
        </w:tc>
        <w:tc>
          <w:tcPr>
            <w:tcW w:w="7768" w:type="dxa"/>
            <w:shd w:val="clear" w:color="auto" w:fill="auto"/>
          </w:tcPr>
          <w:p w14:paraId="6691E619" w14:textId="77777777" w:rsidR="00403127" w:rsidRPr="00100A04" w:rsidRDefault="00403127" w:rsidP="00403127">
            <w:pPr>
              <w:pStyle w:val="Standard"/>
              <w:numPr>
                <w:ilvl w:val="0"/>
                <w:numId w:val="1"/>
              </w:numPr>
              <w:ind w:left="289" w:hanging="284"/>
              <w:jc w:val="both"/>
              <w:rPr>
                <w:rFonts w:ascii="Times New Roman" w:hAnsi="Times New Roman" w:cs="Times New Roman"/>
                <w:i/>
                <w:iCs/>
                <w:sz w:val="28"/>
                <w:szCs w:val="28"/>
              </w:rPr>
            </w:pPr>
            <w:r w:rsidRPr="00100A04">
              <w:rPr>
                <w:rStyle w:val="a5"/>
                <w:rFonts w:ascii="Times New Roman" w:hAnsi="Times New Roman" w:cs="Times New Roman"/>
                <w:i w:val="0"/>
                <w:iCs w:val="0"/>
                <w:sz w:val="28"/>
                <w:szCs w:val="28"/>
                <w:shd w:val="clear" w:color="auto" w:fill="FFFFFF"/>
              </w:rPr>
              <w:t>Фиброколоноскопия</w:t>
            </w:r>
          </w:p>
        </w:tc>
      </w:tr>
      <w:tr w:rsidR="00403127" w:rsidRPr="00145B66" w14:paraId="628EA182" w14:textId="77777777" w:rsidTr="00094F6F">
        <w:tc>
          <w:tcPr>
            <w:tcW w:w="1838" w:type="dxa"/>
            <w:shd w:val="clear" w:color="auto" w:fill="auto"/>
          </w:tcPr>
          <w:p w14:paraId="42FA3CB0" w14:textId="77777777" w:rsidR="00403127" w:rsidRPr="00145B66" w:rsidRDefault="00403127" w:rsidP="00094F6F">
            <w:pPr>
              <w:pStyle w:val="Standard"/>
              <w:rPr>
                <w:rFonts w:ascii="Times New Roman" w:hAnsi="Times New Roman" w:cs="Times New Roman"/>
                <w:sz w:val="28"/>
                <w:szCs w:val="28"/>
                <w:lang w:eastAsia="en-US"/>
              </w:rPr>
            </w:pPr>
            <w:r w:rsidRPr="00145B66">
              <w:rPr>
                <w:rFonts w:ascii="Times New Roman" w:hAnsi="Times New Roman" w:cs="Times New Roman"/>
                <w:sz w:val="28"/>
                <w:szCs w:val="28"/>
                <w:lang w:val="en-US"/>
              </w:rPr>
              <w:t>BSF</w:t>
            </w:r>
          </w:p>
        </w:tc>
        <w:tc>
          <w:tcPr>
            <w:tcW w:w="7768" w:type="dxa"/>
            <w:shd w:val="clear" w:color="auto" w:fill="auto"/>
          </w:tcPr>
          <w:p w14:paraId="14F6FE83" w14:textId="77777777" w:rsidR="00403127" w:rsidRPr="00100A04" w:rsidRDefault="00403127" w:rsidP="00403127">
            <w:pPr>
              <w:pStyle w:val="Standard"/>
              <w:numPr>
                <w:ilvl w:val="0"/>
                <w:numId w:val="1"/>
              </w:numPr>
              <w:ind w:left="289" w:hanging="284"/>
              <w:jc w:val="both"/>
              <w:rPr>
                <w:rStyle w:val="a5"/>
                <w:rFonts w:ascii="Times New Roman" w:hAnsi="Times New Roman" w:cs="Times New Roman"/>
                <w:sz w:val="28"/>
                <w:szCs w:val="28"/>
                <w:shd w:val="clear" w:color="auto" w:fill="FFFFFF"/>
              </w:rPr>
            </w:pPr>
            <w:r w:rsidRPr="00100A04">
              <w:rPr>
                <w:rFonts w:ascii="Times New Roman" w:hAnsi="Times New Roman" w:cs="Times New Roman"/>
                <w:sz w:val="28"/>
                <w:szCs w:val="28"/>
                <w:lang w:val="en-US"/>
              </w:rPr>
              <w:t>Bristol Stool Form</w:t>
            </w:r>
          </w:p>
        </w:tc>
      </w:tr>
      <w:tr w:rsidR="00403127" w:rsidRPr="00094F6F" w14:paraId="62C17C5E" w14:textId="77777777" w:rsidTr="00094F6F">
        <w:tc>
          <w:tcPr>
            <w:tcW w:w="1838" w:type="dxa"/>
            <w:shd w:val="clear" w:color="auto" w:fill="auto"/>
          </w:tcPr>
          <w:p w14:paraId="14D6E1BB" w14:textId="77777777" w:rsidR="00403127" w:rsidRPr="00145B66" w:rsidRDefault="00403127" w:rsidP="00094F6F">
            <w:pPr>
              <w:pStyle w:val="Standard"/>
              <w:rPr>
                <w:rFonts w:ascii="Times New Roman" w:hAnsi="Times New Roman" w:cs="Times New Roman"/>
                <w:sz w:val="28"/>
                <w:szCs w:val="28"/>
                <w:lang w:val="en-US"/>
              </w:rPr>
            </w:pPr>
            <w:proofErr w:type="spellStart"/>
            <w:r w:rsidRPr="00145B66">
              <w:rPr>
                <w:rFonts w:ascii="Times New Roman" w:hAnsi="Times New Roman" w:cs="Times New Roman"/>
                <w:sz w:val="28"/>
                <w:szCs w:val="28"/>
                <w:lang w:val="en-US" w:eastAsia="en-US"/>
              </w:rPr>
              <w:t>df</w:t>
            </w:r>
            <w:proofErr w:type="spellEnd"/>
          </w:p>
        </w:tc>
        <w:tc>
          <w:tcPr>
            <w:tcW w:w="7768" w:type="dxa"/>
            <w:shd w:val="clear" w:color="auto" w:fill="auto"/>
          </w:tcPr>
          <w:p w14:paraId="129E6CD2" w14:textId="77777777" w:rsidR="00403127" w:rsidRPr="00100A04" w:rsidRDefault="00403127" w:rsidP="00403127">
            <w:pPr>
              <w:pStyle w:val="Standard"/>
              <w:numPr>
                <w:ilvl w:val="0"/>
                <w:numId w:val="1"/>
              </w:numPr>
              <w:ind w:left="289" w:hanging="284"/>
              <w:jc w:val="both"/>
              <w:rPr>
                <w:rFonts w:ascii="Times New Roman" w:hAnsi="Times New Roman" w:cs="Times New Roman"/>
                <w:i/>
                <w:iCs/>
                <w:sz w:val="28"/>
                <w:szCs w:val="28"/>
                <w:lang w:val="en-US"/>
              </w:rPr>
            </w:pPr>
            <w:r w:rsidRPr="00100A04">
              <w:rPr>
                <w:rStyle w:val="a5"/>
                <w:rFonts w:ascii="Times New Roman" w:hAnsi="Times New Roman" w:cs="Times New Roman"/>
                <w:i w:val="0"/>
                <w:iCs w:val="0"/>
                <w:sz w:val="28"/>
                <w:szCs w:val="28"/>
                <w:shd w:val="clear" w:color="auto" w:fill="FFFFFF"/>
              </w:rPr>
              <w:t>Степень</w:t>
            </w:r>
            <w:r w:rsidRPr="00100A04">
              <w:rPr>
                <w:rStyle w:val="a5"/>
                <w:rFonts w:ascii="Times New Roman" w:hAnsi="Times New Roman" w:cs="Times New Roman"/>
                <w:i w:val="0"/>
                <w:iCs w:val="0"/>
                <w:sz w:val="28"/>
                <w:szCs w:val="28"/>
                <w:shd w:val="clear" w:color="auto" w:fill="FFFFFF"/>
                <w:lang w:val="en-US"/>
              </w:rPr>
              <w:t xml:space="preserve"> </w:t>
            </w:r>
            <w:r w:rsidRPr="00100A04">
              <w:rPr>
                <w:rStyle w:val="a5"/>
                <w:rFonts w:ascii="Times New Roman" w:hAnsi="Times New Roman" w:cs="Times New Roman"/>
                <w:i w:val="0"/>
                <w:iCs w:val="0"/>
                <w:sz w:val="28"/>
                <w:szCs w:val="28"/>
                <w:shd w:val="clear" w:color="auto" w:fill="FFFFFF"/>
              </w:rPr>
              <w:t>свободы</w:t>
            </w:r>
            <w:r w:rsidRPr="00100A04">
              <w:rPr>
                <w:rStyle w:val="a5"/>
                <w:rFonts w:ascii="Times New Roman" w:hAnsi="Times New Roman" w:cs="Times New Roman"/>
                <w:i w:val="0"/>
                <w:iCs w:val="0"/>
                <w:sz w:val="28"/>
                <w:szCs w:val="28"/>
                <w:shd w:val="clear" w:color="auto" w:fill="FFFFFF"/>
                <w:lang w:val="en-US"/>
              </w:rPr>
              <w:t xml:space="preserve"> (degree of freedom)</w:t>
            </w:r>
          </w:p>
        </w:tc>
      </w:tr>
      <w:tr w:rsidR="00403127" w:rsidRPr="00145B66" w14:paraId="1E8B8A31" w14:textId="77777777" w:rsidTr="00094F6F">
        <w:tc>
          <w:tcPr>
            <w:tcW w:w="1838" w:type="dxa"/>
            <w:shd w:val="clear" w:color="auto" w:fill="auto"/>
          </w:tcPr>
          <w:p w14:paraId="33CD1850" w14:textId="77777777" w:rsidR="00403127" w:rsidRPr="00145B66" w:rsidRDefault="00403127" w:rsidP="00094F6F">
            <w:pPr>
              <w:pStyle w:val="Standard"/>
              <w:rPr>
                <w:rFonts w:ascii="Times New Roman" w:hAnsi="Times New Roman" w:cs="Times New Roman"/>
                <w:sz w:val="28"/>
                <w:szCs w:val="28"/>
                <w:lang w:val="en-US"/>
              </w:rPr>
            </w:pPr>
            <w:r w:rsidRPr="00145B66">
              <w:rPr>
                <w:rFonts w:ascii="Times New Roman" w:hAnsi="Times New Roman" w:cs="Times New Roman"/>
                <w:bCs/>
                <w:sz w:val="28"/>
                <w:szCs w:val="28"/>
                <w:lang w:val="en-US"/>
              </w:rPr>
              <w:t>EORTC</w:t>
            </w:r>
          </w:p>
        </w:tc>
        <w:tc>
          <w:tcPr>
            <w:tcW w:w="7768" w:type="dxa"/>
            <w:shd w:val="clear" w:color="auto" w:fill="auto"/>
          </w:tcPr>
          <w:p w14:paraId="5E2A79B2" w14:textId="77777777" w:rsidR="00403127" w:rsidRPr="00100A04" w:rsidRDefault="00403127" w:rsidP="00403127">
            <w:pPr>
              <w:pStyle w:val="Standard"/>
              <w:numPr>
                <w:ilvl w:val="0"/>
                <w:numId w:val="1"/>
              </w:numPr>
              <w:ind w:left="289" w:hanging="284"/>
              <w:jc w:val="both"/>
              <w:rPr>
                <w:rFonts w:ascii="Times New Roman" w:hAnsi="Times New Roman" w:cs="Times New Roman"/>
                <w:sz w:val="28"/>
                <w:szCs w:val="28"/>
              </w:rPr>
            </w:pPr>
            <w:r w:rsidRPr="00100A04">
              <w:rPr>
                <w:rFonts w:ascii="Times New Roman" w:hAnsi="Times New Roman" w:cs="Times New Roman"/>
                <w:bCs/>
                <w:sz w:val="28"/>
                <w:szCs w:val="28"/>
              </w:rPr>
              <w:t>Европейская организация по исследованию и лечению рака</w:t>
            </w:r>
          </w:p>
        </w:tc>
      </w:tr>
      <w:tr w:rsidR="00403127" w:rsidRPr="00145B66" w14:paraId="4523D4DD" w14:textId="77777777" w:rsidTr="00094F6F">
        <w:tc>
          <w:tcPr>
            <w:tcW w:w="1838" w:type="dxa"/>
            <w:shd w:val="clear" w:color="auto" w:fill="auto"/>
          </w:tcPr>
          <w:p w14:paraId="6A413C2F" w14:textId="77777777" w:rsidR="00403127" w:rsidRPr="00145B66" w:rsidRDefault="00403127" w:rsidP="00094F6F">
            <w:pPr>
              <w:pStyle w:val="Standard"/>
              <w:rPr>
                <w:rFonts w:ascii="Times New Roman" w:hAnsi="Times New Roman" w:cs="Times New Roman"/>
                <w:sz w:val="28"/>
                <w:szCs w:val="28"/>
                <w:lang w:val="en-US"/>
              </w:rPr>
            </w:pPr>
            <w:r w:rsidRPr="00145B66">
              <w:rPr>
                <w:rFonts w:ascii="Times New Roman" w:hAnsi="Times New Roman" w:cs="Times New Roman"/>
                <w:sz w:val="28"/>
                <w:szCs w:val="28"/>
              </w:rPr>
              <w:t xml:space="preserve">EORTC </w:t>
            </w:r>
            <w:r w:rsidRPr="00145B66">
              <w:rPr>
                <w:rFonts w:ascii="Times New Roman" w:hAnsi="Times New Roman" w:cs="Times New Roman"/>
                <w:sz w:val="28"/>
                <w:szCs w:val="28"/>
                <w:lang w:val="en-US"/>
              </w:rPr>
              <w:t>QLQ</w:t>
            </w:r>
            <w:r w:rsidRPr="00145B66">
              <w:rPr>
                <w:rFonts w:ascii="Times New Roman" w:hAnsi="Times New Roman" w:cs="Times New Roman"/>
                <w:sz w:val="28"/>
                <w:szCs w:val="28"/>
              </w:rPr>
              <w:t xml:space="preserve"> </w:t>
            </w:r>
            <w:r w:rsidRPr="00145B66">
              <w:rPr>
                <w:rFonts w:ascii="Times New Roman" w:hAnsi="Times New Roman" w:cs="Times New Roman"/>
                <w:sz w:val="28"/>
                <w:szCs w:val="28"/>
                <w:lang w:val="en-US"/>
              </w:rPr>
              <w:t>C</w:t>
            </w:r>
            <w:r w:rsidRPr="00145B66">
              <w:rPr>
                <w:rFonts w:ascii="Times New Roman" w:hAnsi="Times New Roman" w:cs="Times New Roman"/>
                <w:sz w:val="28"/>
                <w:szCs w:val="28"/>
              </w:rPr>
              <w:t>30</w:t>
            </w:r>
          </w:p>
        </w:tc>
        <w:tc>
          <w:tcPr>
            <w:tcW w:w="7768" w:type="dxa"/>
            <w:shd w:val="clear" w:color="auto" w:fill="auto"/>
          </w:tcPr>
          <w:p w14:paraId="63AED4BA" w14:textId="77777777" w:rsidR="00403127" w:rsidRPr="00100A04" w:rsidRDefault="00403127" w:rsidP="00403127">
            <w:pPr>
              <w:pStyle w:val="Standard"/>
              <w:numPr>
                <w:ilvl w:val="0"/>
                <w:numId w:val="1"/>
              </w:numPr>
              <w:ind w:left="289" w:hanging="284"/>
              <w:jc w:val="both"/>
              <w:rPr>
                <w:rFonts w:ascii="Times New Roman" w:hAnsi="Times New Roman" w:cs="Times New Roman"/>
                <w:sz w:val="28"/>
                <w:szCs w:val="28"/>
              </w:rPr>
            </w:pPr>
            <w:r w:rsidRPr="00100A04">
              <w:rPr>
                <w:rFonts w:ascii="Times New Roman" w:hAnsi="Times New Roman" w:cs="Times New Roman"/>
                <w:bCs/>
                <w:sz w:val="28"/>
                <w:szCs w:val="28"/>
              </w:rPr>
              <w:t>Анкета качества жизни Европейской организации по исследованию и лечению рака</w:t>
            </w:r>
          </w:p>
        </w:tc>
      </w:tr>
      <w:tr w:rsidR="00403127" w:rsidRPr="00145B66" w14:paraId="2DB3061E" w14:textId="77777777" w:rsidTr="00094F6F">
        <w:tc>
          <w:tcPr>
            <w:tcW w:w="1838" w:type="dxa"/>
            <w:shd w:val="clear" w:color="auto" w:fill="auto"/>
          </w:tcPr>
          <w:p w14:paraId="0AA9EE57" w14:textId="77777777" w:rsidR="00403127" w:rsidRPr="00145B66" w:rsidRDefault="00403127" w:rsidP="00094F6F">
            <w:pPr>
              <w:pStyle w:val="Standard"/>
              <w:rPr>
                <w:rFonts w:ascii="Times New Roman" w:hAnsi="Times New Roman" w:cs="Times New Roman"/>
                <w:bCs/>
                <w:sz w:val="28"/>
                <w:szCs w:val="28"/>
              </w:rPr>
            </w:pPr>
            <w:r w:rsidRPr="00145B66">
              <w:rPr>
                <w:rFonts w:ascii="Times New Roman" w:eastAsia="Times New Roman" w:hAnsi="Times New Roman" w:cs="Times New Roman"/>
                <w:color w:val="000000"/>
                <w:sz w:val="28"/>
                <w:szCs w:val="28"/>
                <w:shd w:val="clear" w:color="auto" w:fill="FFFFFF"/>
              </w:rPr>
              <w:t>ESPEN</w:t>
            </w:r>
          </w:p>
        </w:tc>
        <w:tc>
          <w:tcPr>
            <w:tcW w:w="7768" w:type="dxa"/>
            <w:shd w:val="clear" w:color="auto" w:fill="auto"/>
          </w:tcPr>
          <w:p w14:paraId="34294118" w14:textId="77777777" w:rsidR="00403127" w:rsidRPr="00100A04" w:rsidRDefault="00403127" w:rsidP="00403127">
            <w:pPr>
              <w:numPr>
                <w:ilvl w:val="0"/>
                <w:numId w:val="1"/>
              </w:numPr>
              <w:tabs>
                <w:tab w:val="left" w:pos="289"/>
                <w:tab w:val="left" w:pos="3085"/>
                <w:tab w:val="left" w:pos="3673"/>
              </w:tabs>
              <w:spacing w:after="0" w:line="240" w:lineRule="auto"/>
              <w:ind w:left="289" w:hanging="284"/>
              <w:jc w:val="both"/>
              <w:rPr>
                <w:rFonts w:ascii="Times New Roman" w:hAnsi="Times New Roman"/>
                <w:b/>
                <w:bCs/>
                <w:sz w:val="28"/>
                <w:szCs w:val="28"/>
              </w:rPr>
            </w:pPr>
            <w:r w:rsidRPr="00100A04">
              <w:rPr>
                <w:rFonts w:ascii="Times New Roman" w:hAnsi="Times New Roman"/>
                <w:color w:val="000000"/>
                <w:sz w:val="28"/>
                <w:szCs w:val="28"/>
                <w:shd w:val="clear" w:color="auto" w:fill="FFFFFF"/>
              </w:rPr>
              <w:t>Европейское общество парентерального и                                                     энтерального питания</w:t>
            </w:r>
          </w:p>
        </w:tc>
      </w:tr>
      <w:tr w:rsidR="00403127" w:rsidRPr="00145B66" w14:paraId="0621C7D9" w14:textId="77777777" w:rsidTr="00094F6F">
        <w:tc>
          <w:tcPr>
            <w:tcW w:w="1838" w:type="dxa"/>
            <w:shd w:val="clear" w:color="auto" w:fill="auto"/>
          </w:tcPr>
          <w:p w14:paraId="47FE82EA" w14:textId="77777777" w:rsidR="00403127" w:rsidRPr="00145B66" w:rsidRDefault="00403127" w:rsidP="00094F6F">
            <w:pPr>
              <w:pStyle w:val="Standard"/>
              <w:rPr>
                <w:rFonts w:ascii="Times New Roman" w:hAnsi="Times New Roman" w:cs="Times New Roman"/>
                <w:bCs/>
                <w:sz w:val="28"/>
                <w:szCs w:val="28"/>
              </w:rPr>
            </w:pPr>
            <w:r w:rsidRPr="00145B66">
              <w:rPr>
                <w:rFonts w:ascii="Times New Roman" w:eastAsia="Times New Roman" w:hAnsi="Times New Roman" w:cs="Times New Roman"/>
                <w:color w:val="000000"/>
                <w:sz w:val="28"/>
                <w:szCs w:val="28"/>
                <w:shd w:val="clear" w:color="auto" w:fill="FFFFFF"/>
              </w:rPr>
              <w:t>ESMO</w:t>
            </w:r>
          </w:p>
        </w:tc>
        <w:tc>
          <w:tcPr>
            <w:tcW w:w="7768" w:type="dxa"/>
            <w:shd w:val="clear" w:color="auto" w:fill="auto"/>
          </w:tcPr>
          <w:p w14:paraId="09F138EE" w14:textId="77777777" w:rsidR="00403127" w:rsidRPr="00100A04" w:rsidRDefault="00403127" w:rsidP="00403127">
            <w:pPr>
              <w:numPr>
                <w:ilvl w:val="0"/>
                <w:numId w:val="1"/>
              </w:numPr>
              <w:tabs>
                <w:tab w:val="left" w:pos="289"/>
                <w:tab w:val="left" w:pos="3085"/>
                <w:tab w:val="left" w:pos="3673"/>
              </w:tabs>
              <w:spacing w:after="0" w:line="240" w:lineRule="auto"/>
              <w:ind w:left="289" w:hanging="284"/>
              <w:jc w:val="both"/>
              <w:rPr>
                <w:rFonts w:ascii="Times New Roman" w:hAnsi="Times New Roman"/>
                <w:b/>
                <w:bCs/>
                <w:sz w:val="28"/>
                <w:szCs w:val="28"/>
              </w:rPr>
            </w:pPr>
            <w:r w:rsidRPr="00100A04">
              <w:rPr>
                <w:rFonts w:ascii="Times New Roman" w:hAnsi="Times New Roman"/>
                <w:color w:val="000000"/>
                <w:sz w:val="28"/>
                <w:szCs w:val="28"/>
                <w:shd w:val="clear" w:color="auto" w:fill="FFFFFF"/>
              </w:rPr>
              <w:t>Европейское общество медицинской онкологии</w:t>
            </w:r>
          </w:p>
        </w:tc>
      </w:tr>
      <w:tr w:rsidR="00403127" w:rsidRPr="00145B66" w14:paraId="140829C0" w14:textId="77777777" w:rsidTr="00094F6F">
        <w:tc>
          <w:tcPr>
            <w:tcW w:w="1838" w:type="dxa"/>
            <w:shd w:val="clear" w:color="auto" w:fill="auto"/>
          </w:tcPr>
          <w:p w14:paraId="58FC8AF3" w14:textId="77777777" w:rsidR="00403127" w:rsidRPr="00145B66" w:rsidRDefault="00403127" w:rsidP="00094F6F">
            <w:pPr>
              <w:pStyle w:val="Standard"/>
              <w:rPr>
                <w:rFonts w:ascii="Times New Roman" w:hAnsi="Times New Roman" w:cs="Times New Roman"/>
                <w:bCs/>
                <w:sz w:val="28"/>
                <w:szCs w:val="28"/>
                <w:lang w:val="en-US"/>
              </w:rPr>
            </w:pPr>
            <w:r w:rsidRPr="00145B66">
              <w:rPr>
                <w:rFonts w:ascii="Times New Roman" w:hAnsi="Times New Roman" w:cs="Times New Roman"/>
                <w:bCs/>
                <w:sz w:val="28"/>
                <w:szCs w:val="28"/>
                <w:lang w:eastAsia="en-US"/>
              </w:rPr>
              <w:t>E. coli</w:t>
            </w:r>
          </w:p>
        </w:tc>
        <w:tc>
          <w:tcPr>
            <w:tcW w:w="7768" w:type="dxa"/>
            <w:shd w:val="clear" w:color="auto" w:fill="auto"/>
          </w:tcPr>
          <w:p w14:paraId="6B6B722D" w14:textId="77777777" w:rsidR="00403127" w:rsidRPr="00100A04" w:rsidRDefault="00403127" w:rsidP="00403127">
            <w:pPr>
              <w:pStyle w:val="Standard"/>
              <w:numPr>
                <w:ilvl w:val="0"/>
                <w:numId w:val="1"/>
              </w:numPr>
              <w:ind w:left="289" w:hanging="284"/>
              <w:jc w:val="both"/>
              <w:rPr>
                <w:rFonts w:ascii="Times New Roman" w:hAnsi="Times New Roman" w:cs="Times New Roman"/>
                <w:bCs/>
                <w:i/>
                <w:iCs/>
                <w:sz w:val="28"/>
                <w:szCs w:val="28"/>
              </w:rPr>
            </w:pPr>
            <w:r w:rsidRPr="00100A04">
              <w:rPr>
                <w:rStyle w:val="a5"/>
                <w:rFonts w:ascii="Times New Roman" w:hAnsi="Times New Roman" w:cs="Times New Roman"/>
                <w:i w:val="0"/>
                <w:iCs w:val="0"/>
                <w:sz w:val="28"/>
                <w:szCs w:val="28"/>
                <w:shd w:val="clear" w:color="auto" w:fill="FFFFFF"/>
              </w:rPr>
              <w:t>Escherichia coli</w:t>
            </w:r>
          </w:p>
        </w:tc>
      </w:tr>
      <w:tr w:rsidR="00403127" w:rsidRPr="00145B66" w14:paraId="45469B7D" w14:textId="77777777" w:rsidTr="00094F6F">
        <w:tc>
          <w:tcPr>
            <w:tcW w:w="1838" w:type="dxa"/>
            <w:shd w:val="clear" w:color="auto" w:fill="auto"/>
          </w:tcPr>
          <w:p w14:paraId="183678E7" w14:textId="77777777" w:rsidR="00403127" w:rsidRPr="00145B66" w:rsidRDefault="00403127" w:rsidP="00094F6F">
            <w:pPr>
              <w:pStyle w:val="Standard"/>
              <w:jc w:val="both"/>
              <w:rPr>
                <w:rFonts w:ascii="Times New Roman" w:hAnsi="Times New Roman" w:cs="Times New Roman"/>
                <w:b/>
                <w:bCs/>
                <w:sz w:val="28"/>
                <w:szCs w:val="28"/>
              </w:rPr>
            </w:pPr>
            <w:proofErr w:type="spellStart"/>
            <w:r w:rsidRPr="00145B66">
              <w:rPr>
                <w:rFonts w:ascii="Times New Roman" w:hAnsi="Times New Roman" w:cs="Times New Roman"/>
                <w:sz w:val="28"/>
                <w:szCs w:val="28"/>
                <w:lang w:val="en-US" w:eastAsia="en-US"/>
              </w:rPr>
              <w:t>Exp</w:t>
            </w:r>
            <w:proofErr w:type="spellEnd"/>
            <w:r w:rsidRPr="00145B66">
              <w:rPr>
                <w:rFonts w:ascii="Times New Roman" w:hAnsi="Times New Roman" w:cs="Times New Roman"/>
                <w:sz w:val="28"/>
                <w:szCs w:val="28"/>
                <w:lang w:val="en-US" w:eastAsia="en-US"/>
              </w:rPr>
              <w:t xml:space="preserve"> (B)</w:t>
            </w:r>
          </w:p>
        </w:tc>
        <w:tc>
          <w:tcPr>
            <w:tcW w:w="7768" w:type="dxa"/>
            <w:shd w:val="clear" w:color="auto" w:fill="auto"/>
          </w:tcPr>
          <w:p w14:paraId="7CC8FAB3" w14:textId="77777777" w:rsidR="00403127" w:rsidRPr="00100A04" w:rsidRDefault="00403127" w:rsidP="00403127">
            <w:pPr>
              <w:pStyle w:val="Standard"/>
              <w:numPr>
                <w:ilvl w:val="0"/>
                <w:numId w:val="1"/>
              </w:numPr>
              <w:ind w:left="289" w:hanging="284"/>
              <w:jc w:val="both"/>
              <w:rPr>
                <w:rFonts w:ascii="Times New Roman" w:hAnsi="Times New Roman" w:cs="Times New Roman"/>
                <w:b/>
                <w:bCs/>
                <w:sz w:val="28"/>
                <w:szCs w:val="28"/>
              </w:rPr>
            </w:pPr>
            <w:r w:rsidRPr="00100A04">
              <w:rPr>
                <w:rFonts w:ascii="Times New Roman" w:hAnsi="Times New Roman" w:cs="Times New Roman"/>
                <w:sz w:val="28"/>
                <w:szCs w:val="28"/>
              </w:rPr>
              <w:t>Экспонента В</w:t>
            </w:r>
          </w:p>
        </w:tc>
      </w:tr>
      <w:tr w:rsidR="00403127" w:rsidRPr="00145B66" w14:paraId="16CB3D49" w14:textId="77777777" w:rsidTr="00094F6F">
        <w:tc>
          <w:tcPr>
            <w:tcW w:w="1838" w:type="dxa"/>
            <w:shd w:val="clear" w:color="auto" w:fill="auto"/>
          </w:tcPr>
          <w:p w14:paraId="40C7EAFE" w14:textId="77777777" w:rsidR="00403127" w:rsidRPr="001631A1" w:rsidRDefault="00403127" w:rsidP="00094F6F">
            <w:pPr>
              <w:pStyle w:val="Standard"/>
              <w:jc w:val="both"/>
              <w:rPr>
                <w:rFonts w:ascii="Times New Roman" w:hAnsi="Times New Roman" w:cs="Times New Roman"/>
                <w:sz w:val="28"/>
                <w:szCs w:val="28"/>
                <w:lang w:val="en-US" w:eastAsia="en-US"/>
              </w:rPr>
            </w:pPr>
            <w:r>
              <w:rPr>
                <w:rFonts w:ascii="Times New Roman" w:hAnsi="Times New Roman" w:cs="Times New Roman"/>
                <w:sz w:val="28"/>
                <w:szCs w:val="28"/>
                <w:lang w:val="en-US" w:eastAsia="en-US"/>
              </w:rPr>
              <w:t>FODMAP</w:t>
            </w:r>
          </w:p>
        </w:tc>
        <w:tc>
          <w:tcPr>
            <w:tcW w:w="7768" w:type="dxa"/>
            <w:shd w:val="clear" w:color="auto" w:fill="auto"/>
          </w:tcPr>
          <w:p w14:paraId="508EF148" w14:textId="77777777" w:rsidR="00403127" w:rsidRPr="00100A04" w:rsidRDefault="00403127" w:rsidP="00403127">
            <w:pPr>
              <w:pStyle w:val="Standard"/>
              <w:numPr>
                <w:ilvl w:val="0"/>
                <w:numId w:val="1"/>
              </w:numPr>
              <w:ind w:left="289" w:hanging="284"/>
              <w:jc w:val="both"/>
              <w:rPr>
                <w:rFonts w:ascii="Times New Roman" w:hAnsi="Times New Roman" w:cs="Times New Roman"/>
                <w:sz w:val="28"/>
                <w:szCs w:val="28"/>
              </w:rPr>
            </w:pPr>
            <w:r w:rsidRPr="00100A04">
              <w:rPr>
                <w:rFonts w:ascii="Times New Roman" w:hAnsi="Times New Roman" w:cs="Times New Roman"/>
                <w:sz w:val="28"/>
                <w:szCs w:val="28"/>
              </w:rPr>
              <w:t xml:space="preserve">Ферментируемые олигосахариды, дисахариды, моносахариды и </w:t>
            </w:r>
            <w:proofErr w:type="spellStart"/>
            <w:r w:rsidRPr="00100A04">
              <w:rPr>
                <w:rFonts w:ascii="Times New Roman" w:hAnsi="Times New Roman" w:cs="Times New Roman"/>
                <w:sz w:val="28"/>
                <w:szCs w:val="28"/>
              </w:rPr>
              <w:t>полиолы</w:t>
            </w:r>
            <w:proofErr w:type="spellEnd"/>
          </w:p>
        </w:tc>
      </w:tr>
      <w:tr w:rsidR="00403127" w:rsidRPr="00145B66" w14:paraId="797CC9D5" w14:textId="77777777" w:rsidTr="00094F6F">
        <w:tc>
          <w:tcPr>
            <w:tcW w:w="1838" w:type="dxa"/>
            <w:shd w:val="clear" w:color="auto" w:fill="auto"/>
          </w:tcPr>
          <w:p w14:paraId="0DFAE31A" w14:textId="77777777" w:rsidR="00403127" w:rsidRPr="00145B66" w:rsidRDefault="00403127" w:rsidP="00094F6F">
            <w:pPr>
              <w:pStyle w:val="Standard"/>
              <w:rPr>
                <w:rFonts w:ascii="Times New Roman" w:hAnsi="Times New Roman" w:cs="Times New Roman"/>
                <w:b/>
                <w:bCs/>
                <w:sz w:val="28"/>
                <w:szCs w:val="28"/>
              </w:rPr>
            </w:pPr>
            <w:r w:rsidRPr="00145B66">
              <w:rPr>
                <w:rFonts w:ascii="Times New Roman" w:hAnsi="Times New Roman" w:cs="Times New Roman"/>
                <w:sz w:val="28"/>
                <w:szCs w:val="28"/>
                <w:lang w:val="en-US"/>
              </w:rPr>
              <w:t>HR</w:t>
            </w:r>
          </w:p>
        </w:tc>
        <w:tc>
          <w:tcPr>
            <w:tcW w:w="7768" w:type="dxa"/>
            <w:shd w:val="clear" w:color="auto" w:fill="auto"/>
          </w:tcPr>
          <w:p w14:paraId="6CE71E28" w14:textId="77777777" w:rsidR="00403127" w:rsidRPr="00100A04" w:rsidRDefault="00403127" w:rsidP="00403127">
            <w:pPr>
              <w:pStyle w:val="Standard"/>
              <w:numPr>
                <w:ilvl w:val="0"/>
                <w:numId w:val="1"/>
              </w:numPr>
              <w:ind w:left="289" w:hanging="284"/>
              <w:jc w:val="both"/>
              <w:rPr>
                <w:rFonts w:ascii="Times New Roman" w:hAnsi="Times New Roman" w:cs="Times New Roman"/>
                <w:bCs/>
                <w:i/>
                <w:iCs/>
                <w:sz w:val="28"/>
                <w:szCs w:val="28"/>
              </w:rPr>
            </w:pPr>
            <w:r w:rsidRPr="00100A04">
              <w:rPr>
                <w:rStyle w:val="a5"/>
                <w:rFonts w:ascii="Times New Roman" w:hAnsi="Times New Roman" w:cs="Times New Roman"/>
                <w:i w:val="0"/>
                <w:iCs w:val="0"/>
                <w:sz w:val="28"/>
                <w:szCs w:val="28"/>
                <w:shd w:val="clear" w:color="auto" w:fill="FFFFFF"/>
              </w:rPr>
              <w:t>Отношение рисков (</w:t>
            </w:r>
            <w:r w:rsidRPr="00100A04">
              <w:rPr>
                <w:rStyle w:val="a5"/>
                <w:rFonts w:ascii="Times New Roman" w:hAnsi="Times New Roman" w:cs="Times New Roman"/>
                <w:i w:val="0"/>
                <w:iCs w:val="0"/>
                <w:sz w:val="28"/>
                <w:szCs w:val="28"/>
                <w:shd w:val="clear" w:color="auto" w:fill="FFFFFF"/>
                <w:lang w:val="en-US"/>
              </w:rPr>
              <w:t>hazard ratio</w:t>
            </w:r>
            <w:r w:rsidRPr="00100A04">
              <w:rPr>
                <w:rStyle w:val="a5"/>
                <w:rFonts w:ascii="Times New Roman" w:hAnsi="Times New Roman" w:cs="Times New Roman"/>
                <w:i w:val="0"/>
                <w:iCs w:val="0"/>
                <w:sz w:val="28"/>
                <w:szCs w:val="28"/>
                <w:shd w:val="clear" w:color="auto" w:fill="FFFFFF"/>
              </w:rPr>
              <w:t>)</w:t>
            </w:r>
          </w:p>
        </w:tc>
      </w:tr>
      <w:tr w:rsidR="00403127" w:rsidRPr="00145B66" w14:paraId="7F42FA59" w14:textId="77777777" w:rsidTr="00094F6F">
        <w:tc>
          <w:tcPr>
            <w:tcW w:w="1838" w:type="dxa"/>
            <w:shd w:val="clear" w:color="auto" w:fill="auto"/>
          </w:tcPr>
          <w:p w14:paraId="4357E066" w14:textId="77777777" w:rsidR="00403127" w:rsidRPr="00145B66" w:rsidRDefault="00403127" w:rsidP="00094F6F">
            <w:pPr>
              <w:pStyle w:val="Standard"/>
              <w:rPr>
                <w:rFonts w:ascii="Times New Roman" w:hAnsi="Times New Roman" w:cs="Times New Roman"/>
                <w:sz w:val="28"/>
                <w:szCs w:val="28"/>
                <w:lang w:val="en-US"/>
              </w:rPr>
            </w:pPr>
            <w:r w:rsidRPr="00145B66">
              <w:rPr>
                <w:rFonts w:ascii="Times New Roman" w:hAnsi="Times New Roman" w:cs="Times New Roman"/>
                <w:sz w:val="28"/>
                <w:szCs w:val="28"/>
                <w:lang w:val="en-US"/>
              </w:rPr>
              <w:t>LGG</w:t>
            </w:r>
          </w:p>
        </w:tc>
        <w:tc>
          <w:tcPr>
            <w:tcW w:w="7768" w:type="dxa"/>
            <w:shd w:val="clear" w:color="auto" w:fill="auto"/>
          </w:tcPr>
          <w:p w14:paraId="1D4871D0" w14:textId="77777777" w:rsidR="00403127" w:rsidRPr="00100A04" w:rsidRDefault="00403127" w:rsidP="00403127">
            <w:pPr>
              <w:pStyle w:val="Standard"/>
              <w:numPr>
                <w:ilvl w:val="0"/>
                <w:numId w:val="1"/>
              </w:numPr>
              <w:ind w:left="289" w:hanging="284"/>
              <w:jc w:val="both"/>
              <w:rPr>
                <w:rStyle w:val="a5"/>
                <w:rFonts w:ascii="Times New Roman" w:hAnsi="Times New Roman" w:cs="Times New Roman"/>
                <w:sz w:val="28"/>
                <w:szCs w:val="28"/>
                <w:shd w:val="clear" w:color="auto" w:fill="FFFFFF"/>
              </w:rPr>
            </w:pPr>
            <w:r w:rsidRPr="00100A04">
              <w:rPr>
                <w:rFonts w:ascii="Times New Roman" w:hAnsi="Times New Roman"/>
                <w:sz w:val="28"/>
                <w:szCs w:val="28"/>
                <w:shd w:val="clear" w:color="auto" w:fill="FFFFFF"/>
              </w:rPr>
              <w:t>Lactobacillus rhamnosus GG</w:t>
            </w:r>
          </w:p>
        </w:tc>
      </w:tr>
      <w:tr w:rsidR="00403127" w:rsidRPr="00145B66" w14:paraId="15145E66" w14:textId="77777777" w:rsidTr="00094F6F">
        <w:tc>
          <w:tcPr>
            <w:tcW w:w="1838" w:type="dxa"/>
            <w:shd w:val="clear" w:color="auto" w:fill="auto"/>
          </w:tcPr>
          <w:p w14:paraId="478B149A" w14:textId="77777777" w:rsidR="00403127" w:rsidRPr="00145B66" w:rsidRDefault="00403127" w:rsidP="00094F6F">
            <w:pPr>
              <w:pStyle w:val="Standard"/>
              <w:rPr>
                <w:rFonts w:ascii="Times New Roman" w:hAnsi="Times New Roman" w:cs="Times New Roman"/>
                <w:b/>
                <w:bCs/>
                <w:sz w:val="28"/>
                <w:szCs w:val="28"/>
              </w:rPr>
            </w:pPr>
            <w:r w:rsidRPr="00145B66">
              <w:rPr>
                <w:rFonts w:ascii="Times New Roman" w:hAnsi="Times New Roman" w:cs="Times New Roman"/>
                <w:bCs/>
                <w:sz w:val="28"/>
                <w:szCs w:val="28"/>
              </w:rPr>
              <w:t xml:space="preserve">M </w:t>
            </w:r>
          </w:p>
        </w:tc>
        <w:tc>
          <w:tcPr>
            <w:tcW w:w="7768" w:type="dxa"/>
            <w:shd w:val="clear" w:color="auto" w:fill="auto"/>
          </w:tcPr>
          <w:p w14:paraId="3DA243EB" w14:textId="77777777" w:rsidR="00403127" w:rsidRPr="00100A04" w:rsidRDefault="00403127" w:rsidP="00403127">
            <w:pPr>
              <w:pStyle w:val="Standard"/>
              <w:numPr>
                <w:ilvl w:val="0"/>
                <w:numId w:val="1"/>
              </w:numPr>
              <w:ind w:left="289" w:hanging="284"/>
              <w:rPr>
                <w:rFonts w:ascii="Times New Roman" w:hAnsi="Times New Roman" w:cs="Times New Roman"/>
                <w:bCs/>
                <w:sz w:val="28"/>
                <w:szCs w:val="28"/>
              </w:rPr>
            </w:pPr>
            <w:r w:rsidRPr="00100A04">
              <w:rPr>
                <w:rFonts w:ascii="Times New Roman" w:hAnsi="Times New Roman" w:cs="Times New Roman"/>
                <w:sz w:val="28"/>
                <w:szCs w:val="28"/>
                <w:shd w:val="clear" w:color="auto" w:fill="FFFFFF"/>
              </w:rPr>
              <w:t xml:space="preserve">Среднее </w:t>
            </w:r>
          </w:p>
        </w:tc>
      </w:tr>
      <w:tr w:rsidR="00403127" w:rsidRPr="00145B66" w14:paraId="6D726A17" w14:textId="77777777" w:rsidTr="00094F6F">
        <w:tc>
          <w:tcPr>
            <w:tcW w:w="1838" w:type="dxa"/>
            <w:shd w:val="clear" w:color="auto" w:fill="auto"/>
          </w:tcPr>
          <w:p w14:paraId="4976223B" w14:textId="77777777" w:rsidR="00403127" w:rsidRPr="00145B66" w:rsidRDefault="00403127" w:rsidP="00094F6F">
            <w:pPr>
              <w:pStyle w:val="Standard"/>
              <w:rPr>
                <w:rFonts w:ascii="Times New Roman" w:hAnsi="Times New Roman" w:cs="Times New Roman"/>
                <w:bCs/>
                <w:sz w:val="28"/>
                <w:szCs w:val="28"/>
                <w:lang w:eastAsia="en-US"/>
              </w:rPr>
            </w:pPr>
            <w:r w:rsidRPr="00145B66">
              <w:rPr>
                <w:rFonts w:ascii="Times New Roman" w:hAnsi="Times New Roman" w:cs="Times New Roman"/>
                <w:sz w:val="28"/>
                <w:szCs w:val="28"/>
                <w:lang w:val="en-US"/>
              </w:rPr>
              <w:t>Me</w:t>
            </w:r>
          </w:p>
        </w:tc>
        <w:tc>
          <w:tcPr>
            <w:tcW w:w="7768" w:type="dxa"/>
            <w:shd w:val="clear" w:color="auto" w:fill="auto"/>
          </w:tcPr>
          <w:p w14:paraId="540C0D98" w14:textId="77777777" w:rsidR="00403127" w:rsidRPr="00100A04" w:rsidRDefault="00403127" w:rsidP="00403127">
            <w:pPr>
              <w:pStyle w:val="Standard"/>
              <w:numPr>
                <w:ilvl w:val="0"/>
                <w:numId w:val="1"/>
              </w:numPr>
              <w:ind w:left="289" w:hanging="284"/>
              <w:rPr>
                <w:rStyle w:val="a5"/>
                <w:rFonts w:ascii="Times New Roman" w:hAnsi="Times New Roman" w:cs="Times New Roman"/>
                <w:bCs/>
                <w:i w:val="0"/>
                <w:iCs w:val="0"/>
                <w:sz w:val="28"/>
                <w:szCs w:val="28"/>
                <w:shd w:val="clear" w:color="auto" w:fill="FFFFFF"/>
              </w:rPr>
            </w:pPr>
            <w:r w:rsidRPr="00100A04">
              <w:rPr>
                <w:rStyle w:val="a5"/>
                <w:rFonts w:ascii="Times New Roman" w:hAnsi="Times New Roman" w:cs="Times New Roman"/>
                <w:i w:val="0"/>
                <w:iCs w:val="0"/>
                <w:sz w:val="28"/>
                <w:szCs w:val="28"/>
                <w:shd w:val="clear" w:color="auto" w:fill="FFFFFF"/>
              </w:rPr>
              <w:t>Медиана</w:t>
            </w:r>
          </w:p>
        </w:tc>
      </w:tr>
      <w:tr w:rsidR="00403127" w:rsidRPr="00145B66" w14:paraId="7FECC148" w14:textId="77777777" w:rsidTr="00094F6F">
        <w:tc>
          <w:tcPr>
            <w:tcW w:w="1838" w:type="dxa"/>
            <w:shd w:val="clear" w:color="auto" w:fill="auto"/>
          </w:tcPr>
          <w:p w14:paraId="595CE772" w14:textId="77777777" w:rsidR="00403127" w:rsidRPr="00145B66" w:rsidRDefault="00403127" w:rsidP="00094F6F">
            <w:pPr>
              <w:pStyle w:val="Standard"/>
              <w:rPr>
                <w:rFonts w:ascii="Times New Roman" w:hAnsi="Times New Roman" w:cs="Times New Roman"/>
                <w:sz w:val="28"/>
                <w:szCs w:val="28"/>
                <w:lang w:val="en-US"/>
              </w:rPr>
            </w:pPr>
            <w:r w:rsidRPr="00145B66">
              <w:rPr>
                <w:rFonts w:ascii="Times New Roman" w:hAnsi="Times New Roman" w:cs="Times New Roman"/>
                <w:sz w:val="28"/>
                <w:szCs w:val="28"/>
                <w:lang w:val="en-US"/>
              </w:rPr>
              <w:t>Q2</w:t>
            </w:r>
            <w:r w:rsidRPr="00145B66">
              <w:rPr>
                <w:rFonts w:ascii="Times New Roman" w:hAnsi="Times New Roman" w:cs="Times New Roman"/>
                <w:sz w:val="28"/>
                <w:szCs w:val="28"/>
              </w:rPr>
              <w:t>;</w:t>
            </w:r>
            <w:r w:rsidRPr="00145B66">
              <w:rPr>
                <w:rFonts w:ascii="Times New Roman" w:hAnsi="Times New Roman" w:cs="Times New Roman"/>
                <w:sz w:val="28"/>
                <w:szCs w:val="28"/>
                <w:lang w:val="en-US"/>
              </w:rPr>
              <w:t xml:space="preserve"> Q4</w:t>
            </w:r>
          </w:p>
        </w:tc>
        <w:tc>
          <w:tcPr>
            <w:tcW w:w="7768" w:type="dxa"/>
            <w:shd w:val="clear" w:color="auto" w:fill="auto"/>
          </w:tcPr>
          <w:p w14:paraId="5C27DA40" w14:textId="77777777" w:rsidR="00403127" w:rsidRPr="00100A04" w:rsidRDefault="00403127" w:rsidP="00403127">
            <w:pPr>
              <w:pStyle w:val="Standard"/>
              <w:numPr>
                <w:ilvl w:val="0"/>
                <w:numId w:val="1"/>
              </w:numPr>
              <w:ind w:left="289" w:hanging="284"/>
              <w:rPr>
                <w:rStyle w:val="a5"/>
                <w:rFonts w:ascii="Times New Roman" w:hAnsi="Times New Roman" w:cs="Times New Roman"/>
                <w:i w:val="0"/>
                <w:iCs w:val="0"/>
                <w:sz w:val="28"/>
                <w:szCs w:val="28"/>
                <w:shd w:val="clear" w:color="auto" w:fill="FFFFFF"/>
              </w:rPr>
            </w:pPr>
            <w:r w:rsidRPr="00100A04">
              <w:rPr>
                <w:rStyle w:val="a5"/>
                <w:rFonts w:ascii="Times New Roman" w:hAnsi="Times New Roman" w:cs="Times New Roman"/>
                <w:i w:val="0"/>
                <w:iCs w:val="0"/>
                <w:sz w:val="28"/>
                <w:szCs w:val="28"/>
                <w:shd w:val="clear" w:color="auto" w:fill="FFFFFF"/>
              </w:rPr>
              <w:t>25-й и 75-й квартили</w:t>
            </w:r>
          </w:p>
        </w:tc>
      </w:tr>
      <w:tr w:rsidR="00403127" w:rsidRPr="00145B66" w14:paraId="665084A2" w14:textId="77777777" w:rsidTr="00094F6F">
        <w:tc>
          <w:tcPr>
            <w:tcW w:w="1838" w:type="dxa"/>
            <w:shd w:val="clear" w:color="auto" w:fill="auto"/>
          </w:tcPr>
          <w:p w14:paraId="38BFE6E9" w14:textId="77777777" w:rsidR="00403127" w:rsidRPr="00145B66" w:rsidRDefault="00403127" w:rsidP="00094F6F">
            <w:pPr>
              <w:pStyle w:val="Standard"/>
              <w:rPr>
                <w:rFonts w:ascii="Times New Roman" w:hAnsi="Times New Roman" w:cs="Times New Roman"/>
                <w:bCs/>
                <w:sz w:val="28"/>
                <w:szCs w:val="28"/>
                <w:lang w:eastAsia="en-US"/>
              </w:rPr>
            </w:pPr>
            <w:r w:rsidRPr="00145B66">
              <w:rPr>
                <w:rFonts w:ascii="Times New Roman" w:hAnsi="Times New Roman" w:cs="Times New Roman"/>
                <w:sz w:val="28"/>
                <w:szCs w:val="28"/>
                <w:lang w:val="en-US" w:eastAsia="en-US"/>
              </w:rPr>
              <w:t xml:space="preserve">RR </w:t>
            </w:r>
            <w:r w:rsidRPr="00145B66">
              <w:rPr>
                <w:rFonts w:ascii="Times New Roman" w:hAnsi="Times New Roman" w:cs="Times New Roman"/>
                <w:sz w:val="28"/>
                <w:szCs w:val="28"/>
                <w:lang w:eastAsia="en-US"/>
              </w:rPr>
              <w:t xml:space="preserve"> </w:t>
            </w:r>
          </w:p>
        </w:tc>
        <w:tc>
          <w:tcPr>
            <w:tcW w:w="7768" w:type="dxa"/>
            <w:shd w:val="clear" w:color="auto" w:fill="auto"/>
          </w:tcPr>
          <w:p w14:paraId="350A46F2" w14:textId="77777777" w:rsidR="00403127" w:rsidRPr="00100A04" w:rsidRDefault="00403127" w:rsidP="00403127">
            <w:pPr>
              <w:pStyle w:val="Standard"/>
              <w:numPr>
                <w:ilvl w:val="0"/>
                <w:numId w:val="1"/>
              </w:numPr>
              <w:ind w:left="289" w:hanging="284"/>
              <w:rPr>
                <w:rStyle w:val="a5"/>
                <w:rFonts w:ascii="Times New Roman" w:hAnsi="Times New Roman" w:cs="Times New Roman"/>
                <w:bCs/>
                <w:sz w:val="28"/>
                <w:szCs w:val="28"/>
                <w:shd w:val="clear" w:color="auto" w:fill="FFFFFF"/>
              </w:rPr>
            </w:pPr>
            <w:r w:rsidRPr="00100A04">
              <w:rPr>
                <w:rFonts w:ascii="Times New Roman" w:hAnsi="Times New Roman" w:cs="Times New Roman"/>
                <w:sz w:val="28"/>
                <w:szCs w:val="28"/>
                <w:shd w:val="clear" w:color="auto" w:fill="FFFFFF"/>
              </w:rPr>
              <w:t>Относительный риск</w:t>
            </w:r>
          </w:p>
        </w:tc>
      </w:tr>
      <w:tr w:rsidR="00403127" w:rsidRPr="00145B66" w14:paraId="45AFFB1B" w14:textId="77777777" w:rsidTr="00094F6F">
        <w:tc>
          <w:tcPr>
            <w:tcW w:w="1838" w:type="dxa"/>
            <w:shd w:val="clear" w:color="auto" w:fill="auto"/>
          </w:tcPr>
          <w:p w14:paraId="39FD2912" w14:textId="77777777" w:rsidR="00403127" w:rsidRPr="00145B66" w:rsidRDefault="00403127" w:rsidP="00094F6F">
            <w:pPr>
              <w:pStyle w:val="Standard"/>
              <w:rPr>
                <w:rFonts w:ascii="Times New Roman" w:hAnsi="Times New Roman" w:cs="Times New Roman"/>
                <w:sz w:val="28"/>
                <w:szCs w:val="28"/>
                <w:lang w:val="en-US" w:eastAsia="en-US"/>
              </w:rPr>
            </w:pPr>
            <w:r w:rsidRPr="00145B66">
              <w:rPr>
                <w:rFonts w:ascii="Times New Roman" w:hAnsi="Times New Roman" w:cs="Times New Roman"/>
                <w:bCs/>
                <w:sz w:val="28"/>
                <w:szCs w:val="28"/>
              </w:rPr>
              <w:t>S</w:t>
            </w:r>
            <w:r w:rsidRPr="00145B66">
              <w:rPr>
                <w:rFonts w:ascii="Times New Roman" w:hAnsi="Times New Roman" w:cs="Times New Roman"/>
                <w:bCs/>
                <w:sz w:val="28"/>
                <w:szCs w:val="28"/>
                <w:lang w:val="en-US"/>
              </w:rPr>
              <w:t>D</w:t>
            </w:r>
          </w:p>
        </w:tc>
        <w:tc>
          <w:tcPr>
            <w:tcW w:w="7768" w:type="dxa"/>
            <w:shd w:val="clear" w:color="auto" w:fill="auto"/>
          </w:tcPr>
          <w:p w14:paraId="401D78CC" w14:textId="77777777" w:rsidR="00403127" w:rsidRPr="00100A04" w:rsidRDefault="00403127" w:rsidP="00403127">
            <w:pPr>
              <w:pStyle w:val="Standard"/>
              <w:numPr>
                <w:ilvl w:val="0"/>
                <w:numId w:val="1"/>
              </w:numPr>
              <w:ind w:left="289" w:hanging="284"/>
              <w:rPr>
                <w:rFonts w:ascii="Times New Roman" w:hAnsi="Times New Roman" w:cs="Times New Roman"/>
                <w:sz w:val="28"/>
                <w:szCs w:val="28"/>
                <w:shd w:val="clear" w:color="auto" w:fill="FFFFFF"/>
              </w:rPr>
            </w:pPr>
            <w:r w:rsidRPr="00100A04">
              <w:rPr>
                <w:rFonts w:ascii="Times New Roman" w:hAnsi="Times New Roman" w:cs="Times New Roman"/>
                <w:sz w:val="28"/>
                <w:szCs w:val="28"/>
                <w:shd w:val="clear" w:color="auto" w:fill="FFFFFF"/>
              </w:rPr>
              <w:t>Среднеквадратическое отклонение</w:t>
            </w:r>
          </w:p>
        </w:tc>
      </w:tr>
      <w:tr w:rsidR="00403127" w:rsidRPr="00145B66" w14:paraId="55CF2F6B" w14:textId="77777777" w:rsidTr="00094F6F">
        <w:tc>
          <w:tcPr>
            <w:tcW w:w="1838" w:type="dxa"/>
            <w:shd w:val="clear" w:color="auto" w:fill="auto"/>
          </w:tcPr>
          <w:p w14:paraId="0B412237" w14:textId="77777777" w:rsidR="00403127" w:rsidRPr="00145B66" w:rsidRDefault="00403127" w:rsidP="00094F6F">
            <w:pPr>
              <w:pStyle w:val="Standard"/>
              <w:rPr>
                <w:rFonts w:ascii="Times New Roman" w:hAnsi="Times New Roman" w:cs="Times New Roman"/>
                <w:sz w:val="28"/>
                <w:szCs w:val="28"/>
                <w:lang w:val="en-US" w:eastAsia="en-US"/>
              </w:rPr>
            </w:pPr>
            <w:r w:rsidRPr="00145B66">
              <w:rPr>
                <w:rFonts w:ascii="Times New Roman" w:hAnsi="Times New Roman" w:cs="Times New Roman"/>
                <w:sz w:val="28"/>
                <w:szCs w:val="28"/>
                <w:lang w:val="en-US" w:eastAsia="en-US"/>
              </w:rPr>
              <w:t>SE</w:t>
            </w:r>
          </w:p>
        </w:tc>
        <w:tc>
          <w:tcPr>
            <w:tcW w:w="7768" w:type="dxa"/>
            <w:shd w:val="clear" w:color="auto" w:fill="auto"/>
          </w:tcPr>
          <w:p w14:paraId="5CCA3E91" w14:textId="77777777" w:rsidR="00403127" w:rsidRPr="00100A04" w:rsidRDefault="00403127" w:rsidP="00403127">
            <w:pPr>
              <w:pStyle w:val="Standard"/>
              <w:numPr>
                <w:ilvl w:val="0"/>
                <w:numId w:val="1"/>
              </w:numPr>
              <w:ind w:left="289" w:hanging="284"/>
              <w:rPr>
                <w:rFonts w:ascii="Times New Roman" w:hAnsi="Times New Roman" w:cs="Times New Roman"/>
                <w:i/>
                <w:iCs/>
                <w:sz w:val="28"/>
                <w:szCs w:val="28"/>
                <w:shd w:val="clear" w:color="auto" w:fill="FFFFFF"/>
              </w:rPr>
            </w:pPr>
            <w:r w:rsidRPr="00100A04">
              <w:rPr>
                <w:rStyle w:val="a5"/>
                <w:rFonts w:ascii="Times New Roman" w:hAnsi="Times New Roman" w:cs="Times New Roman"/>
                <w:i w:val="0"/>
                <w:iCs w:val="0"/>
                <w:sz w:val="28"/>
                <w:szCs w:val="28"/>
                <w:shd w:val="clear" w:color="auto" w:fill="FFFFFF"/>
              </w:rPr>
              <w:t>Стандартная ошибка (</w:t>
            </w:r>
            <w:r w:rsidRPr="00100A04">
              <w:rPr>
                <w:rStyle w:val="a5"/>
                <w:rFonts w:ascii="Times New Roman" w:hAnsi="Times New Roman" w:cs="Times New Roman"/>
                <w:i w:val="0"/>
                <w:iCs w:val="0"/>
                <w:sz w:val="28"/>
                <w:szCs w:val="28"/>
                <w:shd w:val="clear" w:color="auto" w:fill="FFFFFF"/>
                <w:lang w:val="en-US"/>
              </w:rPr>
              <w:t>standard error</w:t>
            </w:r>
            <w:r w:rsidRPr="00100A04">
              <w:rPr>
                <w:rStyle w:val="a5"/>
                <w:rFonts w:ascii="Times New Roman" w:hAnsi="Times New Roman" w:cs="Times New Roman"/>
                <w:i w:val="0"/>
                <w:iCs w:val="0"/>
                <w:sz w:val="28"/>
                <w:szCs w:val="28"/>
                <w:shd w:val="clear" w:color="auto" w:fill="FFFFFF"/>
              </w:rPr>
              <w:t>)</w:t>
            </w:r>
          </w:p>
        </w:tc>
      </w:tr>
      <w:tr w:rsidR="00403127" w:rsidRPr="00145B66" w14:paraId="72E748BF" w14:textId="77777777" w:rsidTr="00094F6F">
        <w:tc>
          <w:tcPr>
            <w:tcW w:w="1838" w:type="dxa"/>
            <w:shd w:val="clear" w:color="auto" w:fill="auto"/>
          </w:tcPr>
          <w:p w14:paraId="085B078C" w14:textId="77777777" w:rsidR="00403127" w:rsidRPr="00145B66" w:rsidRDefault="00403127" w:rsidP="00094F6F">
            <w:pPr>
              <w:pStyle w:val="Standard"/>
              <w:rPr>
                <w:rFonts w:ascii="Times New Roman" w:hAnsi="Times New Roman" w:cs="Times New Roman"/>
                <w:bCs/>
                <w:sz w:val="28"/>
                <w:szCs w:val="28"/>
                <w:lang w:eastAsia="en-US"/>
              </w:rPr>
            </w:pPr>
            <w:r w:rsidRPr="00145B66">
              <w:rPr>
                <w:rFonts w:ascii="Times New Roman" w:hAnsi="Times New Roman" w:cs="Times New Roman"/>
                <w:bCs/>
                <w:sz w:val="28"/>
                <w:szCs w:val="28"/>
                <w:lang w:val="en-US"/>
              </w:rPr>
              <w:t>TNM</w:t>
            </w:r>
          </w:p>
        </w:tc>
        <w:tc>
          <w:tcPr>
            <w:tcW w:w="7768" w:type="dxa"/>
            <w:shd w:val="clear" w:color="auto" w:fill="auto"/>
          </w:tcPr>
          <w:p w14:paraId="273D3A03" w14:textId="77777777" w:rsidR="00403127" w:rsidRPr="00100A04" w:rsidRDefault="00403127" w:rsidP="00403127">
            <w:pPr>
              <w:pStyle w:val="Standard"/>
              <w:numPr>
                <w:ilvl w:val="0"/>
                <w:numId w:val="1"/>
              </w:numPr>
              <w:ind w:left="289" w:hanging="284"/>
              <w:rPr>
                <w:rStyle w:val="a5"/>
                <w:rFonts w:ascii="Times New Roman" w:hAnsi="Times New Roman" w:cs="Times New Roman"/>
                <w:bCs/>
                <w:sz w:val="28"/>
                <w:szCs w:val="28"/>
                <w:shd w:val="clear" w:color="auto" w:fill="FFFFFF"/>
              </w:rPr>
            </w:pPr>
            <w:proofErr w:type="spellStart"/>
            <w:r w:rsidRPr="00100A04">
              <w:rPr>
                <w:rFonts w:ascii="Times New Roman" w:hAnsi="Times New Roman" w:cs="Times New Roman"/>
                <w:sz w:val="28"/>
                <w:szCs w:val="28"/>
              </w:rPr>
              <w:t>Tumor</w:t>
            </w:r>
            <w:proofErr w:type="spellEnd"/>
            <w:r w:rsidRPr="00100A04">
              <w:rPr>
                <w:rFonts w:ascii="Times New Roman" w:hAnsi="Times New Roman" w:cs="Times New Roman"/>
                <w:sz w:val="28"/>
                <w:szCs w:val="28"/>
              </w:rPr>
              <w:t xml:space="preserve">/ </w:t>
            </w:r>
            <w:proofErr w:type="spellStart"/>
            <w:r w:rsidRPr="00100A04">
              <w:rPr>
                <w:rFonts w:ascii="Times New Roman" w:hAnsi="Times New Roman" w:cs="Times New Roman"/>
                <w:sz w:val="28"/>
                <w:szCs w:val="28"/>
              </w:rPr>
              <w:t>Nodus</w:t>
            </w:r>
            <w:proofErr w:type="spellEnd"/>
            <w:r w:rsidRPr="00100A04">
              <w:rPr>
                <w:rFonts w:ascii="Times New Roman" w:hAnsi="Times New Roman" w:cs="Times New Roman"/>
                <w:sz w:val="28"/>
                <w:szCs w:val="28"/>
              </w:rPr>
              <w:t xml:space="preserve">/ </w:t>
            </w:r>
            <w:proofErr w:type="spellStart"/>
            <w:r w:rsidRPr="00100A04">
              <w:rPr>
                <w:rFonts w:ascii="Times New Roman" w:hAnsi="Times New Roman" w:cs="Times New Roman"/>
                <w:sz w:val="28"/>
                <w:szCs w:val="28"/>
              </w:rPr>
              <w:t>Metastasis</w:t>
            </w:r>
            <w:proofErr w:type="spellEnd"/>
          </w:p>
        </w:tc>
      </w:tr>
    </w:tbl>
    <w:p w14:paraId="2DDEC86A" w14:textId="77777777" w:rsidR="00403127" w:rsidRPr="00145B66" w:rsidRDefault="00403127" w:rsidP="00403127">
      <w:pPr>
        <w:pStyle w:val="Standard"/>
        <w:jc w:val="center"/>
        <w:rPr>
          <w:rFonts w:ascii="Times New Roman" w:hAnsi="Times New Roman"/>
          <w:b/>
          <w:bCs/>
          <w:sz w:val="28"/>
          <w:szCs w:val="28"/>
          <w:lang w:val="en-US"/>
        </w:rPr>
      </w:pPr>
    </w:p>
    <w:p w14:paraId="3902AB5B" w14:textId="3B5D740C" w:rsidR="00403127" w:rsidRDefault="00403127">
      <w:pPr>
        <w:spacing w:after="160" w:line="259" w:lineRule="auto"/>
      </w:pPr>
      <w:r>
        <w:br w:type="page"/>
      </w:r>
    </w:p>
    <w:p w14:paraId="7650EB84" w14:textId="77777777" w:rsidR="00403127" w:rsidRDefault="00403127" w:rsidP="00403127">
      <w:pPr>
        <w:spacing w:after="0" w:line="240" w:lineRule="auto"/>
        <w:jc w:val="center"/>
        <w:rPr>
          <w:rFonts w:ascii="Times New Roman" w:hAnsi="Times New Roman"/>
          <w:b/>
          <w:sz w:val="28"/>
          <w:szCs w:val="28"/>
        </w:rPr>
      </w:pPr>
      <w:r w:rsidRPr="00145B66">
        <w:rPr>
          <w:rFonts w:ascii="Times New Roman" w:hAnsi="Times New Roman"/>
          <w:b/>
          <w:sz w:val="28"/>
          <w:szCs w:val="28"/>
        </w:rPr>
        <w:lastRenderedPageBreak/>
        <w:t>ВВЕДЕНИЕ</w:t>
      </w:r>
    </w:p>
    <w:p w14:paraId="19682D01" w14:textId="77777777" w:rsidR="00403127" w:rsidRPr="00145B66" w:rsidRDefault="00403127" w:rsidP="00403127">
      <w:pPr>
        <w:spacing w:after="0" w:line="240" w:lineRule="auto"/>
        <w:ind w:firstLine="567"/>
        <w:jc w:val="both"/>
        <w:rPr>
          <w:rFonts w:ascii="Times New Roman" w:hAnsi="Times New Roman"/>
          <w:b/>
          <w:sz w:val="28"/>
          <w:szCs w:val="28"/>
        </w:rPr>
      </w:pPr>
    </w:p>
    <w:p w14:paraId="4C933131" w14:textId="77777777" w:rsidR="00403127" w:rsidRPr="00145B66" w:rsidRDefault="00403127" w:rsidP="00403127">
      <w:pPr>
        <w:spacing w:after="0" w:line="240" w:lineRule="auto"/>
        <w:ind w:firstLine="567"/>
        <w:jc w:val="both"/>
        <w:rPr>
          <w:rFonts w:ascii="Times New Roman" w:hAnsi="Times New Roman"/>
          <w:b/>
          <w:sz w:val="28"/>
          <w:szCs w:val="28"/>
        </w:rPr>
      </w:pPr>
      <w:r>
        <w:rPr>
          <w:rFonts w:ascii="Times New Roman" w:hAnsi="Times New Roman"/>
          <w:b/>
          <w:sz w:val="28"/>
          <w:szCs w:val="28"/>
        </w:rPr>
        <w:t>Актуальность исследования</w:t>
      </w:r>
    </w:p>
    <w:p w14:paraId="45D2F69F"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lang w:val="kk-KZ"/>
        </w:rPr>
        <w:t>Рак ободочной кишки является одним из распространенных злокачественных новообразований желудочно-кишечного тракта как во всем мире</w:t>
      </w:r>
      <w:r w:rsidRPr="00145B66">
        <w:rPr>
          <w:rFonts w:ascii="Times New Roman" w:hAnsi="Times New Roman"/>
          <w:sz w:val="28"/>
          <w:szCs w:val="28"/>
        </w:rPr>
        <w:t xml:space="preserve">, так и в Республике Казахстан (РК) </w:t>
      </w:r>
      <w:r w:rsidRPr="00145B66">
        <w:rPr>
          <w:rFonts w:ascii="Times New Roman" w:hAnsi="Times New Roman"/>
          <w:sz w:val="28"/>
          <w:szCs w:val="28"/>
        </w:rPr>
        <w:fldChar w:fldCharType="begin"/>
      </w:r>
      <w:r w:rsidRPr="00145B66">
        <w:rPr>
          <w:rFonts w:ascii="Times New Roman" w:hAnsi="Times New Roman"/>
          <w:sz w:val="28"/>
          <w:szCs w:val="28"/>
        </w:rPr>
        <w:instrText xml:space="preserve"> ADDIN ZOTERO_ITEM CSL_CITATION {"citationID":"ar5rki8e52","properties":{"formattedCitation":"[1,2]","plainCitation":"[1,2]","noteIndex":0},"citationItems":[{"id":7,"uris":["http://zotero.org/users/7388323/items/YG6UWSIS"],"uri":["http://zotero.org/users/7388323/items/YG6UWSIS"],"itemData":{"id":7,"type":"article-journal","container-title":"International Journal of Cancer","DOI":"10.1002/ijc.1440","ISSN":"0020-7136, 1097-0215","issue":"2","journalAbbreviation":"Int. J. Cancer","language":"en","page":"153-156","source":"DOI.org (Crossref)","title":"Estimating the world cancer burden: Globocan 2000","title-short":"Estimating the world cancer burden","URL":"http://doi.wiley.com/10.1002/ijc.1440","volume":"94","author":[{"family":"Parkin","given":"D. Maxwell"},{"family":"Bray","given":"Freddie"},{"family":"Ferlay","given":"Jacques"},{"family":"Pisani","given":"Paola"}],"accessed":{"date-parts":[["2020",7,4]]},"issued":{"date-parts":[["2001",10,15]]}}},{"id":307,"uris":["http://zotero.org/users/7388323/items/8AT4CAXF"],"uri":["http://zotero.org/users/7388323/items/8AT4CAXF"],"itemData":{"id":307,"type":"article-journal","abstract":"Worldwide, colon cancer is the third most common male malignancy and the second most common female malignancy, following lung cancer. Since 2011, the Republic of Kazakhstan has consistently implemented national health reform programs, for which improving the quality of cancer care is one of the main priorities. This study aimed at evaluation of colon's cancer morbidity and mortality within the period of 14 years (from 2004 to 2017). We observed an increase in the morbidity of colon cancer among the population of Kazakhstan, which may be due to the screening program, which started in 2011 as a part of he healthcare reform program. Meanwhile, we observed a decrease in colon cancer mortality. The peak incidence of colon cancer falls at the age of 70 years and older. A number of Kazakhstan's regions, including Pavlodar and East Kazakhstan have higher rates of colon cancer morbidity.","container-title":"Georgian Medical News","ISSN":"1512-0112","issue":"301","journalAbbreviation":"Georgian Med News","language":"rus","note":"PMID: 32535563","page":"54-59","source":"PubMed","title":"[MORTALITY AND MORBIDITY FROM COLON CANCER IN THE REPUBLIC OF KAZAKHSTAN]","author":[{"family":"Bekisheva","given":"A."},{"family":"Makishev","given":"A."},{"family":"Dauletyarova","given":"M."},{"family":"Semenova","given":"U."}],"issued":{"date-parts":[["2020",4]]}}}],"schema":"https://github.com/citation-style-language/schema/raw/master/csl-citation.json"} </w:instrText>
      </w:r>
      <w:r w:rsidRPr="00145B66">
        <w:rPr>
          <w:rFonts w:ascii="Times New Roman" w:hAnsi="Times New Roman"/>
          <w:sz w:val="28"/>
          <w:szCs w:val="28"/>
        </w:rPr>
        <w:fldChar w:fldCharType="separate"/>
      </w:r>
      <w:r w:rsidRPr="00145B66">
        <w:rPr>
          <w:rFonts w:ascii="Times New Roman" w:hAnsi="Times New Roman"/>
          <w:sz w:val="28"/>
          <w:szCs w:val="24"/>
        </w:rPr>
        <w:t>[1, 2]</w:t>
      </w:r>
      <w:r w:rsidRPr="00145B66">
        <w:rPr>
          <w:rFonts w:ascii="Times New Roman" w:hAnsi="Times New Roman"/>
          <w:sz w:val="28"/>
          <w:szCs w:val="28"/>
        </w:rPr>
        <w:fldChar w:fldCharType="end"/>
      </w:r>
      <w:r w:rsidRPr="00145B66">
        <w:rPr>
          <w:rFonts w:ascii="Times New Roman" w:hAnsi="Times New Roman"/>
          <w:sz w:val="28"/>
          <w:szCs w:val="28"/>
        </w:rPr>
        <w:t xml:space="preserve">. Основным радикальным методом лечения данной патологии является резекция ободочной кишки в зависимости от локализации и распространенности процесса </w:t>
      </w:r>
      <w:r w:rsidRPr="00145B66">
        <w:rPr>
          <w:rFonts w:ascii="Times New Roman" w:hAnsi="Times New Roman"/>
          <w:sz w:val="28"/>
          <w:szCs w:val="28"/>
        </w:rPr>
        <w:fldChar w:fldCharType="begin"/>
      </w:r>
      <w:r w:rsidRPr="00145B66">
        <w:rPr>
          <w:rFonts w:ascii="Times New Roman" w:hAnsi="Times New Roman"/>
          <w:sz w:val="28"/>
          <w:szCs w:val="28"/>
        </w:rPr>
        <w:instrText xml:space="preserve"> ADDIN ZOTERO_ITEM CSL_CITATION {"citationID":"a19or0o3d44","properties":{"formattedCitation":"[3\\uc0\\u8211{}6]","plainCitation":"[3–6]","noteIndex":0},"citationItems":[{"id":63,"uris":["http://zotero.org/users/7388323/items/BJU2AUJR"],"uri":["http://zotero.org/users/7388323/items/BJU2AUJR"],"itemData":{"id":63,"type":"article","title":"rak_obodochnoy_kishki_pr2018.pdf"}},{"id":61,"uris":["http://zotero.org/users/7388323/items/HYGZ26ED"],"uri":["http://zotero.org/users/7388323/items/HYGZ26ED"],"itemData":{"id":61,"type":"book","abstract":"Written by clinicians from the National Cancer Institute and other leading institutions, this comprehensive, clear, concise oncology handbook is designed specifically for quick bedside consultation. It covers all malignancies and offers busy clinicians practical guidelines on daily patient management, including commonly used treatment regimens and chemotherapy dosing and schedules. The user-friendly format features tables, charts, bullet points, and algorithms. The thoroughly updated Third Edition places an increased emphasis on practical clinical information, and includes new chemotherapeutic agents, dosages, and treatment regimens and the latest clinical trials data. New chapters focus on basic genomics for practicing oncologists and basic principles of radiation. The succinct yet detailed presentation is ideal for board review as well as clinical reference.","ISBN":"978-1-4511-4776-6","language":"en","note":"Google-Books-ID: jJmQU1He1IIC","number-of-pages":"682","publisher":"Lippincott Williams &amp; Wilkins","source":"Google Books","title":"The Bethesda Handbook of Clinical Oncology","author":[{"family":"Abraham","given":"Jame"},{"family":"Gulley","given":"James L."},{"family":"Allegra","given":"Carmen J."}],"issued":{"date-parts":[["2012",3,28]]}}},{"id":58,"uris":["http://zotero.org/users/7388323/items/JPNQMRQ6"],"uri":["http://zotero.org/users/7388323/items/JPNQMRQ6"],"itemData":{"id":58,"type":"article","title":"ESMO-ACF-Colorectal-Cancer-Guide-for-Patients-Russian.pdf"}},{"id":57,"uris":["http://zotero.org/users/7388323/items/KKHVRZZQ"],"uri":["http://zotero.org/users/7388323/items/KKHVRZZQ"],"itemData":{"id":57,"type":"article","title":"NCCN Clinical Practice Guidelines in Oncology. Colon Cancer. Version 2.2015 Oxford Handbook of Oncology"}}],"schema":"https://github.com/citation-style-language/schema/raw/master/csl-citation.json"} </w:instrText>
      </w:r>
      <w:r w:rsidRPr="00145B66">
        <w:rPr>
          <w:rFonts w:ascii="Times New Roman" w:hAnsi="Times New Roman"/>
          <w:sz w:val="28"/>
          <w:szCs w:val="28"/>
        </w:rPr>
        <w:fldChar w:fldCharType="separate"/>
      </w:r>
      <w:r w:rsidRPr="00145B66">
        <w:rPr>
          <w:rFonts w:ascii="Times New Roman" w:hAnsi="Times New Roman"/>
          <w:sz w:val="28"/>
          <w:szCs w:val="24"/>
        </w:rPr>
        <w:t>[3-6]</w:t>
      </w:r>
      <w:r w:rsidRPr="00145B66">
        <w:rPr>
          <w:rFonts w:ascii="Times New Roman" w:hAnsi="Times New Roman"/>
          <w:sz w:val="28"/>
          <w:szCs w:val="28"/>
        </w:rPr>
        <w:fldChar w:fldCharType="end"/>
      </w:r>
      <w:r w:rsidRPr="00145B66">
        <w:rPr>
          <w:rFonts w:ascii="Times New Roman" w:hAnsi="Times New Roman"/>
          <w:sz w:val="28"/>
          <w:szCs w:val="28"/>
        </w:rPr>
        <w:t xml:space="preserve">. Однако не смотря на развитие высокотехнологичных методов диагностики, усовершенствование хирургических методов лечения и увеличение продолжительности жизни, больные страдают от множества различных осложнений после хирургического лечения рака ободочной кишки </w:t>
      </w:r>
      <w:r w:rsidRPr="00145B66">
        <w:rPr>
          <w:rFonts w:ascii="Times New Roman" w:hAnsi="Times New Roman"/>
          <w:sz w:val="28"/>
          <w:szCs w:val="28"/>
        </w:rPr>
        <w:fldChar w:fldCharType="begin"/>
      </w:r>
      <w:r w:rsidRPr="00145B66">
        <w:rPr>
          <w:rFonts w:ascii="Times New Roman" w:hAnsi="Times New Roman"/>
          <w:sz w:val="28"/>
          <w:szCs w:val="28"/>
        </w:rPr>
        <w:instrText xml:space="preserve"> ADDIN ZOTERO_ITEM CSL_CITATION {"citationID":"a1td4q5k05g","properties":{"formattedCitation":"[7\\uc0\\u8211{}11]","plainCitation":"[7–11]","noteIndex":0},"citationItems":[{"id":54,"uris":["http://zotero.org/users/7388323/items/473XHC3R"],"uri":["http://zotero.org/users/7388323/items/473XHC3R"],"itemData":{"id":54,"type":"article-journal","abstract":"Background: The optimal technique for curative resection of colonic cancer includes high ligation of the mesenteric vessels, wide excision of the colonic mesentery and prevention of tumour cell spillage. This article reports results from the authors’ institution for patients in whom complete mesocolic excision was performed long before the term was coined.\nMethods: Patients operated on for cure for primary adenocarcinoma of the colon between January 1994 and December 2004 were identified from a prospectively maintained, institutional review board-approved, colorectal cancer registry. Medical records and operation notes were reviewed. The primary outcomes were recurrence (local and distal) and age-adjusted 5-year survival.\nResults: Some 1013 patients (560 men and 453 women) were identified, with a median age of 69 (range 21–96) years. The most common location of the cancer was the sigmoid colon (32</w:instrText>
      </w:r>
      <w:r w:rsidRPr="00145B66">
        <w:rPr>
          <w:rFonts w:ascii="Cambria Math" w:hAnsi="Cambria Math" w:cs="Cambria Math"/>
          <w:sz w:val="28"/>
          <w:szCs w:val="28"/>
        </w:rPr>
        <w:instrText>⋅</w:instrText>
      </w:r>
      <w:r w:rsidRPr="00145B66">
        <w:rPr>
          <w:rFonts w:ascii="Times New Roman" w:hAnsi="Times New Roman"/>
          <w:sz w:val="28"/>
          <w:szCs w:val="28"/>
        </w:rPr>
        <w:instrText>9 per cent), followed by the caecum (26</w:instrText>
      </w:r>
      <w:r w:rsidRPr="00145B66">
        <w:rPr>
          <w:rFonts w:ascii="Cambria Math" w:hAnsi="Cambria Math" w:cs="Cambria Math"/>
          <w:sz w:val="28"/>
          <w:szCs w:val="28"/>
        </w:rPr>
        <w:instrText>⋅</w:instrText>
      </w:r>
      <w:r w:rsidRPr="00145B66">
        <w:rPr>
          <w:rFonts w:ascii="Times New Roman" w:hAnsi="Times New Roman"/>
          <w:sz w:val="28"/>
          <w:szCs w:val="28"/>
        </w:rPr>
        <w:instrText>7 per cent) and ascending colon (17</w:instrText>
      </w:r>
      <w:r w:rsidRPr="00145B66">
        <w:rPr>
          <w:rFonts w:ascii="Cambria Math" w:hAnsi="Cambria Math" w:cs="Cambria Math"/>
          <w:sz w:val="28"/>
          <w:szCs w:val="28"/>
        </w:rPr>
        <w:instrText>⋅</w:instrText>
      </w:r>
      <w:r w:rsidRPr="00145B66">
        <w:rPr>
          <w:rFonts w:ascii="Times New Roman" w:hAnsi="Times New Roman"/>
          <w:sz w:val="28"/>
          <w:szCs w:val="28"/>
        </w:rPr>
        <w:instrText>0 per cent). Operations were performed laparoscopically in 134 patients (13</w:instrText>
      </w:r>
      <w:r w:rsidRPr="00145B66">
        <w:rPr>
          <w:rFonts w:ascii="Cambria Math" w:hAnsi="Cambria Math" w:cs="Cambria Math"/>
          <w:sz w:val="28"/>
          <w:szCs w:val="28"/>
        </w:rPr>
        <w:instrText>⋅</w:instrText>
      </w:r>
      <w:r w:rsidRPr="00145B66">
        <w:rPr>
          <w:rFonts w:ascii="Times New Roman" w:hAnsi="Times New Roman"/>
          <w:sz w:val="28"/>
          <w:szCs w:val="28"/>
        </w:rPr>
        <w:instrText>2 per cent). Median duration of hospital stay was 7 (range 1–64, mean 8</w:instrText>
      </w:r>
      <w:r w:rsidRPr="00145B66">
        <w:rPr>
          <w:rFonts w:ascii="Cambria Math" w:hAnsi="Cambria Math" w:cs="Cambria Math"/>
          <w:sz w:val="28"/>
          <w:szCs w:val="28"/>
        </w:rPr>
        <w:instrText>⋅</w:instrText>
      </w:r>
      <w:r w:rsidRPr="00145B66">
        <w:rPr>
          <w:rFonts w:ascii="Times New Roman" w:hAnsi="Times New Roman"/>
          <w:sz w:val="28"/>
          <w:szCs w:val="28"/>
        </w:rPr>
        <w:instrText>2) days. Overall morbidity and mortality rates were 13</w:instrText>
      </w:r>
      <w:r w:rsidRPr="00145B66">
        <w:rPr>
          <w:rFonts w:ascii="Cambria Math" w:hAnsi="Cambria Math" w:cs="Cambria Math"/>
          <w:sz w:val="28"/>
          <w:szCs w:val="28"/>
        </w:rPr>
        <w:instrText>⋅</w:instrText>
      </w:r>
      <w:r w:rsidRPr="00145B66">
        <w:rPr>
          <w:rFonts w:ascii="Times New Roman" w:hAnsi="Times New Roman"/>
          <w:sz w:val="28"/>
          <w:szCs w:val="28"/>
        </w:rPr>
        <w:instrText>5 and 2</w:instrText>
      </w:r>
      <w:r w:rsidRPr="00145B66">
        <w:rPr>
          <w:rFonts w:ascii="Cambria Math" w:hAnsi="Cambria Math" w:cs="Cambria Math"/>
          <w:sz w:val="28"/>
          <w:szCs w:val="28"/>
        </w:rPr>
        <w:instrText>⋅</w:instrText>
      </w:r>
      <w:r w:rsidRPr="00145B66">
        <w:rPr>
          <w:rFonts w:ascii="Times New Roman" w:hAnsi="Times New Roman"/>
          <w:sz w:val="28"/>
          <w:szCs w:val="28"/>
        </w:rPr>
        <w:instrText>2 per cent respectively; there were 20 anastomotic leaks (2</w:instrText>
      </w:r>
      <w:r w:rsidRPr="00145B66">
        <w:rPr>
          <w:rFonts w:ascii="Cambria Math" w:hAnsi="Cambria Math" w:cs="Cambria Math"/>
          <w:sz w:val="28"/>
          <w:szCs w:val="28"/>
        </w:rPr>
        <w:instrText>⋅</w:instrText>
      </w:r>
      <w:r w:rsidRPr="00145B66">
        <w:rPr>
          <w:rFonts w:ascii="Times New Roman" w:hAnsi="Times New Roman"/>
          <w:sz w:val="28"/>
          <w:szCs w:val="28"/>
        </w:rPr>
        <w:instrText>0 per cent). Some 282 patients (27</w:instrText>
      </w:r>
      <w:r w:rsidRPr="00145B66">
        <w:rPr>
          <w:rFonts w:ascii="Cambria Math" w:hAnsi="Cambria Math" w:cs="Cambria Math"/>
          <w:sz w:val="28"/>
          <w:szCs w:val="28"/>
        </w:rPr>
        <w:instrText>⋅</w:instrText>
      </w:r>
      <w:r w:rsidRPr="00145B66">
        <w:rPr>
          <w:rFonts w:ascii="Times New Roman" w:hAnsi="Times New Roman"/>
          <w:sz w:val="28"/>
          <w:szCs w:val="28"/>
        </w:rPr>
        <w:instrText>8 per cent) had stage I, 386 (38</w:instrText>
      </w:r>
      <w:r w:rsidRPr="00145B66">
        <w:rPr>
          <w:rFonts w:ascii="Cambria Math" w:hAnsi="Cambria Math" w:cs="Cambria Math"/>
          <w:sz w:val="28"/>
          <w:szCs w:val="28"/>
        </w:rPr>
        <w:instrText>⋅</w:instrText>
      </w:r>
      <w:r w:rsidRPr="00145B66">
        <w:rPr>
          <w:rFonts w:ascii="Times New Roman" w:hAnsi="Times New Roman"/>
          <w:sz w:val="28"/>
          <w:szCs w:val="28"/>
        </w:rPr>
        <w:instrText>1 per cent) stage II and 345 (34</w:instrText>
      </w:r>
      <w:r w:rsidRPr="00145B66">
        <w:rPr>
          <w:rFonts w:ascii="Cambria Math" w:hAnsi="Cambria Math" w:cs="Cambria Math"/>
          <w:sz w:val="28"/>
          <w:szCs w:val="28"/>
        </w:rPr>
        <w:instrText>⋅</w:instrText>
      </w:r>
      <w:r w:rsidRPr="00145B66">
        <w:rPr>
          <w:rFonts w:ascii="Times New Roman" w:hAnsi="Times New Roman"/>
          <w:sz w:val="28"/>
          <w:szCs w:val="28"/>
        </w:rPr>
        <w:instrText>1 per cent) stage III disease. Median lymph node yield was 28</w:instrText>
      </w:r>
      <w:r w:rsidRPr="00145B66">
        <w:rPr>
          <w:rFonts w:ascii="Cambria Math" w:hAnsi="Cambria Math" w:cs="Cambria Math"/>
          <w:sz w:val="28"/>
          <w:szCs w:val="28"/>
        </w:rPr>
        <w:instrText>⋅</w:instrText>
      </w:r>
      <w:r w:rsidRPr="00145B66">
        <w:rPr>
          <w:rFonts w:ascii="Times New Roman" w:hAnsi="Times New Roman"/>
          <w:sz w:val="28"/>
          <w:szCs w:val="28"/>
        </w:rPr>
        <w:instrText>3 (range 0–241, mean 28</w:instrText>
      </w:r>
      <w:r w:rsidRPr="00145B66">
        <w:rPr>
          <w:rFonts w:ascii="Cambria Math" w:hAnsi="Cambria Math" w:cs="Cambria Math"/>
          <w:sz w:val="28"/>
          <w:szCs w:val="28"/>
        </w:rPr>
        <w:instrText>⋅</w:instrText>
      </w:r>
      <w:r w:rsidRPr="00145B66">
        <w:rPr>
          <w:rFonts w:ascii="Times New Roman" w:hAnsi="Times New Roman"/>
          <w:sz w:val="28"/>
          <w:szCs w:val="28"/>
        </w:rPr>
        <w:instrText>3), and 12 or more nodes were examined in 88</w:instrText>
      </w:r>
      <w:r w:rsidRPr="00145B66">
        <w:rPr>
          <w:rFonts w:ascii="Cambria Math" w:hAnsi="Cambria Math" w:cs="Cambria Math"/>
          <w:sz w:val="28"/>
          <w:szCs w:val="28"/>
        </w:rPr>
        <w:instrText>⋅</w:instrText>
      </w:r>
      <w:r w:rsidRPr="00145B66">
        <w:rPr>
          <w:rFonts w:ascii="Times New Roman" w:hAnsi="Times New Roman"/>
          <w:sz w:val="28"/>
          <w:szCs w:val="28"/>
        </w:rPr>
        <w:instrText>1 per cent of patients. Adjuvant chemotherapy was administered to 277 patients (80</w:instrText>
      </w:r>
      <w:r w:rsidRPr="00145B66">
        <w:rPr>
          <w:rFonts w:ascii="Cambria Math" w:hAnsi="Cambria Math" w:cs="Cambria Math"/>
          <w:sz w:val="28"/>
          <w:szCs w:val="28"/>
        </w:rPr>
        <w:instrText>⋅</w:instrText>
      </w:r>
      <w:r w:rsidRPr="00145B66">
        <w:rPr>
          <w:rFonts w:ascii="Times New Roman" w:hAnsi="Times New Roman"/>
          <w:sz w:val="28"/>
          <w:szCs w:val="28"/>
        </w:rPr>
        <w:instrText>3 per cent) with stage III disease. Overall local and distant recurrence rates at 5 years were 5</w:instrText>
      </w:r>
      <w:r w:rsidRPr="00145B66">
        <w:rPr>
          <w:rFonts w:ascii="Cambria Math" w:hAnsi="Cambria Math" w:cs="Cambria Math"/>
          <w:sz w:val="28"/>
          <w:szCs w:val="28"/>
        </w:rPr>
        <w:instrText>⋅</w:instrText>
      </w:r>
      <w:r w:rsidRPr="00145B66">
        <w:rPr>
          <w:rFonts w:ascii="Times New Roman" w:hAnsi="Times New Roman"/>
          <w:sz w:val="28"/>
          <w:szCs w:val="28"/>
        </w:rPr>
        <w:instrText>1 and 17</w:instrText>
      </w:r>
      <w:r w:rsidRPr="00145B66">
        <w:rPr>
          <w:rFonts w:ascii="Cambria Math" w:hAnsi="Cambria Math" w:cs="Cambria Math"/>
          <w:sz w:val="28"/>
          <w:szCs w:val="28"/>
        </w:rPr>
        <w:instrText>⋅</w:instrText>
      </w:r>
      <w:r w:rsidRPr="00145B66">
        <w:rPr>
          <w:rFonts w:ascii="Times New Roman" w:hAnsi="Times New Roman"/>
          <w:sz w:val="28"/>
          <w:szCs w:val="28"/>
        </w:rPr>
        <w:instrText>1 per cent respectively. The 5-year local recurrence rate was 2</w:instrText>
      </w:r>
      <w:r w:rsidRPr="00145B66">
        <w:rPr>
          <w:rFonts w:ascii="Cambria Math" w:hAnsi="Cambria Math" w:cs="Cambria Math"/>
          <w:sz w:val="28"/>
          <w:szCs w:val="28"/>
        </w:rPr>
        <w:instrText>⋅</w:instrText>
      </w:r>
      <w:r w:rsidRPr="00145B66">
        <w:rPr>
          <w:rFonts w:ascii="Times New Roman" w:hAnsi="Times New Roman"/>
          <w:sz w:val="28"/>
          <w:szCs w:val="28"/>
        </w:rPr>
        <w:instrText>2, 5</w:instrText>
      </w:r>
      <w:r w:rsidRPr="00145B66">
        <w:rPr>
          <w:rFonts w:ascii="Cambria Math" w:hAnsi="Cambria Math" w:cs="Cambria Math"/>
          <w:sz w:val="28"/>
          <w:szCs w:val="28"/>
        </w:rPr>
        <w:instrText>⋅</w:instrText>
      </w:r>
      <w:r w:rsidRPr="00145B66">
        <w:rPr>
          <w:rFonts w:ascii="Times New Roman" w:hAnsi="Times New Roman"/>
          <w:sz w:val="28"/>
          <w:szCs w:val="28"/>
        </w:rPr>
        <w:instrText>3 and 7</w:instrText>
      </w:r>
      <w:r w:rsidRPr="00145B66">
        <w:rPr>
          <w:rFonts w:ascii="Cambria Math" w:hAnsi="Cambria Math" w:cs="Cambria Math"/>
          <w:sz w:val="28"/>
          <w:szCs w:val="28"/>
        </w:rPr>
        <w:instrText>⋅</w:instrText>
      </w:r>
      <w:r w:rsidRPr="00145B66">
        <w:rPr>
          <w:rFonts w:ascii="Times New Roman" w:hAnsi="Times New Roman"/>
          <w:sz w:val="28"/>
          <w:szCs w:val="28"/>
        </w:rPr>
        <w:instrText>7 per cent for American Joint Committee on Cancer stages I, II and III respectively. Corresponding distant recurrence rates were 4</w:instrText>
      </w:r>
      <w:r w:rsidRPr="00145B66">
        <w:rPr>
          <w:rFonts w:ascii="Cambria Math" w:hAnsi="Cambria Math" w:cs="Cambria Math"/>
          <w:sz w:val="28"/>
          <w:szCs w:val="28"/>
        </w:rPr>
        <w:instrText>⋅</w:instrText>
      </w:r>
      <w:r w:rsidRPr="00145B66">
        <w:rPr>
          <w:rFonts w:ascii="Times New Roman" w:hAnsi="Times New Roman"/>
          <w:sz w:val="28"/>
          <w:szCs w:val="28"/>
        </w:rPr>
        <w:instrText>0, 14</w:instrText>
      </w:r>
      <w:r w:rsidRPr="00145B66">
        <w:rPr>
          <w:rFonts w:ascii="Cambria Math" w:hAnsi="Cambria Math" w:cs="Cambria Math"/>
          <w:sz w:val="28"/>
          <w:szCs w:val="28"/>
        </w:rPr>
        <w:instrText>⋅</w:instrText>
      </w:r>
      <w:r w:rsidRPr="00145B66">
        <w:rPr>
          <w:rFonts w:ascii="Times New Roman" w:hAnsi="Times New Roman"/>
          <w:sz w:val="28"/>
          <w:szCs w:val="28"/>
        </w:rPr>
        <w:instrText>7 and 30</w:instrText>
      </w:r>
      <w:r w:rsidRPr="00145B66">
        <w:rPr>
          <w:rFonts w:ascii="Cambria Math" w:hAnsi="Cambria Math" w:cs="Cambria Math"/>
          <w:sz w:val="28"/>
          <w:szCs w:val="28"/>
        </w:rPr>
        <w:instrText>⋅</w:instrText>
      </w:r>
      <w:r w:rsidRPr="00145B66">
        <w:rPr>
          <w:rFonts w:ascii="Times New Roman" w:hAnsi="Times New Roman"/>
          <w:sz w:val="28"/>
          <w:szCs w:val="28"/>
        </w:rPr>
        <w:instrText>5 per cent. The 5-year overall cancer-free age-standardized survival rate was 85</w:instrText>
      </w:r>
      <w:r w:rsidRPr="00145B66">
        <w:rPr>
          <w:rFonts w:ascii="Cambria Math" w:hAnsi="Cambria Math" w:cs="Cambria Math"/>
          <w:sz w:val="28"/>
          <w:szCs w:val="28"/>
        </w:rPr>
        <w:instrText>⋅</w:instrText>
      </w:r>
      <w:r w:rsidRPr="00145B66">
        <w:rPr>
          <w:rFonts w:ascii="Times New Roman" w:hAnsi="Times New Roman"/>
          <w:sz w:val="28"/>
          <w:szCs w:val="28"/>
        </w:rPr>
        <w:instrText>3 per cent. Five-year age standardized survival rates for patients with disease stages I, II and III were 97</w:instrText>
      </w:r>
      <w:r w:rsidRPr="00145B66">
        <w:rPr>
          <w:rFonts w:ascii="Cambria Math" w:hAnsi="Cambria Math" w:cs="Cambria Math"/>
          <w:sz w:val="28"/>
          <w:szCs w:val="28"/>
        </w:rPr>
        <w:instrText>⋅</w:instrText>
      </w:r>
      <w:r w:rsidRPr="00145B66">
        <w:rPr>
          <w:rFonts w:ascii="Times New Roman" w:hAnsi="Times New Roman"/>
          <w:sz w:val="28"/>
          <w:szCs w:val="28"/>
        </w:rPr>
        <w:instrText>7, 90</w:instrText>
      </w:r>
      <w:r w:rsidRPr="00145B66">
        <w:rPr>
          <w:rFonts w:ascii="Cambria Math" w:hAnsi="Cambria Math" w:cs="Cambria Math"/>
          <w:sz w:val="28"/>
          <w:szCs w:val="28"/>
        </w:rPr>
        <w:instrText>⋅</w:instrText>
      </w:r>
      <w:r w:rsidRPr="00145B66">
        <w:rPr>
          <w:rFonts w:ascii="Times New Roman" w:hAnsi="Times New Roman"/>
          <w:sz w:val="28"/>
          <w:szCs w:val="28"/>
        </w:rPr>
        <w:instrText>8 and 69</w:instrText>
      </w:r>
      <w:r w:rsidRPr="00145B66">
        <w:rPr>
          <w:rFonts w:ascii="Cambria Math" w:hAnsi="Cambria Math" w:cs="Cambria Math"/>
          <w:sz w:val="28"/>
          <w:szCs w:val="28"/>
        </w:rPr>
        <w:instrText>⋅</w:instrText>
      </w:r>
      <w:r w:rsidRPr="00145B66">
        <w:rPr>
          <w:rFonts w:ascii="Times New Roman" w:hAnsi="Times New Roman"/>
          <w:sz w:val="28"/>
          <w:szCs w:val="28"/>
        </w:rPr>
        <w:instrText xml:space="preserve">8 per cent respectively.\nConclusion: These data define modern results of surgery for colonic cancer with conservative use of chemotherapy.","container-title":"British Journal of Surgery","DOI":"10.1002/bjs.9805","ISSN":"00071323","issue":"7","journalAbbreviation":"Br J Surg","language":"en","page":"847-852","source":"DOI.org (Crossref)","title":"Primacy of surgery for colorectal cancer","URL":"http://doi.wiley.com/10.1002/bjs.9805","volume":"102","author":[{"family":"Liang","given":"J."},{"family":"Fazio","given":"V."},{"family":"Lavery","given":"I."},{"family":"Remzi","given":"F."},{"family":"Hull","given":"T."},{"family":"Strong","given":"S."},{"family":"Church","given":"J."}],"accessed":{"date-parts":[["2021",1,9]]},"issued":{"date-parts":[["2015",6]]}}},{"id":55,"uris":["http://zotero.org/users/7388323/items/VSEJ2MCT"],"uri":["http://zotero.org/users/7388323/items/VSEJ2MCT"],"itemData":{"id":55,"type":"article-journal","abstract":"Introduction: In 2009, the nationwide Dutch Surgical Colorectal Audit (DSCA) was initiated by the Association of Surgeons of the Netherlands (ASN) to monitor, evaluate and improve colorectal cancer care. The DSCA is currently widely used as a blueprint for the initiation of other audits, coordinated by the Dutch Institute for Clinical Auditing (DICA). This article illustrates key elements of the DSCA and results of three years of auditing.","container-title":"European Journal of Surgical Oncology (EJSO)","DOI":"10.1016/j.ejso.2013.05.008","ISSN":"07487983","issue":"10","journalAbbreviation":"European Journal of Surgical Oncology (EJSO)","language":"en","page":"1063-1070","source":"DOI.org (Crossref)","title":"The Dutch Surgical Colorectal Audit","URL":"https://linkinghub.elsevier.com/retrieve/pii/S074879831300379X","volume":"39","author":[{"family":"Van Leersum","given":"N.J."},{"family":"Snijders","given":"H.S."},{"family":"Henneman","given":"D."},{"family":"Kolfschoten","given":"N.E."},{"family":"Gooiker","given":"G.A."},{"family":"Berge","given":"M.G.","non-dropping-particle":"ten"},{"family":"Eddes","given":"E.H."},{"family":"Wouters","given":"M.W.J.M."},{"family":"Tollenaar","given":"R.A.E.M."},{"family":"Bemelman","given":"W.A."},{"family":"Dam","given":"R.M.","non-dropping-particle":"van"},{"family":"Elferink","given":"M.A."},{"family":"Karsten","given":"Th.M."},{"family":"Krieken","given":"J.H.J.M.","non-dropping-particle":"van"},{"family":"Lemmens","given":"V.E.P.P."},{"family":"Rutten","given":"H.J.T."},{"family":"Manusama","given":"E.R."},{"family":"Velde","given":"C.J.H.","non-dropping-particle":"van de"},{"family":"Meijerink","given":"W.J.H.J."},{"family":"Wiggers","given":"Th."},{"family":"Harst","given":"E.","non-dropping-particle":"van der"},{"family":"Dekker","given":"J.W.T."},{"family":"Boerma","given":"D."}],"accessed":{"date-parts":[["2021",1,9]]},"issued":{"date-parts":[["2013",10]]}}},{"id":51,"uris":["http://zotero.org/users/7388323/items/2398EYZF"],"uri":["http://zotero.org/users/7388323/items/2398EYZF"],"itemData":{"id":51,"type":"article-journal","abstract":"Aim The study included investigation of factors determining suboptimal adjuvant chemotherapy of patients diagnosed with Stage III colon cancer.","container-title":"Colorectal Disease","DOI":"10.1111/codi.12288","ISSN":"14628910","issue":"10","journalAbbreviation":"Colorectal Dis","language":"en","page":"e582-e591","source":"DOI.org (Crossref)","title":"Complicated postoperative recovery increases omission, delay and discontinuation of adjuvant chemotherapy in patients with Stage III colon cancer","URL":"http://doi.wiley.com/10.1111/codi.12288","volume":"15","author":[{"family":"Geest","given":"L. G. M.","non-dropping-particle":"van der"},{"family":"Portielje","given":"J. E. A."},{"family":"Wouters","given":"M. W. J. M."},{"family":"Weijl","given":"N. I."},{"family":"Tanis","given":"B. C."},{"family":"Tollenaar","given":"R. A. E. M."},{"family":"Struikmans","given":"H."},{"family":"Nortier","given":"J. W. R."},{"literal":"all nine hospitals in the Leiden region of the Comprehensive Cancer Centre The Netherlands (CCCNL)"}],"accessed":{"date-parts":[["2021",1,9]]},"issued":{"date-parts":[["2013",10]]}}},{"id":52,"uris":["http://zotero.org/users/7388323/items/YGZTTWBL"],"uri":["http://zotero.org/users/7388323/items/YGZTTWBL"],"itemData":{"id":52,"type":"article-journal","abstract":"Background. Perioperative treatment of patients with colorectal cancer according to the Enhanced Recovery After Surgery (ERAS) protocol has proven to reduce complications and duration of stay. However, strict adherence remains a challenge and the beneﬁts may decrease with lower adherence. In this study, we report on 8 years of adherence to the ERAS protocol and its effect on postoperative outcome in patients with colon cancer.\nMethods. In 2006, the ERAS protocol was introduced for treatment of colon cancer patients in the Medical Center Alkmaar, a large teaching hospital. Patients scheduled for elective colon cancer resection were included in this study. Adherence to ERAS items was monitored and along with clinical data prospectively gathered in a database. In 2011, several measures to improve adherence were implemented.\nResults. In total, 816 patients were included. Mean adherence rate was 73% in 2006 and 2007, 66% in 2008 and 2009, 63% in 2010 and 2011, and 82% in 2012 and 2013. There was a shorter duration of stay in the years with high adherence (5.7 days) compared with the years with low adherence (7.3 days; P &lt; .001). The ERAS items that were the strongest predictors for a shorter duration of stay were no nasogastric tube, early mobilization, early oral nutrition, early removal of epidural, early removal of catheter, and nonopioid oral analgesia.\nConclusion. It is possible to improve adherence to the ERAS protocol and related outcomes with speciﬁc measures. Adherence to the ERAS protocol was related inversely to duration of stay. Only postoperative items of the ERAS protocol were predictive for a shorter duration of stay. Keeping adherence optimal remains an ongoing challenge that requires repeated training and dedicated personnel. (Surgery 2015;j:j-j.)","container-title":"Surgery","DOI":"10.1016/j.surg.2015.01.016","ISSN":"00396060","issue":"6","journalAbbreviation":"Surgery","language":"en","page":"1130-1136","source":"DOI.org (Crossref)","title":"Eight years of experience with Enhanced Recovery After Surgery in patients with colon cancer: Impact of measures to improve adherence","title-short":"Eight years of experience with Enhanced Recovery After Surgery in patients with colon cancer","URL":"https://linkinghub.elsevier.com/retrieve/pii/S0039606015000628","volume":"157","author":[{"family":"Bakker","given":"Nathalie"},{"family":"Cakir","given":"Hamit"},{"family":"Doodeman","given":"H.J."},{"family":"Houdijk","given":"A.P.J."}],"accessed":{"date-parts":[["2021",1,9]]},"issued":{"date-parts":[["2015",6]]}}},{"id":50,"uris":["http://zotero.org/users/7388323/items/VA6WWCZC"],"uri":["http://zotero.org/users/7388323/items/VA6WWCZC"],"itemData":{"id":50,"type":"article-journal","abstract":"Purpose: Surgery for colorectal malignancy is increasingly being performed in the elderly. Little is known about the impact of complications on late mortality. This study aimed to analyze whether a complicated postoperative course affects the 1-year survival in elderly patients.\nMethods: All consecutive patients older than 75 years of age who underwent colorectal cancer surgery between January 2009 and April 2013 were included in this study. The main outcome was mortality at 1 year after surgery. Logistic regression analyses were performed to determine risk factors for a poor outcome (mortality) after survival of the early postoperative course of surgery at 1-year follow-up. Patients who died within 30 days postoperatively were excluded from analysis.\nResults: The early mortality rate was 6.3% (n = 15), and 2 patients died during follow-up as a result of complications after a second surgery. A total of 223 patients survived the perioperative period and were included in this study. Twenty-two patients (9.9%) died during the first year of follow-up. Stage IV disease (P = 0.002), complications of primary surgery (P = 0.016), and comorbidity (P = 0.050) were risk factors for 1-year mortality. Intensive care unit stay, reoperation and readmission were not associated with a worse 1-year outcome.\nConclusion: Elderly patients with stage IV disease at the time of surgery, comorbidity, and postoperative complications are at risk for mortality during the first year after surgery. A patient-tailored approach with special attention to perioperative care should be considered in the elderly.","container-title":"Annals of Coloproctology","DOI":"10.3393/ac.2017.33.4.134","ISSN":"2287-9714, 2287-9722","issue":"4","journalAbbreviation":"Ann Coloproctol","language":"en","page":"134-138","source":"DOI.org (Crossref)","title":"The First Year After Colorectal Surgery in the Elderly","URL":"http://coloproctol.org/journal/view.php?doi=10.3393/ac.2017.33.4.134","volume":"33","author":[{"family":"Kornmann","given":"Verena N.N."},{"family":"Vugt","given":"Jeroen L.A.","non-dropping-particle":"van"},{"family":"Smits","given":"Anke B."},{"family":"Ramshorst","given":"Bert","non-dropping-particle":"van"},{"family":"Boerma","given":"Djamila"}],"accessed":{"date-parts":[["2021",1,10]]},"issued":{"date-parts":[["2017",8,31]]}}}],"schema":"https://github.com/citation-style-language/schema/raw/master/csl-citation.json"} </w:instrText>
      </w:r>
      <w:r w:rsidRPr="00145B66">
        <w:rPr>
          <w:rFonts w:ascii="Times New Roman" w:hAnsi="Times New Roman"/>
          <w:sz w:val="28"/>
          <w:szCs w:val="28"/>
        </w:rPr>
        <w:fldChar w:fldCharType="separate"/>
      </w:r>
      <w:r w:rsidRPr="00145B66">
        <w:rPr>
          <w:rFonts w:ascii="Times New Roman" w:hAnsi="Times New Roman"/>
          <w:sz w:val="28"/>
          <w:szCs w:val="24"/>
        </w:rPr>
        <w:t>[7-11]</w:t>
      </w:r>
      <w:r w:rsidRPr="00145B66">
        <w:rPr>
          <w:rFonts w:ascii="Times New Roman" w:hAnsi="Times New Roman"/>
          <w:sz w:val="28"/>
          <w:szCs w:val="28"/>
        </w:rPr>
        <w:fldChar w:fldCharType="end"/>
      </w:r>
      <w:r w:rsidRPr="00145B66">
        <w:rPr>
          <w:rFonts w:ascii="Times New Roman" w:hAnsi="Times New Roman"/>
          <w:sz w:val="28"/>
          <w:szCs w:val="28"/>
        </w:rPr>
        <w:t>.</w:t>
      </w:r>
    </w:p>
    <w:p w14:paraId="494C1916"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rPr>
        <w:t xml:space="preserve">Последние десятилетия были посвящены изучению осложнений, напрямую связанные с хирургическим вмешательством, как несостоятельность анастомоза, кишечная непроходимость, перитонит и кровотечение </w:t>
      </w:r>
      <w:r w:rsidRPr="00145B66">
        <w:rPr>
          <w:rFonts w:ascii="Times New Roman" w:hAnsi="Times New Roman"/>
          <w:sz w:val="28"/>
          <w:szCs w:val="28"/>
        </w:rPr>
        <w:fldChar w:fldCharType="begin"/>
      </w:r>
      <w:r w:rsidRPr="00145B66">
        <w:rPr>
          <w:rFonts w:ascii="Times New Roman" w:hAnsi="Times New Roman"/>
          <w:sz w:val="28"/>
          <w:szCs w:val="28"/>
        </w:rPr>
        <w:instrText xml:space="preserve"> ADDIN ZOTERO_ITEM CSL_CITATION {"citationID":"a16vfqiv018","properties":{"formattedCitation":"[12\\uc0\\u8211{}15]","plainCitation":"[12–15]","noteIndex":0},"citationItems":[{"id":49,"uris":["http://zotero.org/users/7388323/items/4LUZRG3P"],"uri":["http://zotero.org/users/7388323/items/4LUZRG3P"],"itemData":{"id":49,"type":"article-journal","abstract":"Background: This study aimed to investigate the impact of postoperative complications on long-term survival and disease recurrence in patients who underwent curative resection for colorectal cancer.\nMethod: Patients who underwent radical resection for colorectal cancer with curative intent from January 1996 to December 2004 were included. Operative mortality and morbidity were documented prospectively. Factors that might affect long-term outcome were analyzed with multivariate analysis.\nResults: Curative resection was performed in 1657 patients (943 men), and the median age was 70 years (range: 24–94 years). The 30-day mortality was 2.4%, and the complication rate was 27.3%. Age over 70 years (P &lt; .001, odds ratio: 2.06, 95% CI: 1.63–2.61), male gender (P = .001, odds ratio: 1.49, 95% CI: 1.19–1.88), emergency operation (P &lt; .001, odds ratio: 3.14, 95% CI: 2.26–4.35) and rectal cancer (P &lt; .001, odds ratio: 1.41, 95% CI: 1.25–1.61) were associated with a significantly higher complication rate. With exclusion of patients who died within 30 days, the median follow-up of the surviving patients was 45.3 months. The 5-year overall survival was 64.9%, and the overall recurrence rate was 29.1%. The presence of postoperative complications was an independent factor associated with a worse overall survival (P = .023, hazard ratio: 1.26; 95% CI: 1.03–1.52) and a higher overall recurrence rate (P = .04, hazard ratio: 1.26; 95% CI: 1.01–1.57).\nConclusion: The presence of postoperative complication not only affects the short-term results of resection of colorectal cancer, but the long-term oncologic outcomes are also adversely affected. Long-term outcomes can be improved with efforts to reduce postoperative complications.","container-title":"Annals of Surgical Oncology","DOI":"10.1245/s10434-007-9434-4","ISSN":"1068-9265, 1534-4681","issue":"9","journalAbbreviation":"Ann Surg Oncol","language":"en","page":"2559-2566","source":"DOI.org (Crossref)","title":"The Impact of Postoperative Complications on Long-Term Outcomes Following Curative Resection for Colorectal Cancer","URL":"http://link.springer.com/10.1245/s10434-007-9434-4","volume":"14","author":[{"family":"Law","given":"Wai Lun"},{"family":"Choi","given":"Hok Kwok"},{"family":"Lee","given":"Yee Man"},{"family":"Ho","given":"Judy WC"}],"accessed":{"date-parts":[["2021",1,10]]},"issued":{"date-parts":[["2007",9,10]]}}},{"id":48,"uris":["http://zotero.org/users/7388323/items/KXZWLJVP"],"uri":["http://zotero.org/users/7388323/items/KXZWLJVP"],"itemData":{"id":48,"type":"article-journal","container-title":"Colorectal Disease","DOI":"10.1111/codi.12757","ISSN":"14628910","issue":"2","journalAbbreviation":"Colorectal Dis","language":"en","page":"141-149","source":"DOI.org (Crossref)","title":"Major postoperative complications following elective resection for colorectal cancer decrease long-term survival but not the time to recurrence","URL":"http://doi.wiley.com/10.1111/codi.12757","volume":"17","author":[{"family":"Odermatt","given":"M."},{"family":"Miskovic","given":"D."},{"family":"Flashman","given":"K."},{"family":"Khan","given":"J."},{"family":"Senapati","given":"A."},{"family":"O'Leary","given":"D."},{"family":"Thompson","given":"M."},{"family":"Parvaiz","given":"A."}],"accessed":{"date-parts":[["2021",1,10]]},"issued":{"date-parts":[["2015",2]]}}},{"id":47,"uris":["http://zotero.org/users/7388323/items/SPTV2MQI"],"uri":["http://zotero.org/users/7388323/items/SPTV2MQI"],"itemData":{"id":47,"type":"article-journal","container-title":"Archives of Surgery","DOI":"10.1001/archsurg.140.3.278","ISSN":"0004-0010","issue":"3","journalAbbreviation":"Arch Surg","language":"en","page":"278","source":"DOI.org (Crossref)","title":"Postoperative Mortality and Morbidity in French Patients Undergoing Colorectal Surgery: Results of a Prospective Multicenter Study","title-short":"Postoperative Mortality and Morbidity in French Patients Undergoing Colorectal Surgery","URL":"http://archsurg.jamanetwork.com/article.aspx?doi=10.1001/archsurg.140.3.278","volume":"140","author":[{"family":"Alves","given":"Arnaud"}],"accessed":{"date-parts":[["2021",1,10]]},"issued":{"date-parts":[["2005",3,1]]}}},{"id":46,"uris":["http://zotero.org/users/7388323/items/TD6YNTI7"],"uri":["http://zotero.org/users/7388323/items/TD6YNTI7"],"itemData":{"id":46,"type":"article-journal","abstract":"BACKGROUND: Mortality following severe complications (failure-to-rescue, FTR) is targeted in surgical quality improvement projects. Rates may differ between colon- and rectal cancer resections.\nMETHODS: Analysis of patients undergoing elective colon and rectal cancer resections registered in the Dutch Surgical Colorectal Audit in 2011-2012. Severe complication- and FTR rates were compared between the groups in univariate and multivariate analysis.\nRESULTS: Colon cancer (CC) patients (n = 10,184) were older and had more comorbidity. Rectal cancer (RC) patients (n = 4,906) less often received an anastomosis and had more diverting stomas. Complication rates were higher in RC patients (24.8% vs. 18.3%, P &lt; 0.001). However, FTR rates were higher in CC patients (18.6% vs. 9.4%, P &lt; 0.001). Particularly, FTR associated with anastomotic leakage, postoperative bleeding, and infections was higher in CC patients. Adjusted for casemix, CC patients had a twofold risk of FTR compared to RC patients (OR 1.89, 95% CI 1.06-3.37).\nCONCLUSIONS: Severe complication rates were lower in CC patients than in RC patients; however, the risk of dying following a severe complication was twice as high in CC patients, regardless of differences in characteristics between the groups. Efforts should be made to improve recognition and management of postoperative (non-)surgical complications, especially in colon cancer surgery.","container-title":"Journal of Surgical Oncology","DOI":"10.1002/jso.23532","ISSN":"1096-9098","issue":"6","journalAbbreviation":"J Surg Oncol","language":"eng","note":"PMID: 24338627","page":"567-573","source":"PubMed","title":"Safety of elective colorectal cancer surgery: non-surgical complications and colectomies are targets for quality improvement","title-short":"Safety of elective colorectal cancer surgery","volume":"109","author":[{"family":"Henneman","given":"Daniel"},{"family":"Ten Berge","given":"Martijn G."},{"family":"Snijders","given":"Heleen S."},{"family":"Leersum","given":"Nicoline J.","non-dropping-particle":"van"},{"family":"Fiocco","given":"Marta"},{"family":"Wiggers","given":"Theo"},{"family":"Tollenaar","given":"Rob A. E. M."},{"family":"Wouters","given":"Michel W. J. M."},{"literal":"Dutch Surgical Colorectal Audit Group"}],"issued":{"date-parts":[["2014",5]]}}}],"schema":"https://github.com/citation-style-language/schema/raw/master/csl-citation.json"} </w:instrText>
      </w:r>
      <w:r w:rsidRPr="00145B66">
        <w:rPr>
          <w:rFonts w:ascii="Times New Roman" w:hAnsi="Times New Roman"/>
          <w:sz w:val="28"/>
          <w:szCs w:val="28"/>
        </w:rPr>
        <w:fldChar w:fldCharType="separate"/>
      </w:r>
      <w:r w:rsidRPr="00145B66">
        <w:rPr>
          <w:rFonts w:ascii="Times New Roman" w:hAnsi="Times New Roman"/>
          <w:sz w:val="28"/>
          <w:szCs w:val="24"/>
        </w:rPr>
        <w:t>[12-1</w:t>
      </w:r>
      <w:r>
        <w:rPr>
          <w:rFonts w:ascii="Times New Roman" w:hAnsi="Times New Roman"/>
          <w:sz w:val="28"/>
          <w:szCs w:val="24"/>
        </w:rPr>
        <w:t>6</w:t>
      </w:r>
      <w:r w:rsidRPr="00145B66">
        <w:rPr>
          <w:rFonts w:ascii="Times New Roman" w:hAnsi="Times New Roman"/>
          <w:sz w:val="28"/>
          <w:szCs w:val="24"/>
        </w:rPr>
        <w:t>]</w:t>
      </w:r>
      <w:r w:rsidRPr="00145B66">
        <w:rPr>
          <w:rFonts w:ascii="Times New Roman" w:hAnsi="Times New Roman"/>
          <w:sz w:val="28"/>
          <w:szCs w:val="28"/>
        </w:rPr>
        <w:fldChar w:fldCharType="end"/>
      </w:r>
      <w:r w:rsidRPr="00145B66">
        <w:rPr>
          <w:rFonts w:ascii="Times New Roman" w:hAnsi="Times New Roman"/>
          <w:sz w:val="28"/>
          <w:szCs w:val="28"/>
        </w:rPr>
        <w:t>. Также детально изучены осложнения инфекционного генеза</w:t>
      </w:r>
      <w:r w:rsidRPr="00145B66">
        <w:rPr>
          <w:rFonts w:ascii="Times New Roman" w:hAnsi="Times New Roman"/>
          <w:sz w:val="28"/>
          <w:szCs w:val="28"/>
          <w:lang w:val="kk-KZ"/>
        </w:rPr>
        <w:t xml:space="preserve"> </w:t>
      </w:r>
      <w:r w:rsidRPr="00145B66">
        <w:rPr>
          <w:rFonts w:ascii="Times New Roman" w:hAnsi="Times New Roman"/>
          <w:sz w:val="28"/>
          <w:szCs w:val="28"/>
          <w:lang w:val="kk-KZ"/>
        </w:rPr>
        <w:fldChar w:fldCharType="begin"/>
      </w:r>
      <w:r w:rsidRPr="00145B66">
        <w:rPr>
          <w:rFonts w:ascii="Times New Roman" w:hAnsi="Times New Roman"/>
          <w:sz w:val="28"/>
          <w:szCs w:val="28"/>
          <w:lang w:val="kk-KZ"/>
        </w:rPr>
        <w:instrText xml:space="preserve"> ADDIN ZOTERO_ITEM CSL_CITATION {"citationID":"a1jfr17uodt","properties":{"formattedCitation":"[16]","plainCitation":"[16]","noteIndex":0},"citationItems":[{"id":19,"uris":["http://zotero.org/users/7388323/items/WU96GUY3"],"uri":["http://zotero.org/users/7388323/items/WU96GUY3"],"itemData":{"id":19,"type":"article-journal","abstract":"INTRODUCTION: Predicting long-term survival and cancer recurrence in patients with colorectal cancer is difficult because of the many factors that may affect the prognosis. This study investigated the prognostic significance of postoperative infections for patient outcome.\nMETHODS: From an electronic database we selected 192 patients undergoing elective radical surgery for Dukes' stage B and C colorectal adenocarcinoma. The five-year survival rates were analyzed by the Kaplan-Meier method. Univariate and multivariate analyses were carried out to evaluate the potential prognostic variables using the Cox proportional hazard model.\nRESULTS: Forty-three patients developed deep incisional or organ/space surgical site infections, while the remaining 149 were complication free. The two groups were comparable for baseline, surgical and histopathological characteristics. At univariate analysis, Dukes' stage and infections were negative prognostic factors, while peritumoral infiltration of lymphocytes and eosinophils and fibrotic tissue appeared as protective variables. However, multivariate analysis showed that only Dukes' stage (P = 0.048) and occurrence of postoperative infectious complications (P = 0.011) were independently associated with outcome. In patients with infectious complications, the survival rate was significantly lower than in patients without infections (log-rank = 0.0004).\nCONCLUSIONS: The present results suggest the importance of evaluating other variables besides tumor stage in the prediction of long-term outcome. In prognostic studies more attention should be paid to postoperative infections.","container-title":"Tumori","ISSN":"0300-8916","issue":"5","journalAbbreviation":"Tumori","language":"eng","note":"PMID: 15656334","page":"485-490","source":"PubMed","title":"Correlation between postoperative infections and long-term survival after colorectal resection for cancer","volume":"90","author":[{"family":"Nespoli","given":"Angelo"},{"family":"Gianotti","given":"Luca"},{"family":"Totis","given":"Mauro"},{"family":"Bovo","given":"Giorgio"},{"family":"Nespoli","given":"Luca"},{"family":"Chiodini","given":"Paolo"},{"family":"Brivio","given":"Ferdinando"}],"issued":{"date-parts":[["2004",10]]}}}],"schema":"https://github.com/citation-style-language/schema/raw/master/csl-citation.json"} </w:instrText>
      </w:r>
      <w:r w:rsidRPr="00145B66">
        <w:rPr>
          <w:rFonts w:ascii="Times New Roman" w:hAnsi="Times New Roman"/>
          <w:sz w:val="28"/>
          <w:szCs w:val="28"/>
          <w:lang w:val="kk-KZ"/>
        </w:rPr>
        <w:fldChar w:fldCharType="separate"/>
      </w:r>
      <w:r w:rsidRPr="00145B66">
        <w:rPr>
          <w:rFonts w:ascii="Times New Roman" w:hAnsi="Times New Roman"/>
          <w:sz w:val="28"/>
        </w:rPr>
        <w:t>[1</w:t>
      </w:r>
      <w:r>
        <w:rPr>
          <w:rFonts w:ascii="Times New Roman" w:hAnsi="Times New Roman"/>
          <w:sz w:val="28"/>
        </w:rPr>
        <w:t>7</w:t>
      </w:r>
      <w:r w:rsidRPr="00145B66">
        <w:rPr>
          <w:rFonts w:ascii="Times New Roman" w:hAnsi="Times New Roman"/>
          <w:sz w:val="28"/>
        </w:rPr>
        <w:t>]</w:t>
      </w:r>
      <w:r w:rsidRPr="00145B66">
        <w:rPr>
          <w:rFonts w:ascii="Times New Roman" w:hAnsi="Times New Roman"/>
          <w:sz w:val="28"/>
          <w:szCs w:val="28"/>
          <w:lang w:val="kk-KZ"/>
        </w:rPr>
        <w:fldChar w:fldCharType="end"/>
      </w:r>
      <w:r w:rsidRPr="00145B66">
        <w:rPr>
          <w:rFonts w:ascii="Times New Roman" w:hAnsi="Times New Roman"/>
          <w:sz w:val="28"/>
          <w:szCs w:val="28"/>
        </w:rPr>
        <w:t>. Данные осложнения</w:t>
      </w:r>
      <w:r>
        <w:rPr>
          <w:rFonts w:ascii="Times New Roman" w:hAnsi="Times New Roman"/>
          <w:sz w:val="28"/>
          <w:szCs w:val="28"/>
        </w:rPr>
        <w:t>,</w:t>
      </w:r>
      <w:r w:rsidRPr="00145B66">
        <w:rPr>
          <w:rFonts w:ascii="Times New Roman" w:hAnsi="Times New Roman"/>
          <w:sz w:val="28"/>
          <w:szCs w:val="28"/>
        </w:rPr>
        <w:t xml:space="preserve"> в большинстве случаев</w:t>
      </w:r>
      <w:r>
        <w:rPr>
          <w:rFonts w:ascii="Times New Roman" w:hAnsi="Times New Roman"/>
          <w:sz w:val="28"/>
          <w:szCs w:val="28"/>
        </w:rPr>
        <w:t>,</w:t>
      </w:r>
      <w:r w:rsidRPr="00145B66">
        <w:rPr>
          <w:rFonts w:ascii="Times New Roman" w:hAnsi="Times New Roman"/>
          <w:sz w:val="28"/>
          <w:szCs w:val="28"/>
        </w:rPr>
        <w:t xml:space="preserve"> возникают в раннем послеоперационном периоде. Нарушения, возникающие в течение первого года после операции имеют функциональный характер и связаны с адаптацией к новому анатомо-функциональному состоянию, снижению абсорбционной поверхности кишечника, изменениями микробиоты </w:t>
      </w:r>
      <w:r w:rsidRPr="00145B66">
        <w:rPr>
          <w:rFonts w:ascii="Times New Roman" w:hAnsi="Times New Roman"/>
          <w:sz w:val="28"/>
          <w:szCs w:val="28"/>
        </w:rPr>
        <w:fldChar w:fldCharType="begin"/>
      </w:r>
      <w:r w:rsidRPr="00145B66">
        <w:rPr>
          <w:rFonts w:ascii="Times New Roman" w:hAnsi="Times New Roman"/>
          <w:sz w:val="28"/>
          <w:szCs w:val="28"/>
        </w:rPr>
        <w:instrText xml:space="preserve"> ADDIN ZOTERO_ITEM CSL_CITATION {"citationID":"a2nksteh7ph","properties":{"formattedCitation":"[17\\uc0\\u8211{}19]","plainCitation":"[17–19]","noteIndex":0},"citationItems":[{"id":826,"uris":["http://zotero.org/users/7388323/items/SKN2X3NF"],"uri":["http://zotero.org/users/7388323/items/SKN2X3NF"],"itemData":{"id":826,"type":"article","title":"metabolizm-lipidov-mikrobiotsenoz-kishechnika-i-endotoksinemiya-u-pozhilyh-bolnyh-posle-gemikolektomii (1).pdf"}},{"id":163,"uris":["http://zotero.org/users/7388323/items/K2WAYMIA"],"uri":["http://zotero.org/users/7388323/items/K2WAYMIA"],"itemData":{"id":163,"type":"article-journal","abstract":"Objectives: After subtotal colectomy, 40% of patients report chronic gastrointestinal symptoms and poor quality of life. Its etiology is unknown. We determined whether small intestinal bacterial overgrowth (SIBO) or small intestinal fungal overgrowth (SIFO) cause gastrointestinal symptoms after colectomy.\nMethods: Consecutive patients with unexplained abdominal pain, gas, bloating and diarrhea (&gt;1 year), and without colectomy (controls), and with colectomy were evaluated with symptom questionnaires, glucose breath test (GBT) and/or duodenal aspiration/culture. Baseline symptoms, prevalence of SIBO/SIFO, and response to treatment were compared between groups.\nResults: Fifty patients with colectomy and 50 controls were evaluated. A signiﬁcantly higher (p = 0.005) proportion of patients with colectomy, 31/50 (62%) had SIBO compared to controls 16/50 (32%). Patients with colectomy had signiﬁcantly higher (p = 0.017) prevalence of mixed SIBO/SIFO 12/50 (24%) compared to controls 4/50 (8%). SIFO prevalence was higher in colectomy but not signiﬁcant (p = 0.08). There was higher prevalence of aerobic organisms together with decreased anaerobic and mixed organisms in the colectomy group compared to controls (p = 0.008). Patients with colectomy reported signiﬁcantly greater severity of diarrhea (p = 0.029), vomiting (p &lt; 0.001), and abdominal pain (p = 0.05) compared to controls, at baseline. After antibiotics, 74% of patients with SIBO/SIFO in the colectomy and 69% in the control group improved (p = 0.69).\nConclusion: Patients with colectomy demonstrate signiﬁcantly higher prevalence of SIBO/SIFO and greater severity of gastrointestinal symptoms. Colectomy is a risk factor for SIBO/SIFO. 1234567890():,;","container-title":"Clinical and Translational Gastroenterology","DOI":"10.1038/s41424-018-0011-x","ISSN":"2155-384X","issue":"4","journalAbbreviation":"Clinical and Translational Gastroenterology","language":"en","page":"e146","source":"DOI.org (Crossref)","title":"Does colectomy predispose to small intestinal bacterial (SIBO) and fungal overgrowth (SIFO)?:","title-short":"Does colectomy predispose to small intestinal bacterial (SIBO) and fungal overgrowth (SIFO)?","URL":"http://journals.lww.com/01720094-201804000-00005","volume":"9","author":[{"family":"Rao","given":"Satish S. C."},{"family":"Tan","given":"George"},{"family":"Abdulla","given":"Hamza"},{"family":"Yu","given":"Siegfried"},{"family":"Larion","given":"Sebastian"},{"family":"Leelasinjaroen","given":"Pornchai"}],"accessed":{"date-parts":[["2020",7,15]]},"issued":{"date-parts":[["2018",4]]}}},{"id":821,"uris":["http://zotero.org/users/7388323/items/TTAI3L8A"],"uri":["http://zotero.org/users/7388323/items/TTAI3L8A"],"itemData":{"id":821,"type":"webpage","title":"Костюченко Л.Н., Кузьмина Т.Н. Нутриционная поддержка при последствиях обширных резекций кишечника // Национальное руководство по нутрициологии. 2013. С. 563–584","URL":"https://umedp.ru/articles/nutritsionnaya_podderzhka_posle_obshirnykh_rezektsiy_kishechnika_novye_podkhody.html","accessed":{"date-parts":[["2021",1,26]]}}}],"schema":"https://github.com/citation-style-language/schema/raw/master/csl-citation.json"} </w:instrText>
      </w:r>
      <w:r w:rsidRPr="00145B66">
        <w:rPr>
          <w:rFonts w:ascii="Times New Roman" w:hAnsi="Times New Roman"/>
          <w:sz w:val="28"/>
          <w:szCs w:val="28"/>
        </w:rPr>
        <w:fldChar w:fldCharType="separate"/>
      </w:r>
      <w:r w:rsidRPr="00145B66">
        <w:rPr>
          <w:rFonts w:ascii="Times New Roman" w:hAnsi="Times New Roman"/>
          <w:sz w:val="28"/>
          <w:szCs w:val="24"/>
        </w:rPr>
        <w:t>[</w:t>
      </w:r>
      <w:r>
        <w:rPr>
          <w:rFonts w:ascii="Times New Roman" w:hAnsi="Times New Roman"/>
          <w:sz w:val="28"/>
          <w:szCs w:val="24"/>
        </w:rPr>
        <w:t>18-24</w:t>
      </w:r>
      <w:r w:rsidRPr="00145B66">
        <w:rPr>
          <w:rFonts w:ascii="Times New Roman" w:hAnsi="Times New Roman"/>
          <w:sz w:val="28"/>
          <w:szCs w:val="24"/>
        </w:rPr>
        <w:t>]</w:t>
      </w:r>
      <w:r w:rsidRPr="00145B66">
        <w:rPr>
          <w:rFonts w:ascii="Times New Roman" w:hAnsi="Times New Roman"/>
          <w:sz w:val="28"/>
          <w:szCs w:val="28"/>
        </w:rPr>
        <w:fldChar w:fldCharType="end"/>
      </w:r>
      <w:r w:rsidRPr="00145B66">
        <w:rPr>
          <w:rFonts w:ascii="Times New Roman" w:hAnsi="Times New Roman"/>
          <w:sz w:val="28"/>
          <w:szCs w:val="28"/>
        </w:rPr>
        <w:t xml:space="preserve">. </w:t>
      </w:r>
    </w:p>
    <w:p w14:paraId="076B4D58"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rPr>
        <w:t xml:space="preserve">При динамическом наблюдении больных внимание онкологов сфокусировано на выявлении рецидивов рака, между тем в реабилитационном периоде больные страдают дисфункцией ободочной кишки </w:t>
      </w:r>
      <w:r w:rsidRPr="00145B66">
        <w:rPr>
          <w:rFonts w:ascii="Times New Roman" w:hAnsi="Times New Roman"/>
          <w:sz w:val="28"/>
          <w:szCs w:val="28"/>
        </w:rPr>
        <w:fldChar w:fldCharType="begin"/>
      </w:r>
      <w:r w:rsidRPr="00145B66">
        <w:rPr>
          <w:rFonts w:ascii="Times New Roman" w:hAnsi="Times New Roman"/>
          <w:sz w:val="28"/>
          <w:szCs w:val="28"/>
        </w:rPr>
        <w:instrText xml:space="preserve"> ADDIN ZOTERO_ITEM CSL_CITATION {"citationID":"a25umvbc8n4","properties":{"formattedCitation":"[20]","plainCitation":"[20]","noteIndex":0},"citationItems":[{"id":875,"uris":["http://zotero.org/users/7388323/items/UJX6F4PR"],"uri":["http://zotero.org/users/7388323/items/UJX6F4PR"],"itemData":{"id":875,"type":"article-journal","abstract":"PURPOSE: This population-level study was conducted to define the health-related quality of life (HRQL) of individuals living with and beyond colorectal cancer (CRC) and to identify factors associated with poor health outcomes.\nPATIENTS AND METHODS: All individuals diagnosed with CRC in England in 2010 and 2011 who were alive 12 to 36 months after diagnosis were sent a questionnaire. This included questions related to treatment, disease status, other long-term conditions (LTCs), generic HRQL (EuroQol-5D), and cancer-specific outcomes (Functional Assessment of Cancer Therapy and Social Difficulties Inventory items).\nRESULTS: The response rate was 63.3% (21,802 of 34,467 patients). One or more generic health problems were reported by 65% of respondents, with 10% of patients reporting problems in all five domains. The reporting of problems was higher than in the general population and was most marked in those age less than 55 years. Certain subgroups reported a higher number of problems, notably those with one or more other LTCs, those with active or recurrent disease, those with a stoma, and those at the extremes of the age range (&lt; 55 and &gt; 85 years). Of respondents without a stoma, 16.3% reported no bowel control. Reversal of a stoma resulted in fewer severe bowel problems but more moderate problems than those who had never had a stoma. A quarter of rectal cancer respondents (25.1%) reported difficulties with sexual matters (compared with 11.2% of colon cancer respondents).\nCONCLUSION: This study demonstrates the success of a national patient-reported outcomes survey. The results have the potential to support system-wide improvement in health outcomes through the identification of particular challenges faced by individuals after treatment for CRC.","container-title":"Journal of Clinical Oncology: Official Journal of the American Society of Clinical Oncology","DOI":"10.1200/JCO.2014.56.6539","ISSN":"1527-7755","issue":"6","journalAbbreviation":"J Clin Oncol","language":"eng","note":"PMID: 25559806","page":"616-624","source":"PubMed","title":"Health-related quality of life after colorectal cancer in England: a patient-reported outcomes study of individuals 12 to 36 months after diagnosis","title-short":"Health-related quality of life after colorectal cancer in England","volume":"33","author":[{"family":"Downing","given":"Amy"},{"family":"Morris","given":"Eva J. A."},{"family":"Richards","given":"Mike"},{"family":"Corner","given":"Jessica"},{"family":"Wright","given":"Penny"},{"family":"Sebag-Montefiore","given":"David"},{"family":"Finan","given":"Paul"},{"family":"Kind","given":"Paul"},{"family":"Wood","given":"Charlotte"},{"family":"Lawton","given":"Sarah"},{"family":"Feltbower","given":"Richard"},{"family":"Wagland","given":"Richard"},{"family":"Vernon","given":"Sally"},{"family":"Thomas","given":"James"},{"family":"Glaser","given":"Adam W."}],"issued":{"date-parts":[["2015",2,20]]}}}],"schema":"https://github.com/citation-style-language/schema/raw/master/csl-citation.json"} </w:instrText>
      </w:r>
      <w:r w:rsidRPr="00145B66">
        <w:rPr>
          <w:rFonts w:ascii="Times New Roman" w:hAnsi="Times New Roman"/>
          <w:sz w:val="28"/>
          <w:szCs w:val="28"/>
        </w:rPr>
        <w:fldChar w:fldCharType="separate"/>
      </w:r>
      <w:r w:rsidRPr="00145B66">
        <w:rPr>
          <w:rFonts w:ascii="Times New Roman" w:hAnsi="Times New Roman"/>
          <w:sz w:val="28"/>
        </w:rPr>
        <w:t>[2</w:t>
      </w:r>
      <w:r>
        <w:rPr>
          <w:rFonts w:ascii="Times New Roman" w:hAnsi="Times New Roman"/>
          <w:sz w:val="28"/>
        </w:rPr>
        <w:t>5</w:t>
      </w:r>
      <w:r w:rsidRPr="00145B66">
        <w:rPr>
          <w:rFonts w:ascii="Times New Roman" w:hAnsi="Times New Roman"/>
          <w:sz w:val="28"/>
        </w:rPr>
        <w:t>]</w:t>
      </w:r>
      <w:r w:rsidRPr="00145B66">
        <w:rPr>
          <w:rFonts w:ascii="Times New Roman" w:hAnsi="Times New Roman"/>
          <w:sz w:val="28"/>
          <w:szCs w:val="28"/>
        </w:rPr>
        <w:fldChar w:fldCharType="end"/>
      </w:r>
      <w:r w:rsidRPr="00145B66">
        <w:rPr>
          <w:rFonts w:ascii="Times New Roman" w:hAnsi="Times New Roman"/>
          <w:sz w:val="28"/>
          <w:szCs w:val="28"/>
        </w:rPr>
        <w:t xml:space="preserve">. </w:t>
      </w:r>
    </w:p>
    <w:p w14:paraId="3A82CF1C"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rPr>
        <w:t>Подавляющее большинство исследований были направлены на изучение функциональных последствий хирургического лечения рака прямой кишки</w:t>
      </w:r>
      <w:r>
        <w:rPr>
          <w:rFonts w:ascii="Times New Roman" w:hAnsi="Times New Roman"/>
          <w:sz w:val="28"/>
          <w:szCs w:val="28"/>
        </w:rPr>
        <w:t xml:space="preserve"> </w:t>
      </w:r>
      <w:r w:rsidRPr="00145B66">
        <w:rPr>
          <w:rFonts w:ascii="Times New Roman" w:hAnsi="Times New Roman"/>
          <w:sz w:val="28"/>
          <w:szCs w:val="28"/>
        </w:rPr>
        <w:fldChar w:fldCharType="begin"/>
      </w:r>
      <w:r w:rsidRPr="00145B66">
        <w:rPr>
          <w:rFonts w:ascii="Times New Roman" w:hAnsi="Times New Roman"/>
          <w:sz w:val="28"/>
          <w:szCs w:val="28"/>
        </w:rPr>
        <w:instrText xml:space="preserve"> ADDIN ZOTERO_ITEM CSL_CITATION {"citationID":"a2p3pst5f79","properties":{"formattedCitation":"[21\\uc0\\u8211{}24]","plainCitation":"[21–24]","noteIndex":0},"citationItems":[{"id":878,"uris":["http://zotero.org/users/7388323/items/G7SALX24"],"uri":["http://zotero.org/users/7388323/items/G7SALX24"],"itemData":{"id":878,"type":"article-journal","abstract":"AIM: There is increasing awareness of the poor functional outcome suffered by many patients after sphincter-preserving rectal resection, termed 'low anterior resection syndrome' (LARS). There is no consensus definition of LARS and varying instruments have been employed to measure functional outcome, complicating research into prevalence, contributing factors and potential therapies. We therefore aimed to describe the instruments and outcome measures used in studies of bowel dysfunction after low anterior resection and identify major themes used in the assessment of LARS.\nMETHOD: A systematic review of the literature was performed for studies published between 1986 and 2016. The instruments and outcome measures used to report bowel function after low anterior resection were extracted and their frequency of use calculated.\nRESULTS: The search revealed 128 eligible studies. These employed 18 instruments, over 30 symptoms, and follow-up time periods from 4 weeks to 14.6 years. The most frequent follow-up period was 12 months (48%). The most frequently reported outcomes were incontinence (97%), stool frequency (80%), urgency (67%), evacuatory dysfunction (47%), gas-stool discrimination (34%) and a measure of quality of life (80%). Faecal incontinence scoring systems were used frequently. The LARS score and the Bowel Function Instrument (BFI) were used in only nine studies.\nCONCLUSION: LARS is common, but there is substantial variation in the reporting of functional outcomes after low anterior resection. Most studies have focused on incontinence, omitting other symptoms that correlate with patients' quality of life. To improve and standardize research into LARS, a consensus definition should be developed, and these findings should inform this goal.","container-title":"Colorectal Disease: The Official Journal of the Association of Coloproctology of Great Britain and Ireland","DOI":"10.1111/codi.13767","ISSN":"1463-1318","issue":"8","journalAbbreviation":"Colorectal Dis","language":"eng","note":"PMID: 28612460","page":"713-722","source":"PubMed","title":"Defining low anterior resection syndrome: a systematic review of the literature","title-short":"Defining low anterior resection syndrome","volume":"19","author":[{"family":"Keane","given":"C."},{"family":"Wells","given":"C."},{"family":"O'Grady","given":"G."},{"family":"Bissett","given":"I. P."}],"issued":{"date-parts":[["2017",8]]}}},{"id":291,"uris":["http://zotero.org/users/7388323/items/55WRCC9I"],"uri":["http://zotero.org/users/7388323/items/55WRCC9I"],"itemData":{"id":291,"type":"article-journal","abstract":"OBJECTIVE: The aim of this study was to develop and validate a scoring system for bowel dysfunction after low anterior resection (LAR) for rectal cancer, on the basis of symptoms and impact on quality of life (QoL).\nBACKGROUND: LAR for rectal cancer often results in severe bowel dysfunction (LAR syndrome [LARS]) with incontinence, urgency, and frequent bowel movements. Several studies have investigated functional outcome, but the terminology is inconsistent hereby complicating comparison of results.\nMETHODS: Questionnaires regarding bowel function was sent to all 1143 LAR patients eligible for inclusion identified in the national Colorectal Cancer Database. Associations between items and QoL were computed by binomial regression analyses. The important items were selected and regression analysis was performed to find the adjusted risk ratios. Individual score values were designated items to form the LARS score, which was divided into \"no LARS,\" \"minor LARS,\" and \"major LARS.\" Validity was tested by receiver operating characteristic (ROC) curve and Spearman's rank correlation and discriminant validity was tested by Student t tests.\nRESULTS: A total of 961 patients returned completed questionnaires. The 5 most important items were \"incontinence for flatus,\" \"incontinence for liquid stools,\" \"frequency,\" \"clustering,\" and \"urgency.\" The range (0-42) was divided into 0 to 20 (no LARS), 21 to 29 (minor LARS), and 30 to 42 (major LARS). The score showed good correlation and a high sensitivity (72.54%) and specificity (82.52%) for major LARS. Discriminant validity showed significant differences between groups with and without radiotherapy (P &lt; 0.0001), tumor height more or less than 5 cm (P &lt; 0.0001), and total mesorectal excision/partial mesorectal excision (P = 0.0163).\nCONCLUSIONS: We have constructed a valid and reliable LARS score correlated to QoL--a simple tool for quick clinical evaluation of the severity of LARS.","container-title":"Annals of Surgery","DOI":"10.1097/SLA.0b013e31824f1c21","ISSN":"1528-1140","issue":"5","journalAbbreviation":"Ann. Surg.","language":"eng","note":"PMID: 22504191","page":"922-928","source":"PubMed","title":"Low anterior resection syndrome score: development and validation of a symptom-based scoring system for bowel dysfunction after low anterior resection for rectal cancer","title-short":"Low anterior resection syndrome score","volume":"255","author":[{"family":"Emmertsen","given":"Katrine J."},{"family":"Laurberg","given":"Søren"}],"issued":{"date-parts":[["2012",5]]}}},{"id":290,"uris":["http://zotero.org/users/7388323/items/9HLRWILS"],"uri":["http://zotero.org/users/7388323/items/9HLRWILS"],"itemData":{"id":290,"type":"webpage","title":"Low Anterior Resection Syndrome and Quality of Life: An International Multicenter Study - PubMed","URL":"https://pubmed.ncbi.nlm.nih.gov/24819098/","accessed":{"date-parts":[["2020",7,4]]}}},{"id":884,"uris":["http://zotero.org/users/7388323/items/5GIDISQN"],"uri":["http://zotero.org/users/7388323/items/5GIDISQN"],"itemData":{"id":884,"type":"article-journal","abstract":"Low anterior resection syndrome (LARS) commonly develops after an anal sphincter-preserving operation (SPO). The etiology of LARS is not well understood, as the anatomical components and physiological function of normal defecation, which may be damaged during the SPO, are not well established. SPOs may damage components of the anal canal (such as the internal anal sphincter, longitudinal conjoint muscle, or hiatal ligament), either mechanically or via injury to the nerves that supply these organs. The function of the rectum is substantially impaired by resection of the rectum, division of the rectococcygeus muscle, and/or injury of the nervous supply. When the remnant rectum is small and does not function properly, an important functional role may be played by the neorectum, which is usually constructed from the left side of the colon. Hypermotility of the remnant colon may affect the manifestation of urge fecal incontinence. To develop an SPO that minimizes the risk of LARS, the anatomy and physiology of the structures involved in normal defecation need to be understood better. LARS is managed similarly to fecal incontinence. In particular, management should focus on reducing colonic motility when urge fecal incontinence is the dominant symptom.","container-title":"Surgery Today","DOI":"10.1007/s00595-019-01795-9","ISSN":"1436-2813","issue":"10","journalAbbreviation":"Surg Today","language":"eng","note":"PMID: 30937634","page":"803-808","source":"PubMed","title":"Etiology and management of low anterior resection syndrome based on the normal defecation mechanism","volume":"49","author":[{"family":"Koda","given":"Keiji"},{"family":"Yamazaki","given":"Masato"},{"family":"Shuto","given":"Kiyohiko"},{"family":"Kosugi","given":"Chihiro"},{"family":"Mori","given":"Mikito"},{"family":"Narushima","given":"Kazuo"},{"family":"Hosokawa","given":"Isamu"},{"family":"Shimizu","given":"Hiroaki"}],"issued":{"date-parts":[["2019",10]]}}}],"schema":"https://github.com/citation-style-language/schema/raw/master/csl-citation.json"} </w:instrText>
      </w:r>
      <w:r w:rsidRPr="00145B66">
        <w:rPr>
          <w:rFonts w:ascii="Times New Roman" w:hAnsi="Times New Roman"/>
          <w:sz w:val="28"/>
          <w:szCs w:val="28"/>
        </w:rPr>
        <w:fldChar w:fldCharType="separate"/>
      </w:r>
      <w:r w:rsidRPr="00145B66">
        <w:rPr>
          <w:rFonts w:ascii="Times New Roman" w:hAnsi="Times New Roman"/>
          <w:sz w:val="28"/>
          <w:szCs w:val="24"/>
        </w:rPr>
        <w:t>[2</w:t>
      </w:r>
      <w:r>
        <w:rPr>
          <w:rFonts w:ascii="Times New Roman" w:hAnsi="Times New Roman"/>
          <w:sz w:val="28"/>
          <w:szCs w:val="24"/>
        </w:rPr>
        <w:t>5</w:t>
      </w:r>
      <w:r w:rsidRPr="00145B66">
        <w:rPr>
          <w:rFonts w:ascii="Times New Roman" w:hAnsi="Times New Roman"/>
          <w:sz w:val="28"/>
          <w:szCs w:val="24"/>
        </w:rPr>
        <w:t>-2</w:t>
      </w:r>
      <w:r>
        <w:rPr>
          <w:rFonts w:ascii="Times New Roman" w:hAnsi="Times New Roman"/>
          <w:sz w:val="28"/>
          <w:szCs w:val="24"/>
        </w:rPr>
        <w:t>8</w:t>
      </w:r>
      <w:r w:rsidRPr="00145B66">
        <w:rPr>
          <w:rFonts w:ascii="Times New Roman" w:hAnsi="Times New Roman"/>
          <w:sz w:val="28"/>
          <w:szCs w:val="24"/>
        </w:rPr>
        <w:t>]</w:t>
      </w:r>
      <w:r w:rsidRPr="00145B66">
        <w:rPr>
          <w:rFonts w:ascii="Times New Roman" w:hAnsi="Times New Roman"/>
          <w:sz w:val="28"/>
          <w:szCs w:val="28"/>
        </w:rPr>
        <w:fldChar w:fldCharType="end"/>
      </w:r>
      <w:r w:rsidRPr="00145B66">
        <w:rPr>
          <w:rFonts w:ascii="Times New Roman" w:hAnsi="Times New Roman"/>
          <w:sz w:val="28"/>
          <w:szCs w:val="28"/>
        </w:rPr>
        <w:t xml:space="preserve">, при этом функциональные осложнения после резекции ободочной кишки остаются малоизученными. </w:t>
      </w:r>
    </w:p>
    <w:p w14:paraId="47502A1B"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rPr>
        <w:t xml:space="preserve">Совокупность функциональных и метаболических осложнений после резекции ободочной кишки объединена под термином «постколэктомический синдром» </w:t>
      </w:r>
      <w:r w:rsidRPr="00145B66">
        <w:rPr>
          <w:rFonts w:ascii="Times New Roman" w:hAnsi="Times New Roman"/>
          <w:sz w:val="28"/>
          <w:szCs w:val="28"/>
        </w:rPr>
        <w:fldChar w:fldCharType="begin"/>
      </w:r>
      <w:r w:rsidRPr="00145B66">
        <w:rPr>
          <w:rFonts w:ascii="Times New Roman" w:hAnsi="Times New Roman"/>
          <w:sz w:val="28"/>
          <w:szCs w:val="28"/>
        </w:rPr>
        <w:instrText xml:space="preserve"> ADDIN ZOTERO_ITEM CSL_CITATION {"citationID":"a1tfinbao58","properties":{"formattedCitation":"[25,26]","plainCitation":"[25,26]","noteIndex":0},"citationItems":[{"id":793,"uris":["http://zotero.org/users/7388323/items/8AMWLPTG"],"uri":["http://zotero.org/users/7388323/items/8AMWLPTG"],"itemData":{"id":793,"type":"book","abstract":"В монографии проанализированы причины неблагоприятных исходов применения резервуарных илеоректальных анастомозов после колэктомии, положившие основу разработке и обоснованию нового способа патогенетической коррекции постколэктомических нарушений. Подробно изложены экспериментальные и клинические данные принципиальных отличий и преимуществ нового способа резервуарной конструкции. Книга адресована широкому кругу хирургов, онкологов, колопроктологов и гастроэнтерологов.","language":"ru","publisher":"Новосибирское отделение издательства \"Наука\"","source":"eLibrary.ru","title":"Хирургическая коррекция постколэктомических нарушений","URL":"https://elibrary.ru/item.asp?id=19530367","author":[{"family":"Жерлов","given":"Георгий Кириллович"},{"family":"Баширов","given":"Сергей Рафаэльевич"},{"family":"Рыжов","given":"Александр Иванович"}],"accessed":{"date-parts":[["2021",1,26]]}}},{"id":818,"uris":["http://zotero.org/users/7388323/items/BDZR7XU4"],"uri":["http://zotero.org/users/7388323/items/BDZR7XU4"],"itemData":{"id":818,"type":"article-journal","abstract":"Авторами разработан способ профилактики постколэктомического синдрома после колэктомии и передней резекции прямой кишки при двухэтапном хирургическом лечении тяжелых форм неспецифического язвенного колита и диффузного полипоза толстой кишки. Указанный способ использован у 9 больных. Послеоперационные осложнения отмечены у 2 (22,2%) больных. Применение разработанного способа позволило существенно уменьшить проявления постколэктомического синдрома после радикального этапа операции - колэктомии и передней резекции прямой кишки, уменьшить сроки выполнения и улучшить течение послеоперационного периода после восстановительного этапа операции.","container-title":"Хирургия. Журнал Им. Н.и. Пирогова","ISSN":"0023-1207, 2309-5628","issue":"4","language":"ru","source":"eLibrary.ru","title":"Метод профилактики постколэктомического синдрома","URL":"https://www.elibrary.ru/item.asp?id=13285801","author":[{"family":"Захараш","given":"М. П."},{"family":"Мельник","given":"В. М."},{"family":"Пойда","given":"А. И."}],"accessed":{"date-parts":[["2021",1,26]]},"issued":{"date-parts":[["2007"]]}}}],"schema":"https://github.com/citation-style-language/schema/raw/master/csl-citation.json"} </w:instrText>
      </w:r>
      <w:r w:rsidRPr="00145B66">
        <w:rPr>
          <w:rFonts w:ascii="Times New Roman" w:hAnsi="Times New Roman"/>
          <w:sz w:val="28"/>
          <w:szCs w:val="28"/>
        </w:rPr>
        <w:fldChar w:fldCharType="separate"/>
      </w:r>
      <w:r w:rsidRPr="00145B66">
        <w:rPr>
          <w:rFonts w:ascii="Times New Roman" w:hAnsi="Times New Roman"/>
          <w:sz w:val="28"/>
        </w:rPr>
        <w:t>[2</w:t>
      </w:r>
      <w:r>
        <w:rPr>
          <w:rFonts w:ascii="Times New Roman" w:hAnsi="Times New Roman"/>
          <w:sz w:val="28"/>
        </w:rPr>
        <w:t>9</w:t>
      </w:r>
      <w:r w:rsidRPr="00145B66">
        <w:rPr>
          <w:rFonts w:ascii="Times New Roman" w:hAnsi="Times New Roman"/>
          <w:sz w:val="28"/>
        </w:rPr>
        <w:t xml:space="preserve">, </w:t>
      </w:r>
      <w:r>
        <w:rPr>
          <w:rFonts w:ascii="Times New Roman" w:hAnsi="Times New Roman"/>
          <w:sz w:val="28"/>
        </w:rPr>
        <w:t>30</w:t>
      </w:r>
      <w:r w:rsidRPr="00145B66">
        <w:rPr>
          <w:rFonts w:ascii="Times New Roman" w:hAnsi="Times New Roman"/>
          <w:sz w:val="28"/>
        </w:rPr>
        <w:t>]</w:t>
      </w:r>
      <w:r w:rsidRPr="00145B66">
        <w:rPr>
          <w:rFonts w:ascii="Times New Roman" w:hAnsi="Times New Roman"/>
          <w:sz w:val="28"/>
          <w:szCs w:val="28"/>
        </w:rPr>
        <w:fldChar w:fldCharType="end"/>
      </w:r>
      <w:r w:rsidRPr="00145B66">
        <w:rPr>
          <w:rFonts w:ascii="Times New Roman" w:hAnsi="Times New Roman"/>
          <w:sz w:val="28"/>
          <w:szCs w:val="28"/>
        </w:rPr>
        <w:t xml:space="preserve">. Клиническим проявлением функциональных осложнений является развитие синдрома хронической диареи, метеоризма, абдоминальной боли и т.д., которые встречаются достаточно часто и имеют негативное влияние на качество жизни больных в реабилитационном периоде </w:t>
      </w:r>
      <w:r w:rsidRPr="00145B66">
        <w:rPr>
          <w:rFonts w:ascii="Times New Roman" w:hAnsi="Times New Roman"/>
          <w:sz w:val="28"/>
          <w:szCs w:val="28"/>
        </w:rPr>
        <w:fldChar w:fldCharType="begin"/>
      </w:r>
      <w:r w:rsidRPr="00145B66">
        <w:rPr>
          <w:rFonts w:ascii="Times New Roman" w:hAnsi="Times New Roman"/>
          <w:sz w:val="28"/>
          <w:szCs w:val="28"/>
        </w:rPr>
        <w:instrText xml:space="preserve"> ADDIN ZOTERO_ITEM CSL_CITATION {"citationID":"a1hpt1red9f","properties":{"formattedCitation":"[27]","plainCitation":"[27]","noteIndex":0},"citationItems":[{"id":872,"uris":["http://zotero.org/users/7388323/items/QWWVBLT9"],"uri":["http://zotero.org/users/7388323/items/QWWVBLT9"],"itemData":{"id":872,"type":"article-journal","abstract":"BACKGROUND: Right-sided cancer accounts for approximately 30% of bowel cancer in women and 22% in men. Colonic resection can cause changes in bowel function which affect daily activity. The aims are to assess the impact of right hemicolectomy for cancer on bowel function and to identify useful treatment modalities for managing bowel dysfunction after right hemicolectomy.\nMETHOD: The review was conducted in line with PRISMA. Eligible studies evaluated the impact of right hemicolectomy on bowel function in those treated for colorectal neoplasia or assessed the effect of surgical technique or other intervention on bowel function after right hemicolectomy. Right hemicolectomy for inflammatory bowel disease or benign cases only were excluded. Articles were limited to studies on human subjects written in English published between January 2008 and December 2018.\nRESULTS: The searches identified 7531 articles. Nine articles met the inclusion criteria, of which eight were cohort studies and one was a randomised trial. Loose stool, increased bowel frequency and/or nocturnal defaecation following right-sided colectomy occurs in approximately one in five patients. Some of these symptoms may improve spontaneously with time. Bile acid malabsorption and/or small bowel bacterial overgrowth may be the cause for chronic dysfunction. Some studies report that no or little difference in outcome between right-sided and rectal resections likely suggests poor function after right-sided resection.\nCONCLUSION: Right hemicolectomy can result in changes to bowel function. Patients should be counselled preoperatively, and follow-up should be designed to identify and effectively treat significantly altered bowel function.","container-title":"Supportive Care in Cancer: Official Journal of the Multinational Association of Supportive Care in Cancer","DOI":"10.1007/s00520-020-05519-5","ISSN":"1433-7339","issue":"10","journalAbbreviation":"Support Care Cancer","language":"eng","note":"PMID: 32430603\nPMCID: PMC7447648","page":"4549-4559","source":"PubMed","title":"Systematic review: the effect of right hemicolectomy for cancer on postoperative bowel function","title-short":"Systematic review","volume":"28","author":[{"family":"Hope","given":"C."},{"family":"Reilly","given":"J."},{"family":"Lund","given":"J."},{"family":"Andreyev","given":"Hjn"}],"issued":{"date-parts":[["2020",10]]}}}],"schema":"https://github.com/citation-style-language/schema/raw/master/csl-citation.json"} </w:instrText>
      </w:r>
      <w:r w:rsidRPr="00145B66">
        <w:rPr>
          <w:rFonts w:ascii="Times New Roman" w:hAnsi="Times New Roman"/>
          <w:sz w:val="28"/>
          <w:szCs w:val="28"/>
        </w:rPr>
        <w:fldChar w:fldCharType="separate"/>
      </w:r>
      <w:r w:rsidRPr="00145B66">
        <w:rPr>
          <w:rFonts w:ascii="Times New Roman" w:hAnsi="Times New Roman"/>
          <w:sz w:val="28"/>
        </w:rPr>
        <w:t>[</w:t>
      </w:r>
      <w:r>
        <w:rPr>
          <w:rFonts w:ascii="Times New Roman" w:hAnsi="Times New Roman"/>
          <w:sz w:val="28"/>
        </w:rPr>
        <w:t>31</w:t>
      </w:r>
      <w:r w:rsidRPr="00145B66">
        <w:rPr>
          <w:rFonts w:ascii="Times New Roman" w:hAnsi="Times New Roman"/>
          <w:sz w:val="28"/>
        </w:rPr>
        <w:t>]</w:t>
      </w:r>
      <w:r w:rsidRPr="00145B66">
        <w:rPr>
          <w:rFonts w:ascii="Times New Roman" w:hAnsi="Times New Roman"/>
          <w:sz w:val="28"/>
          <w:szCs w:val="28"/>
        </w:rPr>
        <w:fldChar w:fldCharType="end"/>
      </w:r>
      <w:r w:rsidRPr="00145B66">
        <w:rPr>
          <w:rFonts w:ascii="Times New Roman" w:hAnsi="Times New Roman"/>
          <w:sz w:val="28"/>
          <w:szCs w:val="28"/>
        </w:rPr>
        <w:t xml:space="preserve">. </w:t>
      </w:r>
    </w:p>
    <w:p w14:paraId="696C2BD7"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rPr>
        <w:t xml:space="preserve">После обширных резекций, особенно при сочетании тонко-толстокишечных резекции, в зависимости от адаптационных возможностей желудочно-кишечного тракта, происходит изменение пищеварительно- абсорбционных процессов, что в свою очередь проявляется потерей массы тела, нутритивной недостаточностью, электролитным дисбалансом, дефицитом витаминов, анемией </w:t>
      </w:r>
      <w:r w:rsidRPr="00145B66">
        <w:rPr>
          <w:rFonts w:ascii="Times New Roman" w:hAnsi="Times New Roman"/>
          <w:sz w:val="28"/>
          <w:szCs w:val="28"/>
        </w:rPr>
        <w:fldChar w:fldCharType="begin"/>
      </w:r>
      <w:r w:rsidRPr="00145B66">
        <w:rPr>
          <w:rFonts w:ascii="Times New Roman" w:hAnsi="Times New Roman"/>
          <w:sz w:val="28"/>
          <w:szCs w:val="28"/>
        </w:rPr>
        <w:instrText xml:space="preserve"> ADDIN ZOTERO_ITEM CSL_CITATION {"citationID":"a32apql04d","properties":{"formattedCitation":"[25,28,29]","plainCitation":"[25,28,29]","noteIndex":0},"citationItems":[{"id":793,"uris":["http://zotero.org/users/7388323/items/8AMWLPTG"],"uri":["http://zotero.org/users/7388323/items/8AMWLPTG"],"itemData":{"id":793,"type":"book","abstract":"В монографии проанализированы причины неблагоприятных исходов применения резервуарных илеоректальных анастомозов после колэктомии, положившие основу разработке и обоснованию нового способа патогенетической коррекции постколэктомических нарушений. Подробно изложены экспериментальные и клинические данные принципиальных отличий и преимуществ нового способа резервуарной конструкции. Книга адресована широкому кругу хирургов, онкологов, колопроктологов и гастроэнтерологов.","language":"ru","publisher":"Новосибирское отделение издательства \"Наука\"","source":"eLibrary.ru","title":"Хирургическая коррекция постколэктомических нарушений","URL":"https://elibrary.ru/item.asp?id=19530367","author":[{"family":"Жерлов","given":"Георгий Кириллович"},{"family":"Баширов","given":"Сергей Рафаэльевич"},{"family":"Рыжов","given":"Александр Иванович"}],"accessed":{"date-parts":[["2021",1,26]]}}},{"id":804,"uris":["http://zotero.org/users/7388323/items/NUIUBITH"],"uri":["http://zotero.org/users/7388323/items/NUIUBITH"],"itemData":{"id":804,"type":"article-journal","container-title":"Expert Review of Gastroenterology &amp; Hepatology","DOI":"10.1586/egh.13.2","ISSN":"1747-4132","issue":"3","journalAbbreviation":"Expert Rev Gastroenterol Hepatol","language":"eng","note":"PMID: 23445228","page":"197-199","source":"PubMed","title":"The novel use of peptide analogs in short bowel syndrome","volume":"7","author":[{"family":"Jeppesen","given":"Palle Bekker"}],"issued":{"date-parts":[["2013",3]]}}},{"id":806,"uris":["http://zotero.org/users/7388323/items/KIZCTGI9"],"uri":["http://zotero.org/users/7388323/items/KIZCTGI9"],"itemData":{"id":806,"type":"article-journal","abstract":"Short-bowel syndrome is a rare problem in surgical practice and its prognosis depends on the length of intestinal remnants and/or the presence of a jejunostomy. In adults long-term total parenteral nutrition (TPN) can be avoided if the remaining small bowel is longer than 60-100 cm. In all, 50-60% of patients in the long-term follow-up are expected to be adequately nourished with oral feeding, 25% with enteral and parenteral feeding and less than 20% depend on long-term TPN alone. By using a modified diet (glutamine, growth hormone), intestinal absorption and overall prognosis could even be enhanced. The introduction of home TPN by specialized centres has resulted in a remarkable improvement in quality of life (&gt; 80% good). The main complications of long-term TPN are sepsis, thrombosis and metabolic disorders. Medical therapy of diarrhoea consists of H2-receptor antagonists (hypergastrinaemia), loperamide and secretion inhibitors (somatostatin). Several surgical procedures have been performed, either to decelerate intestinal transit or to increase the area of intestinal absorption with overall unsatisfactory results. However, in the presence of small-bowel dilatation, promising surgical results (tapering, stricturoplasty, intestinal lengthening) have been achieved. There may be advances (immunosuppression) in the future that will make intestinal transplantation a good option for some patients; at present, the 1-year patient and graft survival in around 100 patients was 60% and 40%, respectively.","container-title":"Der Chirurg; Zeitschrift Fur Alle Gebiete Der Operativen Medizen","DOI":"10.1007/s001040050230","ISSN":"0009-4722","issue":"6","journalAbbreviation":"Chirurg","language":"ger","note":"PMID: 9324432","page":"559-567","source":"PubMed","title":"[Pathophysiology, clinical aspects and therapy of short bowel syndrome]","volume":"68","author":[{"family":"Krähenbühl","given":"L."},{"family":"Büchler","given":"M. W."}],"issued":{"date-parts":[["1997",6]]}}}],"schema":"https://github.com/citation-style-language/schema/raw/master/csl-citation.json"} </w:instrText>
      </w:r>
      <w:r w:rsidRPr="00145B66">
        <w:rPr>
          <w:rFonts w:ascii="Times New Roman" w:hAnsi="Times New Roman"/>
          <w:sz w:val="28"/>
          <w:szCs w:val="28"/>
        </w:rPr>
        <w:fldChar w:fldCharType="separate"/>
      </w:r>
      <w:r>
        <w:rPr>
          <w:rFonts w:ascii="Times New Roman" w:hAnsi="Times New Roman"/>
          <w:sz w:val="28"/>
        </w:rPr>
        <w:t>[29, 32, 33</w:t>
      </w:r>
      <w:r w:rsidRPr="00145B66">
        <w:rPr>
          <w:rFonts w:ascii="Times New Roman" w:hAnsi="Times New Roman"/>
          <w:sz w:val="28"/>
        </w:rPr>
        <w:t>]</w:t>
      </w:r>
      <w:r w:rsidRPr="00145B66">
        <w:rPr>
          <w:rFonts w:ascii="Times New Roman" w:hAnsi="Times New Roman"/>
          <w:sz w:val="28"/>
          <w:szCs w:val="28"/>
        </w:rPr>
        <w:fldChar w:fldCharType="end"/>
      </w:r>
      <w:r w:rsidRPr="00145B66">
        <w:rPr>
          <w:rFonts w:ascii="Times New Roman" w:hAnsi="Times New Roman"/>
          <w:sz w:val="28"/>
          <w:szCs w:val="28"/>
        </w:rPr>
        <w:t xml:space="preserve">. </w:t>
      </w:r>
    </w:p>
    <w:p w14:paraId="75DAD5BB"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rPr>
        <w:t>Следовательно, одной из актуальных проблем современной онкологии является реабилитация больных с осложнениями после резекции ободочной кишки. В связи с мало изученностью вопросов, посвященных структуре функциональных осложнений, выживаемости у данной группы больных и возможностям реабилитации была определена цель данного исследования.</w:t>
      </w:r>
    </w:p>
    <w:p w14:paraId="67466616" w14:textId="77777777" w:rsidR="00403127" w:rsidRPr="00145B66" w:rsidRDefault="00403127" w:rsidP="00403127">
      <w:pPr>
        <w:spacing w:after="0" w:line="240" w:lineRule="auto"/>
        <w:ind w:firstLine="567"/>
        <w:jc w:val="both"/>
        <w:rPr>
          <w:rFonts w:ascii="Times New Roman" w:hAnsi="Times New Roman"/>
          <w:b/>
          <w:color w:val="000000"/>
          <w:sz w:val="28"/>
          <w:szCs w:val="28"/>
        </w:rPr>
      </w:pPr>
      <w:r w:rsidRPr="00145B66">
        <w:rPr>
          <w:rFonts w:ascii="Times New Roman" w:hAnsi="Times New Roman"/>
          <w:b/>
          <w:color w:val="000000"/>
          <w:sz w:val="28"/>
          <w:szCs w:val="28"/>
        </w:rPr>
        <w:lastRenderedPageBreak/>
        <w:t>Цель исследования</w:t>
      </w:r>
      <w:r>
        <w:rPr>
          <w:rFonts w:ascii="Times New Roman" w:hAnsi="Times New Roman"/>
          <w:b/>
          <w:color w:val="000000"/>
          <w:sz w:val="28"/>
          <w:szCs w:val="28"/>
        </w:rPr>
        <w:t>.</w:t>
      </w:r>
    </w:p>
    <w:p w14:paraId="12C73D46" w14:textId="77777777" w:rsidR="00403127" w:rsidRPr="00145B66" w:rsidRDefault="00403127" w:rsidP="00403127">
      <w:pPr>
        <w:spacing w:after="0" w:line="240" w:lineRule="auto"/>
        <w:ind w:firstLine="567"/>
        <w:jc w:val="both"/>
        <w:rPr>
          <w:rFonts w:ascii="Times New Roman" w:hAnsi="Times New Roman"/>
          <w:sz w:val="28"/>
          <w:szCs w:val="28"/>
        </w:rPr>
      </w:pPr>
      <w:r>
        <w:rPr>
          <w:rFonts w:ascii="Times New Roman" w:hAnsi="Times New Roman"/>
          <w:sz w:val="28"/>
          <w:szCs w:val="28"/>
        </w:rPr>
        <w:t xml:space="preserve">Оценить </w:t>
      </w:r>
      <w:r w:rsidRPr="00145B66">
        <w:rPr>
          <w:rFonts w:ascii="Times New Roman" w:hAnsi="Times New Roman"/>
          <w:sz w:val="28"/>
          <w:szCs w:val="28"/>
        </w:rPr>
        <w:t>эффективност</w:t>
      </w:r>
      <w:r>
        <w:rPr>
          <w:rFonts w:ascii="Times New Roman" w:hAnsi="Times New Roman"/>
          <w:sz w:val="28"/>
          <w:szCs w:val="28"/>
        </w:rPr>
        <w:t>ь</w:t>
      </w:r>
      <w:r w:rsidRPr="00145B66">
        <w:rPr>
          <w:rFonts w:ascii="Times New Roman" w:hAnsi="Times New Roman"/>
          <w:sz w:val="28"/>
          <w:szCs w:val="28"/>
        </w:rPr>
        <w:t xml:space="preserve"> реабилитационных мероприятий </w:t>
      </w:r>
      <w:r>
        <w:rPr>
          <w:rFonts w:ascii="Times New Roman" w:hAnsi="Times New Roman"/>
          <w:sz w:val="28"/>
          <w:szCs w:val="28"/>
        </w:rPr>
        <w:t xml:space="preserve">при </w:t>
      </w:r>
      <w:r w:rsidRPr="00145B66">
        <w:rPr>
          <w:rFonts w:ascii="Times New Roman" w:hAnsi="Times New Roman"/>
          <w:sz w:val="28"/>
          <w:szCs w:val="28"/>
        </w:rPr>
        <w:t>функциональны</w:t>
      </w:r>
      <w:r>
        <w:rPr>
          <w:rFonts w:ascii="Times New Roman" w:hAnsi="Times New Roman"/>
          <w:sz w:val="28"/>
          <w:szCs w:val="28"/>
        </w:rPr>
        <w:t>х</w:t>
      </w:r>
      <w:r w:rsidRPr="00145B66">
        <w:rPr>
          <w:rFonts w:ascii="Times New Roman" w:hAnsi="Times New Roman"/>
          <w:sz w:val="28"/>
          <w:szCs w:val="28"/>
        </w:rPr>
        <w:t xml:space="preserve"> осложнения</w:t>
      </w:r>
      <w:r>
        <w:rPr>
          <w:rFonts w:ascii="Times New Roman" w:hAnsi="Times New Roman"/>
          <w:sz w:val="28"/>
          <w:szCs w:val="28"/>
        </w:rPr>
        <w:t xml:space="preserve">х при раке ободочной кишки </w:t>
      </w:r>
      <w:r w:rsidRPr="00145B66">
        <w:rPr>
          <w:rFonts w:ascii="Times New Roman" w:hAnsi="Times New Roman"/>
          <w:sz w:val="28"/>
          <w:szCs w:val="28"/>
        </w:rPr>
        <w:t xml:space="preserve">после радикальных операций </w:t>
      </w:r>
      <w:r>
        <w:rPr>
          <w:rFonts w:ascii="Times New Roman" w:hAnsi="Times New Roman"/>
          <w:sz w:val="28"/>
          <w:szCs w:val="28"/>
        </w:rPr>
        <w:t>для улучшения показателей выживаемости</w:t>
      </w:r>
      <w:r w:rsidRPr="00145B66">
        <w:rPr>
          <w:rFonts w:ascii="Times New Roman" w:hAnsi="Times New Roman"/>
          <w:sz w:val="28"/>
          <w:szCs w:val="28"/>
        </w:rPr>
        <w:t>.</w:t>
      </w:r>
    </w:p>
    <w:p w14:paraId="008673C3" w14:textId="77777777" w:rsidR="00403127" w:rsidRPr="00145B66" w:rsidRDefault="00403127" w:rsidP="00403127">
      <w:pPr>
        <w:spacing w:after="0" w:line="240" w:lineRule="auto"/>
        <w:ind w:firstLine="567"/>
        <w:rPr>
          <w:rFonts w:ascii="Times New Roman" w:hAnsi="Times New Roman"/>
          <w:b/>
          <w:color w:val="000000"/>
          <w:sz w:val="28"/>
          <w:szCs w:val="28"/>
        </w:rPr>
      </w:pPr>
      <w:r w:rsidRPr="00145B66">
        <w:rPr>
          <w:rFonts w:ascii="Times New Roman" w:hAnsi="Times New Roman"/>
          <w:b/>
          <w:color w:val="000000"/>
          <w:sz w:val="28"/>
          <w:szCs w:val="28"/>
        </w:rPr>
        <w:t>Задачи исследования</w:t>
      </w:r>
      <w:r>
        <w:rPr>
          <w:rFonts w:ascii="Times New Roman" w:hAnsi="Times New Roman"/>
          <w:b/>
          <w:color w:val="000000"/>
          <w:sz w:val="28"/>
          <w:szCs w:val="28"/>
        </w:rPr>
        <w:t>:</w:t>
      </w:r>
    </w:p>
    <w:p w14:paraId="41139E56" w14:textId="77777777" w:rsidR="00403127" w:rsidRPr="00145B66" w:rsidRDefault="00403127" w:rsidP="00403127">
      <w:pPr>
        <w:pStyle w:val="a6"/>
        <w:numPr>
          <w:ilvl w:val="0"/>
          <w:numId w:val="2"/>
        </w:numPr>
        <w:tabs>
          <w:tab w:val="left" w:pos="851"/>
        </w:tabs>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 xml:space="preserve">Изучить прогностические факторы и </w:t>
      </w:r>
      <w:r w:rsidRPr="00145B66">
        <w:rPr>
          <w:rFonts w:ascii="Times New Roman" w:hAnsi="Times New Roman"/>
          <w:sz w:val="28"/>
          <w:szCs w:val="28"/>
          <w:lang w:val="kk-KZ"/>
        </w:rPr>
        <w:t xml:space="preserve">выживаемость больных </w:t>
      </w:r>
      <w:r>
        <w:rPr>
          <w:rFonts w:ascii="Times New Roman" w:hAnsi="Times New Roman"/>
          <w:sz w:val="28"/>
          <w:szCs w:val="28"/>
          <w:lang w:val="kk-KZ"/>
        </w:rPr>
        <w:t xml:space="preserve">при раке ободочной кишки </w:t>
      </w:r>
      <w:r w:rsidRPr="00145B66">
        <w:rPr>
          <w:rFonts w:ascii="Times New Roman" w:hAnsi="Times New Roman"/>
          <w:sz w:val="28"/>
          <w:szCs w:val="28"/>
          <w:lang w:val="kk-KZ"/>
        </w:rPr>
        <w:t>после хирургического лечения с функциональными осложнениями.</w:t>
      </w:r>
    </w:p>
    <w:p w14:paraId="28AE2050" w14:textId="77777777" w:rsidR="00403127" w:rsidRPr="00145B66" w:rsidRDefault="00403127" w:rsidP="00403127">
      <w:pPr>
        <w:pStyle w:val="a6"/>
        <w:numPr>
          <w:ilvl w:val="0"/>
          <w:numId w:val="2"/>
        </w:numPr>
        <w:tabs>
          <w:tab w:val="left" w:pos="851"/>
        </w:tabs>
        <w:spacing w:after="0" w:line="240" w:lineRule="auto"/>
        <w:ind w:left="0" w:firstLine="567"/>
        <w:jc w:val="both"/>
        <w:rPr>
          <w:rFonts w:ascii="Times New Roman" w:hAnsi="Times New Roman"/>
          <w:sz w:val="28"/>
          <w:szCs w:val="28"/>
          <w:lang w:val="kk-KZ"/>
        </w:rPr>
      </w:pPr>
      <w:r w:rsidRPr="00145B66">
        <w:rPr>
          <w:rFonts w:ascii="Times New Roman" w:hAnsi="Times New Roman"/>
          <w:sz w:val="28"/>
          <w:szCs w:val="28"/>
          <w:lang w:val="kk-KZ"/>
        </w:rPr>
        <w:t xml:space="preserve">Провести клинико-лабораторную оценку функциональных осложнений </w:t>
      </w:r>
      <w:r>
        <w:rPr>
          <w:rFonts w:ascii="Times New Roman" w:hAnsi="Times New Roman"/>
          <w:sz w:val="28"/>
          <w:szCs w:val="28"/>
          <w:lang w:val="kk-KZ"/>
        </w:rPr>
        <w:t xml:space="preserve">при раке ободочной кишики </w:t>
      </w:r>
      <w:r w:rsidRPr="00145B66">
        <w:rPr>
          <w:rFonts w:ascii="Times New Roman" w:hAnsi="Times New Roman"/>
          <w:sz w:val="28"/>
          <w:szCs w:val="28"/>
          <w:lang w:val="kk-KZ"/>
        </w:rPr>
        <w:t>после радикальных операций.</w:t>
      </w:r>
    </w:p>
    <w:p w14:paraId="3B1A5E8D" w14:textId="77777777" w:rsidR="00403127" w:rsidRPr="00145B66" w:rsidRDefault="00403127" w:rsidP="00403127">
      <w:pPr>
        <w:pStyle w:val="a6"/>
        <w:numPr>
          <w:ilvl w:val="0"/>
          <w:numId w:val="2"/>
        </w:numPr>
        <w:tabs>
          <w:tab w:val="left" w:pos="851"/>
        </w:tabs>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 xml:space="preserve">Изучить качество жизни больных </w:t>
      </w:r>
      <w:r w:rsidRPr="00145B66">
        <w:rPr>
          <w:rFonts w:ascii="Times New Roman" w:hAnsi="Times New Roman"/>
          <w:sz w:val="28"/>
          <w:szCs w:val="28"/>
          <w:lang w:val="kk-KZ"/>
        </w:rPr>
        <w:t xml:space="preserve">при функциональных осложнениях после радикальных операций по поводу </w:t>
      </w:r>
      <w:r>
        <w:rPr>
          <w:rFonts w:ascii="Times New Roman" w:hAnsi="Times New Roman"/>
          <w:sz w:val="28"/>
          <w:szCs w:val="28"/>
          <w:lang w:val="kk-KZ"/>
        </w:rPr>
        <w:t xml:space="preserve">рака </w:t>
      </w:r>
      <w:r w:rsidRPr="00145B66">
        <w:rPr>
          <w:rFonts w:ascii="Times New Roman" w:hAnsi="Times New Roman"/>
          <w:sz w:val="28"/>
          <w:szCs w:val="28"/>
          <w:lang w:val="kk-KZ"/>
        </w:rPr>
        <w:t>ободочной кишки.</w:t>
      </w:r>
    </w:p>
    <w:p w14:paraId="7DAA179E" w14:textId="26E692B7" w:rsidR="00403127" w:rsidRPr="00145B66" w:rsidRDefault="00403127" w:rsidP="00403127">
      <w:pPr>
        <w:pStyle w:val="a6"/>
        <w:numPr>
          <w:ilvl w:val="0"/>
          <w:numId w:val="2"/>
        </w:numPr>
        <w:tabs>
          <w:tab w:val="left" w:pos="851"/>
        </w:tabs>
        <w:spacing w:after="0" w:line="240" w:lineRule="auto"/>
        <w:ind w:left="0" w:firstLine="567"/>
        <w:jc w:val="both"/>
        <w:rPr>
          <w:rFonts w:ascii="Times New Roman" w:hAnsi="Times New Roman"/>
          <w:sz w:val="28"/>
          <w:szCs w:val="28"/>
          <w:lang w:val="kk-KZ"/>
        </w:rPr>
      </w:pPr>
      <w:r w:rsidRPr="005676CD">
        <w:rPr>
          <w:rFonts w:ascii="Times New Roman" w:hAnsi="Times New Roman"/>
          <w:sz w:val="28"/>
          <w:szCs w:val="28"/>
          <w:lang w:val="kk-KZ"/>
        </w:rPr>
        <w:t>Оценить результаты внедрения реабилитационных мероприятий при функциональных осложнениях после радикальных оператвиных вмешательствах при раке ободочной кишки.</w:t>
      </w:r>
    </w:p>
    <w:p w14:paraId="015904C9" w14:textId="77777777" w:rsidR="00403127" w:rsidRDefault="00403127" w:rsidP="00403127">
      <w:pPr>
        <w:spacing w:after="0" w:line="240" w:lineRule="auto"/>
        <w:ind w:firstLine="567"/>
        <w:rPr>
          <w:rFonts w:ascii="Times New Roman" w:hAnsi="Times New Roman"/>
          <w:b/>
          <w:color w:val="000000"/>
          <w:sz w:val="28"/>
          <w:szCs w:val="28"/>
        </w:rPr>
      </w:pPr>
    </w:p>
    <w:p w14:paraId="4F193436" w14:textId="77777777" w:rsidR="00403127" w:rsidRPr="00145B66" w:rsidRDefault="00403127" w:rsidP="00403127">
      <w:pPr>
        <w:spacing w:after="0" w:line="240" w:lineRule="auto"/>
        <w:ind w:firstLine="567"/>
        <w:jc w:val="both"/>
        <w:rPr>
          <w:rFonts w:ascii="Times New Roman" w:hAnsi="Times New Roman"/>
          <w:b/>
          <w:color w:val="000000"/>
          <w:sz w:val="28"/>
          <w:szCs w:val="28"/>
        </w:rPr>
      </w:pPr>
      <w:r w:rsidRPr="00145B66">
        <w:rPr>
          <w:rFonts w:ascii="Times New Roman" w:hAnsi="Times New Roman"/>
          <w:b/>
          <w:color w:val="000000"/>
          <w:sz w:val="28"/>
          <w:szCs w:val="28"/>
        </w:rPr>
        <w:t>Объект исследования</w:t>
      </w:r>
      <w:r>
        <w:rPr>
          <w:rFonts w:ascii="Times New Roman" w:hAnsi="Times New Roman"/>
          <w:b/>
          <w:color w:val="000000"/>
          <w:sz w:val="28"/>
          <w:szCs w:val="28"/>
        </w:rPr>
        <w:t>.</w:t>
      </w:r>
    </w:p>
    <w:p w14:paraId="14F4E75E" w14:textId="77777777" w:rsidR="00403127" w:rsidRPr="00145B66" w:rsidRDefault="00403127" w:rsidP="00403127">
      <w:pPr>
        <w:spacing w:after="0" w:line="240" w:lineRule="auto"/>
        <w:ind w:firstLine="567"/>
        <w:jc w:val="both"/>
        <w:rPr>
          <w:rFonts w:ascii="Times New Roman" w:hAnsi="Times New Roman"/>
          <w:sz w:val="28"/>
          <w:szCs w:val="28"/>
          <w:lang w:val="kk-KZ"/>
        </w:rPr>
      </w:pPr>
      <w:r>
        <w:rPr>
          <w:rFonts w:ascii="Times New Roman" w:hAnsi="Times New Roman"/>
          <w:sz w:val="28"/>
          <w:szCs w:val="28"/>
        </w:rPr>
        <w:t>Б</w:t>
      </w:r>
      <w:r w:rsidRPr="00145B66">
        <w:rPr>
          <w:rFonts w:ascii="Times New Roman" w:hAnsi="Times New Roman"/>
          <w:sz w:val="28"/>
          <w:szCs w:val="28"/>
        </w:rPr>
        <w:t xml:space="preserve">ольные с функциональными осложнениями после радикальных операций </w:t>
      </w:r>
      <w:r w:rsidRPr="00145B66">
        <w:rPr>
          <w:rFonts w:ascii="Times New Roman" w:hAnsi="Times New Roman"/>
          <w:sz w:val="28"/>
          <w:szCs w:val="28"/>
          <w:lang w:val="kk-KZ"/>
        </w:rPr>
        <w:t>по поводу злокачественных новообразований ободочной кишки;</w:t>
      </w:r>
    </w:p>
    <w:p w14:paraId="125CC7BC" w14:textId="77777777" w:rsidR="00403127" w:rsidRDefault="00403127" w:rsidP="00403127">
      <w:pPr>
        <w:spacing w:after="0" w:line="240" w:lineRule="auto"/>
        <w:ind w:firstLine="567"/>
        <w:jc w:val="both"/>
        <w:rPr>
          <w:rFonts w:ascii="Times New Roman" w:hAnsi="Times New Roman"/>
          <w:b/>
          <w:color w:val="000000"/>
          <w:sz w:val="28"/>
          <w:szCs w:val="28"/>
        </w:rPr>
      </w:pPr>
    </w:p>
    <w:p w14:paraId="0C672ED2" w14:textId="77777777" w:rsidR="00403127" w:rsidRPr="00145B66" w:rsidRDefault="00403127" w:rsidP="00403127">
      <w:pPr>
        <w:spacing w:after="0" w:line="240" w:lineRule="auto"/>
        <w:ind w:firstLine="567"/>
        <w:jc w:val="both"/>
        <w:rPr>
          <w:rFonts w:ascii="Times New Roman" w:hAnsi="Times New Roman"/>
          <w:b/>
          <w:color w:val="000000"/>
          <w:sz w:val="28"/>
          <w:szCs w:val="28"/>
        </w:rPr>
      </w:pPr>
      <w:r w:rsidRPr="00145B66">
        <w:rPr>
          <w:rFonts w:ascii="Times New Roman" w:hAnsi="Times New Roman"/>
          <w:b/>
          <w:color w:val="000000"/>
          <w:sz w:val="28"/>
          <w:szCs w:val="28"/>
        </w:rPr>
        <w:t>Предмет исследования</w:t>
      </w:r>
      <w:r>
        <w:rPr>
          <w:rFonts w:ascii="Times New Roman" w:hAnsi="Times New Roman"/>
          <w:b/>
          <w:color w:val="000000"/>
          <w:sz w:val="28"/>
          <w:szCs w:val="28"/>
        </w:rPr>
        <w:t>.</w:t>
      </w:r>
    </w:p>
    <w:p w14:paraId="6D7BF89E" w14:textId="77777777" w:rsidR="00403127" w:rsidRPr="00145B66" w:rsidRDefault="00403127" w:rsidP="00403127">
      <w:pPr>
        <w:spacing w:after="0" w:line="240" w:lineRule="auto"/>
        <w:ind w:firstLine="567"/>
        <w:jc w:val="both"/>
        <w:rPr>
          <w:rFonts w:ascii="Times New Roman" w:hAnsi="Times New Roman"/>
          <w:sz w:val="28"/>
          <w:szCs w:val="28"/>
          <w:lang w:val="kk-KZ"/>
        </w:rPr>
      </w:pPr>
      <w:r w:rsidRPr="00145B66">
        <w:rPr>
          <w:rFonts w:ascii="Times New Roman" w:hAnsi="Times New Roman"/>
          <w:sz w:val="28"/>
          <w:szCs w:val="28"/>
        </w:rPr>
        <w:t xml:space="preserve">Функциональные осложнения после радикальных операций </w:t>
      </w:r>
      <w:r w:rsidRPr="00145B66">
        <w:rPr>
          <w:rFonts w:ascii="Times New Roman" w:hAnsi="Times New Roman"/>
          <w:sz w:val="28"/>
          <w:szCs w:val="28"/>
          <w:lang w:val="kk-KZ"/>
        </w:rPr>
        <w:t>по поводу злокачественных новообразований ободочной кишки.</w:t>
      </w:r>
    </w:p>
    <w:p w14:paraId="47FDA66E" w14:textId="77777777" w:rsidR="00403127" w:rsidRDefault="00403127" w:rsidP="00403127">
      <w:pPr>
        <w:spacing w:after="0" w:line="240" w:lineRule="auto"/>
        <w:ind w:firstLine="567"/>
        <w:rPr>
          <w:rFonts w:ascii="Times New Roman" w:hAnsi="Times New Roman"/>
          <w:b/>
          <w:color w:val="000000"/>
          <w:sz w:val="28"/>
          <w:szCs w:val="28"/>
        </w:rPr>
      </w:pPr>
    </w:p>
    <w:p w14:paraId="68E6AC7D" w14:textId="77777777" w:rsidR="00403127" w:rsidRPr="00145B66" w:rsidRDefault="00403127" w:rsidP="00403127">
      <w:pPr>
        <w:tabs>
          <w:tab w:val="left" w:pos="540"/>
        </w:tabs>
        <w:spacing w:after="0" w:line="240" w:lineRule="auto"/>
        <w:ind w:firstLine="567"/>
        <w:jc w:val="both"/>
        <w:rPr>
          <w:rFonts w:ascii="Times New Roman" w:hAnsi="Times New Roman"/>
          <w:b/>
          <w:color w:val="000000"/>
          <w:sz w:val="28"/>
          <w:szCs w:val="28"/>
          <w:lang w:val="kk-KZ"/>
        </w:rPr>
      </w:pPr>
      <w:r w:rsidRPr="00145B66">
        <w:rPr>
          <w:rFonts w:ascii="Times New Roman" w:hAnsi="Times New Roman"/>
          <w:b/>
          <w:color w:val="000000"/>
          <w:sz w:val="28"/>
          <w:szCs w:val="28"/>
          <w:lang w:val="kk-KZ"/>
        </w:rPr>
        <w:t xml:space="preserve">Научная </w:t>
      </w:r>
      <w:r>
        <w:rPr>
          <w:rFonts w:ascii="Times New Roman" w:hAnsi="Times New Roman"/>
          <w:b/>
          <w:color w:val="000000"/>
          <w:sz w:val="28"/>
          <w:szCs w:val="28"/>
        </w:rPr>
        <w:t>новизна.</w:t>
      </w:r>
    </w:p>
    <w:p w14:paraId="74743224" w14:textId="11E5F019" w:rsidR="00403127" w:rsidRPr="00145B66" w:rsidRDefault="00403127" w:rsidP="00403127">
      <w:pPr>
        <w:tabs>
          <w:tab w:val="left" w:pos="540"/>
        </w:tabs>
        <w:spacing w:after="0" w:line="240" w:lineRule="auto"/>
        <w:ind w:firstLine="567"/>
        <w:jc w:val="both"/>
        <w:rPr>
          <w:rFonts w:ascii="Times New Roman" w:hAnsi="Times New Roman"/>
          <w:sz w:val="28"/>
          <w:szCs w:val="28"/>
        </w:rPr>
      </w:pPr>
      <w:r>
        <w:rPr>
          <w:rFonts w:ascii="Times New Roman" w:hAnsi="Times New Roman"/>
          <w:sz w:val="28"/>
          <w:szCs w:val="28"/>
        </w:rPr>
        <w:t xml:space="preserve">Определены прогностические факторы, влияющие на выживаемость больных при раке ободочной кишки </w:t>
      </w:r>
      <w:r w:rsidRPr="00145B66">
        <w:rPr>
          <w:rFonts w:ascii="Times New Roman" w:hAnsi="Times New Roman"/>
          <w:sz w:val="28"/>
          <w:szCs w:val="28"/>
        </w:rPr>
        <w:t>после хирургического лечения</w:t>
      </w:r>
      <w:r>
        <w:rPr>
          <w:rFonts w:ascii="Times New Roman" w:hAnsi="Times New Roman"/>
          <w:sz w:val="28"/>
          <w:szCs w:val="28"/>
        </w:rPr>
        <w:t xml:space="preserve"> с учетом функциональных изменений</w:t>
      </w:r>
      <w:r w:rsidRPr="00145B66">
        <w:rPr>
          <w:rFonts w:ascii="Times New Roman" w:hAnsi="Times New Roman"/>
          <w:sz w:val="28"/>
          <w:szCs w:val="28"/>
        </w:rPr>
        <w:t>.</w:t>
      </w:r>
      <w:r>
        <w:rPr>
          <w:rFonts w:ascii="Times New Roman" w:hAnsi="Times New Roman"/>
          <w:sz w:val="28"/>
          <w:szCs w:val="28"/>
        </w:rPr>
        <w:t xml:space="preserve"> О</w:t>
      </w:r>
      <w:r w:rsidRPr="00145B66">
        <w:rPr>
          <w:rFonts w:ascii="Times New Roman" w:hAnsi="Times New Roman"/>
          <w:sz w:val="28"/>
          <w:szCs w:val="28"/>
        </w:rPr>
        <w:t>пределена структура функциональных осложнений</w:t>
      </w:r>
      <w:r>
        <w:rPr>
          <w:rFonts w:ascii="Times New Roman" w:hAnsi="Times New Roman"/>
          <w:sz w:val="28"/>
          <w:szCs w:val="28"/>
        </w:rPr>
        <w:t xml:space="preserve"> и при этом важная роль отводится </w:t>
      </w:r>
      <w:r w:rsidRPr="00145B66">
        <w:rPr>
          <w:rFonts w:ascii="Times New Roman" w:hAnsi="Times New Roman"/>
          <w:sz w:val="28"/>
          <w:szCs w:val="28"/>
        </w:rPr>
        <w:t>хронически</w:t>
      </w:r>
      <w:r>
        <w:rPr>
          <w:rFonts w:ascii="Times New Roman" w:hAnsi="Times New Roman"/>
          <w:sz w:val="28"/>
          <w:szCs w:val="28"/>
        </w:rPr>
        <w:t>м</w:t>
      </w:r>
      <w:r w:rsidRPr="00145B66">
        <w:rPr>
          <w:rFonts w:ascii="Times New Roman" w:hAnsi="Times New Roman"/>
          <w:sz w:val="28"/>
          <w:szCs w:val="28"/>
        </w:rPr>
        <w:t xml:space="preserve"> энтероколит</w:t>
      </w:r>
      <w:r>
        <w:rPr>
          <w:rFonts w:ascii="Times New Roman" w:hAnsi="Times New Roman"/>
          <w:sz w:val="28"/>
          <w:szCs w:val="28"/>
        </w:rPr>
        <w:t>ам</w:t>
      </w:r>
      <w:r w:rsidRPr="00145B66">
        <w:rPr>
          <w:rFonts w:ascii="Times New Roman" w:hAnsi="Times New Roman"/>
          <w:sz w:val="28"/>
          <w:szCs w:val="28"/>
        </w:rPr>
        <w:t xml:space="preserve"> с синдромом</w:t>
      </w:r>
      <w:r w:rsidR="00094F6F">
        <w:rPr>
          <w:rFonts w:ascii="Times New Roman" w:hAnsi="Times New Roman"/>
          <w:sz w:val="28"/>
          <w:szCs w:val="28"/>
        </w:rPr>
        <w:t xml:space="preserve">  </w:t>
      </w:r>
      <w:r w:rsidRPr="00145B66">
        <w:rPr>
          <w:rFonts w:ascii="Times New Roman" w:hAnsi="Times New Roman"/>
          <w:sz w:val="28"/>
          <w:szCs w:val="28"/>
        </w:rPr>
        <w:t xml:space="preserve"> хронической диареи, электролитны</w:t>
      </w:r>
      <w:r>
        <w:rPr>
          <w:rFonts w:ascii="Times New Roman" w:hAnsi="Times New Roman"/>
          <w:sz w:val="28"/>
          <w:szCs w:val="28"/>
        </w:rPr>
        <w:t>м</w:t>
      </w:r>
      <w:r w:rsidRPr="00145B66">
        <w:rPr>
          <w:rFonts w:ascii="Times New Roman" w:hAnsi="Times New Roman"/>
          <w:sz w:val="28"/>
          <w:szCs w:val="28"/>
        </w:rPr>
        <w:t xml:space="preserve"> нарушения</w:t>
      </w:r>
      <w:r>
        <w:rPr>
          <w:rFonts w:ascii="Times New Roman" w:hAnsi="Times New Roman"/>
          <w:sz w:val="28"/>
          <w:szCs w:val="28"/>
        </w:rPr>
        <w:t>м</w:t>
      </w:r>
      <w:r w:rsidRPr="00145B66">
        <w:rPr>
          <w:rFonts w:ascii="Times New Roman" w:hAnsi="Times New Roman"/>
          <w:sz w:val="28"/>
          <w:szCs w:val="28"/>
        </w:rPr>
        <w:t xml:space="preserve"> и нутритивн</w:t>
      </w:r>
      <w:r>
        <w:rPr>
          <w:rFonts w:ascii="Times New Roman" w:hAnsi="Times New Roman"/>
          <w:sz w:val="28"/>
          <w:szCs w:val="28"/>
        </w:rPr>
        <w:t>ой</w:t>
      </w:r>
      <w:r w:rsidRPr="00145B66">
        <w:rPr>
          <w:rFonts w:ascii="Times New Roman" w:hAnsi="Times New Roman"/>
          <w:sz w:val="28"/>
          <w:szCs w:val="28"/>
        </w:rPr>
        <w:t xml:space="preserve"> недостаточност</w:t>
      </w:r>
      <w:r>
        <w:rPr>
          <w:rFonts w:ascii="Times New Roman" w:hAnsi="Times New Roman"/>
          <w:sz w:val="28"/>
          <w:szCs w:val="28"/>
        </w:rPr>
        <w:t>и</w:t>
      </w:r>
      <w:r w:rsidRPr="00145B66">
        <w:rPr>
          <w:rFonts w:ascii="Times New Roman" w:hAnsi="Times New Roman"/>
          <w:sz w:val="28"/>
          <w:szCs w:val="28"/>
        </w:rPr>
        <w:t>.</w:t>
      </w:r>
    </w:p>
    <w:p w14:paraId="28B47D26" w14:textId="77777777" w:rsidR="00403127" w:rsidRPr="00145B66" w:rsidRDefault="00403127" w:rsidP="00403127">
      <w:pPr>
        <w:tabs>
          <w:tab w:val="left" w:pos="540"/>
        </w:tabs>
        <w:spacing w:after="0" w:line="240" w:lineRule="auto"/>
        <w:ind w:firstLine="567"/>
        <w:jc w:val="both"/>
        <w:rPr>
          <w:rFonts w:ascii="Times New Roman" w:hAnsi="Times New Roman"/>
          <w:sz w:val="28"/>
          <w:szCs w:val="28"/>
        </w:rPr>
      </w:pPr>
      <w:r>
        <w:rPr>
          <w:rFonts w:ascii="Times New Roman" w:hAnsi="Times New Roman"/>
          <w:sz w:val="28"/>
          <w:szCs w:val="28"/>
        </w:rPr>
        <w:t xml:space="preserve">Установлены, что </w:t>
      </w:r>
      <w:r w:rsidRPr="00145B66">
        <w:rPr>
          <w:rFonts w:ascii="Times New Roman" w:hAnsi="Times New Roman"/>
          <w:sz w:val="28"/>
          <w:szCs w:val="28"/>
        </w:rPr>
        <w:t>риск</w:t>
      </w:r>
      <w:r>
        <w:rPr>
          <w:rFonts w:ascii="Times New Roman" w:hAnsi="Times New Roman"/>
          <w:sz w:val="28"/>
          <w:szCs w:val="28"/>
        </w:rPr>
        <w:t>и</w:t>
      </w:r>
      <w:r w:rsidRPr="00145B66">
        <w:rPr>
          <w:rFonts w:ascii="Times New Roman" w:hAnsi="Times New Roman"/>
          <w:sz w:val="28"/>
          <w:szCs w:val="28"/>
        </w:rPr>
        <w:t xml:space="preserve"> развития функциональных осложнений после хирургического лечения рака ободочной кишки увеличива</w:t>
      </w:r>
      <w:r>
        <w:rPr>
          <w:rFonts w:ascii="Times New Roman" w:hAnsi="Times New Roman"/>
          <w:sz w:val="28"/>
          <w:szCs w:val="28"/>
        </w:rPr>
        <w:t>ю</w:t>
      </w:r>
      <w:r w:rsidRPr="00145B66">
        <w:rPr>
          <w:rFonts w:ascii="Times New Roman" w:hAnsi="Times New Roman"/>
          <w:sz w:val="28"/>
          <w:szCs w:val="28"/>
        </w:rPr>
        <w:t xml:space="preserve">тся при удалении илеоцекального угла и формировании стомы. </w:t>
      </w:r>
    </w:p>
    <w:p w14:paraId="2F31EE34" w14:textId="77777777" w:rsidR="00403127" w:rsidRPr="00145B66" w:rsidRDefault="00403127" w:rsidP="00403127">
      <w:pPr>
        <w:tabs>
          <w:tab w:val="left" w:pos="540"/>
        </w:tabs>
        <w:spacing w:after="0" w:line="240" w:lineRule="auto"/>
        <w:ind w:firstLine="567"/>
        <w:jc w:val="both"/>
        <w:rPr>
          <w:rFonts w:ascii="Times New Roman" w:hAnsi="Times New Roman"/>
          <w:sz w:val="28"/>
          <w:szCs w:val="28"/>
        </w:rPr>
      </w:pPr>
      <w:r>
        <w:rPr>
          <w:rFonts w:ascii="Times New Roman" w:hAnsi="Times New Roman"/>
          <w:sz w:val="28"/>
          <w:szCs w:val="28"/>
        </w:rPr>
        <w:t>Комплексная реабилитация, включающая FODMAP</w:t>
      </w:r>
      <w:r w:rsidRPr="00145B66">
        <w:rPr>
          <w:rFonts w:ascii="Times New Roman" w:hAnsi="Times New Roman"/>
          <w:sz w:val="28"/>
          <w:szCs w:val="28"/>
        </w:rPr>
        <w:t xml:space="preserve"> диету, коррекцию микробиоценоза кишечника и нутритивную поддержку</w:t>
      </w:r>
      <w:r>
        <w:rPr>
          <w:rFonts w:ascii="Times New Roman" w:hAnsi="Times New Roman"/>
          <w:sz w:val="28"/>
          <w:szCs w:val="28"/>
        </w:rPr>
        <w:t>, способствует улучшению качества жизни и выживаемости больных с функциональными осложнениях при хирургическом лечении рака ободочной кишки.</w:t>
      </w:r>
    </w:p>
    <w:p w14:paraId="298BFABD" w14:textId="77777777" w:rsidR="00403127" w:rsidRDefault="00403127" w:rsidP="00403127">
      <w:pPr>
        <w:tabs>
          <w:tab w:val="left" w:pos="540"/>
        </w:tabs>
        <w:spacing w:after="0" w:line="240" w:lineRule="auto"/>
        <w:ind w:firstLine="567"/>
        <w:jc w:val="both"/>
        <w:rPr>
          <w:rFonts w:ascii="Times New Roman" w:hAnsi="Times New Roman"/>
          <w:b/>
          <w:sz w:val="28"/>
          <w:szCs w:val="28"/>
        </w:rPr>
      </w:pPr>
    </w:p>
    <w:p w14:paraId="7A1EE0D3" w14:textId="77777777" w:rsidR="00403127" w:rsidRPr="00145B66" w:rsidRDefault="00403127" w:rsidP="00403127">
      <w:pPr>
        <w:tabs>
          <w:tab w:val="left" w:pos="540"/>
        </w:tabs>
        <w:spacing w:after="0" w:line="240" w:lineRule="auto"/>
        <w:ind w:firstLine="567"/>
        <w:jc w:val="both"/>
        <w:rPr>
          <w:rFonts w:ascii="Times New Roman" w:hAnsi="Times New Roman"/>
          <w:b/>
          <w:sz w:val="28"/>
          <w:szCs w:val="28"/>
        </w:rPr>
      </w:pPr>
      <w:r w:rsidRPr="00145B66">
        <w:rPr>
          <w:rFonts w:ascii="Times New Roman" w:hAnsi="Times New Roman"/>
          <w:b/>
          <w:sz w:val="28"/>
          <w:szCs w:val="28"/>
        </w:rPr>
        <w:t>Практическая значимость</w:t>
      </w:r>
      <w:r>
        <w:rPr>
          <w:rFonts w:ascii="Times New Roman" w:hAnsi="Times New Roman"/>
          <w:b/>
          <w:sz w:val="28"/>
          <w:szCs w:val="28"/>
        </w:rPr>
        <w:t>:</w:t>
      </w:r>
    </w:p>
    <w:p w14:paraId="0DA3F963" w14:textId="77777777" w:rsidR="00403127" w:rsidRDefault="00403127" w:rsidP="00403127">
      <w:pPr>
        <w:pStyle w:val="a6"/>
        <w:spacing w:after="0" w:line="240" w:lineRule="auto"/>
        <w:ind w:left="0" w:firstLine="567"/>
        <w:jc w:val="both"/>
        <w:rPr>
          <w:rFonts w:ascii="Times New Roman" w:hAnsi="Times New Roman"/>
          <w:sz w:val="28"/>
          <w:szCs w:val="28"/>
        </w:rPr>
      </w:pPr>
      <w:r w:rsidRPr="004D49CF">
        <w:rPr>
          <w:rFonts w:ascii="Times New Roman" w:hAnsi="Times New Roman"/>
          <w:sz w:val="28"/>
          <w:szCs w:val="28"/>
        </w:rPr>
        <w:t xml:space="preserve">При функциональных осложнениях необходимо назначение </w:t>
      </w:r>
      <w:r w:rsidRPr="004D49CF">
        <w:rPr>
          <w:rFonts w:ascii="Times New Roman" w:hAnsi="Times New Roman"/>
          <w:sz w:val="28"/>
          <w:szCs w:val="28"/>
          <w:lang w:val="kk-KZ"/>
        </w:rPr>
        <w:t>FODMAP</w:t>
      </w:r>
      <w:r w:rsidRPr="004D49CF">
        <w:rPr>
          <w:rFonts w:ascii="Times New Roman" w:hAnsi="Times New Roman"/>
          <w:sz w:val="28"/>
          <w:szCs w:val="28"/>
        </w:rPr>
        <w:t xml:space="preserve"> диеты </w:t>
      </w:r>
      <w:r>
        <w:rPr>
          <w:rFonts w:ascii="Times New Roman" w:hAnsi="Times New Roman"/>
          <w:sz w:val="28"/>
          <w:szCs w:val="28"/>
        </w:rPr>
        <w:t xml:space="preserve">в составе комплексной реабилитации </w:t>
      </w:r>
      <w:r w:rsidRPr="004D49CF">
        <w:rPr>
          <w:rFonts w:ascii="Times New Roman" w:hAnsi="Times New Roman"/>
          <w:sz w:val="28"/>
          <w:szCs w:val="28"/>
        </w:rPr>
        <w:t xml:space="preserve">с постепенным расширением применяемых </w:t>
      </w:r>
      <w:r>
        <w:rPr>
          <w:rFonts w:ascii="Times New Roman" w:hAnsi="Times New Roman"/>
          <w:sz w:val="28"/>
          <w:szCs w:val="28"/>
        </w:rPr>
        <w:t>продуктов, что способствует купированию актуальных симптомов и улучшению отдаленных результатов.</w:t>
      </w:r>
    </w:p>
    <w:p w14:paraId="66A312D2" w14:textId="77777777" w:rsidR="00403127" w:rsidRPr="004D49CF" w:rsidRDefault="00403127" w:rsidP="00403127">
      <w:pPr>
        <w:pStyle w:val="a6"/>
        <w:spacing w:after="0" w:line="240" w:lineRule="auto"/>
        <w:ind w:left="0" w:firstLine="567"/>
        <w:jc w:val="both"/>
        <w:rPr>
          <w:rFonts w:ascii="Times New Roman" w:hAnsi="Times New Roman"/>
          <w:sz w:val="28"/>
          <w:szCs w:val="28"/>
        </w:rPr>
      </w:pPr>
      <w:r>
        <w:rPr>
          <w:rFonts w:ascii="Times New Roman" w:hAnsi="Times New Roman"/>
          <w:sz w:val="28"/>
          <w:szCs w:val="28"/>
        </w:rPr>
        <w:lastRenderedPageBreak/>
        <w:t>У</w:t>
      </w:r>
      <w:r w:rsidRPr="004D49CF">
        <w:rPr>
          <w:rFonts w:ascii="Times New Roman" w:hAnsi="Times New Roman"/>
          <w:sz w:val="28"/>
          <w:szCs w:val="28"/>
        </w:rPr>
        <w:t xml:space="preserve"> больных </w:t>
      </w:r>
      <w:r>
        <w:rPr>
          <w:rFonts w:ascii="Times New Roman" w:hAnsi="Times New Roman"/>
          <w:sz w:val="28"/>
          <w:szCs w:val="28"/>
        </w:rPr>
        <w:t xml:space="preserve">с </w:t>
      </w:r>
      <w:r w:rsidRPr="004D49CF">
        <w:rPr>
          <w:rFonts w:ascii="Times New Roman" w:hAnsi="Times New Roman"/>
          <w:sz w:val="28"/>
          <w:szCs w:val="28"/>
        </w:rPr>
        <w:t>энтероколит</w:t>
      </w:r>
      <w:r>
        <w:rPr>
          <w:rFonts w:ascii="Times New Roman" w:hAnsi="Times New Roman"/>
          <w:sz w:val="28"/>
          <w:szCs w:val="28"/>
        </w:rPr>
        <w:t xml:space="preserve">ом и </w:t>
      </w:r>
      <w:r w:rsidRPr="004D49CF">
        <w:rPr>
          <w:rFonts w:ascii="Times New Roman" w:hAnsi="Times New Roman"/>
          <w:sz w:val="28"/>
          <w:szCs w:val="28"/>
        </w:rPr>
        <w:t>с синдромом хронической диареи, необходимо проводить коррекцию микробиоценоза кишечника. Нутритивная поддержка в виде энтерального и/или парентерального питания повышает концентрацию электролитов в крови и способствует повышению массы тела в течение 1 года реабилитационного периода.</w:t>
      </w:r>
    </w:p>
    <w:p w14:paraId="1915E38C" w14:textId="77777777" w:rsidR="00403127" w:rsidRPr="00145B66" w:rsidRDefault="00403127" w:rsidP="00403127">
      <w:pPr>
        <w:pStyle w:val="a6"/>
        <w:spacing w:after="0" w:line="240" w:lineRule="auto"/>
        <w:ind w:left="0" w:firstLine="567"/>
        <w:jc w:val="both"/>
        <w:rPr>
          <w:rFonts w:ascii="Times New Roman" w:hAnsi="Times New Roman"/>
          <w:sz w:val="28"/>
          <w:szCs w:val="28"/>
        </w:rPr>
      </w:pPr>
      <w:r w:rsidRPr="00145B66">
        <w:rPr>
          <w:rFonts w:ascii="Times New Roman" w:hAnsi="Times New Roman"/>
          <w:sz w:val="28"/>
          <w:szCs w:val="28"/>
        </w:rPr>
        <w:t>Комплексные реабилитационные мероприятия, направленные на коррекцию функциональных осложнений, позволя</w:t>
      </w:r>
      <w:r>
        <w:rPr>
          <w:rFonts w:ascii="Times New Roman" w:hAnsi="Times New Roman"/>
          <w:sz w:val="28"/>
          <w:szCs w:val="28"/>
        </w:rPr>
        <w:t>ю</w:t>
      </w:r>
      <w:r w:rsidRPr="00145B66">
        <w:rPr>
          <w:rFonts w:ascii="Times New Roman" w:hAnsi="Times New Roman"/>
          <w:sz w:val="28"/>
          <w:szCs w:val="28"/>
        </w:rPr>
        <w:t xml:space="preserve">т улучшить качество жизни и </w:t>
      </w:r>
      <w:r>
        <w:rPr>
          <w:rFonts w:ascii="Times New Roman" w:hAnsi="Times New Roman"/>
          <w:sz w:val="28"/>
          <w:szCs w:val="28"/>
        </w:rPr>
        <w:t>показатели</w:t>
      </w:r>
      <w:r w:rsidRPr="00145B66">
        <w:rPr>
          <w:rFonts w:ascii="Times New Roman" w:hAnsi="Times New Roman"/>
          <w:sz w:val="28"/>
          <w:szCs w:val="28"/>
        </w:rPr>
        <w:t xml:space="preserve"> выживаемост</w:t>
      </w:r>
      <w:r>
        <w:rPr>
          <w:rFonts w:ascii="Times New Roman" w:hAnsi="Times New Roman"/>
          <w:sz w:val="28"/>
          <w:szCs w:val="28"/>
        </w:rPr>
        <w:t>и больных при раке ободочной кишки</w:t>
      </w:r>
      <w:r w:rsidRPr="00145B66">
        <w:rPr>
          <w:rFonts w:ascii="Times New Roman" w:hAnsi="Times New Roman"/>
          <w:sz w:val="28"/>
          <w:szCs w:val="28"/>
        </w:rPr>
        <w:t xml:space="preserve">. </w:t>
      </w:r>
    </w:p>
    <w:p w14:paraId="77C742DB" w14:textId="77777777" w:rsidR="00403127" w:rsidRPr="00145B66" w:rsidRDefault="00403127" w:rsidP="00403127">
      <w:pPr>
        <w:tabs>
          <w:tab w:val="left" w:pos="540"/>
        </w:tabs>
        <w:spacing w:after="0" w:line="240" w:lineRule="auto"/>
        <w:ind w:firstLine="567"/>
        <w:jc w:val="both"/>
        <w:rPr>
          <w:rFonts w:ascii="Times New Roman" w:hAnsi="Times New Roman"/>
          <w:b/>
          <w:bCs/>
          <w:sz w:val="28"/>
          <w:szCs w:val="28"/>
        </w:rPr>
      </w:pPr>
      <w:r w:rsidRPr="00145B66">
        <w:rPr>
          <w:rFonts w:ascii="Times New Roman" w:hAnsi="Times New Roman"/>
          <w:b/>
          <w:bCs/>
          <w:sz w:val="28"/>
          <w:szCs w:val="28"/>
        </w:rPr>
        <w:t>Положения, выносимые на защиту</w:t>
      </w:r>
      <w:r>
        <w:rPr>
          <w:rFonts w:ascii="Times New Roman" w:hAnsi="Times New Roman"/>
          <w:b/>
          <w:bCs/>
          <w:sz w:val="28"/>
          <w:szCs w:val="28"/>
        </w:rPr>
        <w:t>:</w:t>
      </w:r>
    </w:p>
    <w:p w14:paraId="325CB2F6" w14:textId="77777777" w:rsidR="00403127" w:rsidRPr="00145B66" w:rsidRDefault="00403127" w:rsidP="00403127">
      <w:pPr>
        <w:pStyle w:val="a6"/>
        <w:numPr>
          <w:ilvl w:val="0"/>
          <w:numId w:val="3"/>
        </w:numPr>
        <w:tabs>
          <w:tab w:val="left" w:pos="851"/>
        </w:tabs>
        <w:spacing w:after="0" w:line="240" w:lineRule="auto"/>
        <w:ind w:left="0" w:firstLine="567"/>
        <w:jc w:val="both"/>
        <w:rPr>
          <w:rFonts w:ascii="Times New Roman" w:hAnsi="Times New Roman"/>
          <w:bCs/>
          <w:sz w:val="28"/>
          <w:szCs w:val="28"/>
        </w:rPr>
      </w:pPr>
      <w:r>
        <w:rPr>
          <w:rFonts w:ascii="Times New Roman" w:hAnsi="Times New Roman"/>
          <w:bCs/>
          <w:sz w:val="28"/>
          <w:szCs w:val="28"/>
        </w:rPr>
        <w:t>Неблагоприятными прогностическими ф</w:t>
      </w:r>
      <w:r w:rsidRPr="00145B66">
        <w:rPr>
          <w:rFonts w:ascii="Times New Roman" w:hAnsi="Times New Roman"/>
          <w:bCs/>
          <w:sz w:val="28"/>
          <w:szCs w:val="28"/>
        </w:rPr>
        <w:t xml:space="preserve">акторами </w:t>
      </w:r>
      <w:r>
        <w:rPr>
          <w:rFonts w:ascii="Times New Roman" w:hAnsi="Times New Roman"/>
          <w:bCs/>
          <w:sz w:val="28"/>
          <w:szCs w:val="28"/>
        </w:rPr>
        <w:t>при раке</w:t>
      </w:r>
      <w:r w:rsidRPr="00145B66">
        <w:rPr>
          <w:rFonts w:ascii="Times New Roman" w:hAnsi="Times New Roman"/>
          <w:bCs/>
          <w:sz w:val="28"/>
          <w:szCs w:val="28"/>
        </w:rPr>
        <w:t xml:space="preserve"> ободочной кишки являются наличие функциональных осложнений после хирургического лечения</w:t>
      </w:r>
      <w:r>
        <w:rPr>
          <w:rFonts w:ascii="Times New Roman" w:hAnsi="Times New Roman"/>
          <w:bCs/>
          <w:sz w:val="28"/>
          <w:szCs w:val="28"/>
        </w:rPr>
        <w:t xml:space="preserve"> с учетом </w:t>
      </w:r>
      <w:r w:rsidRPr="00145B66">
        <w:rPr>
          <w:rFonts w:ascii="Times New Roman" w:hAnsi="Times New Roman"/>
          <w:bCs/>
          <w:sz w:val="28"/>
          <w:szCs w:val="28"/>
        </w:rPr>
        <w:t>возраст</w:t>
      </w:r>
      <w:r>
        <w:rPr>
          <w:rFonts w:ascii="Times New Roman" w:hAnsi="Times New Roman"/>
          <w:bCs/>
          <w:sz w:val="28"/>
          <w:szCs w:val="28"/>
        </w:rPr>
        <w:t>а,</w:t>
      </w:r>
      <w:r w:rsidRPr="00145B66">
        <w:rPr>
          <w:rFonts w:ascii="Times New Roman" w:hAnsi="Times New Roman"/>
          <w:bCs/>
          <w:sz w:val="28"/>
          <w:szCs w:val="28"/>
        </w:rPr>
        <w:t xml:space="preserve"> </w:t>
      </w:r>
      <w:r>
        <w:rPr>
          <w:rFonts w:ascii="Times New Roman" w:hAnsi="Times New Roman"/>
          <w:bCs/>
          <w:sz w:val="28"/>
          <w:szCs w:val="28"/>
          <w:lang w:val="en-US"/>
        </w:rPr>
        <w:t>III</w:t>
      </w:r>
      <w:r w:rsidRPr="00403127">
        <w:rPr>
          <w:rFonts w:ascii="Times New Roman" w:hAnsi="Times New Roman"/>
          <w:bCs/>
          <w:sz w:val="28"/>
          <w:szCs w:val="28"/>
        </w:rPr>
        <w:t xml:space="preserve"> </w:t>
      </w:r>
      <w:r>
        <w:rPr>
          <w:rFonts w:ascii="Times New Roman" w:hAnsi="Times New Roman"/>
          <w:bCs/>
          <w:sz w:val="28"/>
          <w:szCs w:val="28"/>
        </w:rPr>
        <w:t>стадии заболевания</w:t>
      </w:r>
      <w:r w:rsidRPr="00403127">
        <w:rPr>
          <w:rFonts w:ascii="Times New Roman" w:hAnsi="Times New Roman"/>
          <w:bCs/>
          <w:sz w:val="28"/>
          <w:szCs w:val="28"/>
        </w:rPr>
        <w:t xml:space="preserve"> </w:t>
      </w:r>
      <w:r>
        <w:rPr>
          <w:rFonts w:ascii="Times New Roman" w:hAnsi="Times New Roman"/>
          <w:bCs/>
          <w:sz w:val="28"/>
          <w:szCs w:val="28"/>
        </w:rPr>
        <w:t xml:space="preserve">и </w:t>
      </w:r>
      <w:r w:rsidRPr="00145B66">
        <w:rPr>
          <w:rFonts w:ascii="Times New Roman" w:hAnsi="Times New Roman"/>
          <w:bCs/>
          <w:sz w:val="28"/>
          <w:szCs w:val="28"/>
        </w:rPr>
        <w:t>низк</w:t>
      </w:r>
      <w:r>
        <w:rPr>
          <w:rFonts w:ascii="Times New Roman" w:hAnsi="Times New Roman"/>
          <w:bCs/>
          <w:sz w:val="28"/>
          <w:szCs w:val="28"/>
        </w:rPr>
        <w:t>ой</w:t>
      </w:r>
      <w:r w:rsidRPr="00145B66">
        <w:rPr>
          <w:rFonts w:ascii="Times New Roman" w:hAnsi="Times New Roman"/>
          <w:bCs/>
          <w:sz w:val="28"/>
          <w:szCs w:val="28"/>
        </w:rPr>
        <w:t xml:space="preserve"> дифференцировк</w:t>
      </w:r>
      <w:r>
        <w:rPr>
          <w:rFonts w:ascii="Times New Roman" w:hAnsi="Times New Roman"/>
          <w:bCs/>
          <w:sz w:val="28"/>
          <w:szCs w:val="28"/>
        </w:rPr>
        <w:t>и</w:t>
      </w:r>
      <w:r w:rsidRPr="00145B66">
        <w:rPr>
          <w:rFonts w:ascii="Times New Roman" w:hAnsi="Times New Roman"/>
          <w:bCs/>
          <w:sz w:val="28"/>
          <w:szCs w:val="28"/>
        </w:rPr>
        <w:t xml:space="preserve"> опухолевой клетки.</w:t>
      </w:r>
    </w:p>
    <w:p w14:paraId="294A5452" w14:textId="77777777" w:rsidR="00403127" w:rsidRPr="00EB76DD" w:rsidRDefault="00403127" w:rsidP="00403127">
      <w:pPr>
        <w:pStyle w:val="a6"/>
        <w:numPr>
          <w:ilvl w:val="0"/>
          <w:numId w:val="3"/>
        </w:numPr>
        <w:tabs>
          <w:tab w:val="left" w:pos="851"/>
        </w:tabs>
        <w:spacing w:after="0" w:line="240" w:lineRule="auto"/>
        <w:ind w:left="0" w:firstLine="567"/>
        <w:jc w:val="both"/>
        <w:rPr>
          <w:rFonts w:ascii="Times New Roman" w:hAnsi="Times New Roman"/>
          <w:bCs/>
          <w:sz w:val="28"/>
          <w:szCs w:val="28"/>
        </w:rPr>
      </w:pPr>
      <w:r w:rsidRPr="00EB76DD">
        <w:rPr>
          <w:rFonts w:ascii="Times New Roman" w:hAnsi="Times New Roman"/>
          <w:bCs/>
          <w:sz w:val="28"/>
          <w:szCs w:val="28"/>
        </w:rPr>
        <w:t>Удаление илеоцекального угла и формирование стомы при раке ободочной кишки способствует развитию функциональных осложнений. Клиническое течение функциональных осложнений сопровождается нарушением нормального микробиоценоза кишечника, изменением электролитного баланса и нутритивного статуса.</w:t>
      </w:r>
    </w:p>
    <w:p w14:paraId="2391962C" w14:textId="77777777" w:rsidR="00403127" w:rsidRPr="00145B66" w:rsidRDefault="00403127" w:rsidP="00403127">
      <w:pPr>
        <w:pStyle w:val="a6"/>
        <w:numPr>
          <w:ilvl w:val="0"/>
          <w:numId w:val="3"/>
        </w:numPr>
        <w:tabs>
          <w:tab w:val="left" w:pos="851"/>
        </w:tabs>
        <w:spacing w:after="0" w:line="240" w:lineRule="auto"/>
        <w:ind w:left="0" w:firstLine="567"/>
        <w:jc w:val="both"/>
        <w:rPr>
          <w:rFonts w:ascii="Times New Roman" w:hAnsi="Times New Roman"/>
          <w:bCs/>
          <w:sz w:val="28"/>
          <w:szCs w:val="28"/>
        </w:rPr>
      </w:pPr>
      <w:r>
        <w:rPr>
          <w:rFonts w:ascii="Times New Roman" w:hAnsi="Times New Roman"/>
          <w:bCs/>
          <w:sz w:val="28"/>
          <w:szCs w:val="28"/>
        </w:rPr>
        <w:t>Предложенные к</w:t>
      </w:r>
      <w:r w:rsidRPr="00145B66">
        <w:rPr>
          <w:rFonts w:ascii="Times New Roman" w:hAnsi="Times New Roman"/>
          <w:bCs/>
          <w:sz w:val="28"/>
          <w:szCs w:val="28"/>
        </w:rPr>
        <w:t xml:space="preserve">омплексные реабилитационные мероприятия способствуют купированию клинических проявлений функциональных осложнений, улучшению качества жизни и </w:t>
      </w:r>
      <w:r>
        <w:rPr>
          <w:rFonts w:ascii="Times New Roman" w:hAnsi="Times New Roman"/>
          <w:bCs/>
          <w:sz w:val="28"/>
          <w:szCs w:val="28"/>
        </w:rPr>
        <w:t>показателей</w:t>
      </w:r>
      <w:r w:rsidRPr="00145B66">
        <w:rPr>
          <w:rFonts w:ascii="Times New Roman" w:hAnsi="Times New Roman"/>
          <w:bCs/>
          <w:sz w:val="28"/>
          <w:szCs w:val="28"/>
        </w:rPr>
        <w:t xml:space="preserve"> выживаемости.</w:t>
      </w:r>
    </w:p>
    <w:p w14:paraId="233ADB4C" w14:textId="77777777" w:rsidR="00403127" w:rsidRPr="00145B66" w:rsidRDefault="00403127" w:rsidP="00403127">
      <w:pPr>
        <w:spacing w:after="0" w:line="240" w:lineRule="auto"/>
        <w:ind w:firstLine="567"/>
        <w:jc w:val="both"/>
        <w:rPr>
          <w:rFonts w:ascii="Times New Roman" w:hAnsi="Times New Roman"/>
          <w:b/>
          <w:bCs/>
          <w:sz w:val="28"/>
          <w:szCs w:val="28"/>
        </w:rPr>
      </w:pPr>
      <w:r w:rsidRPr="00145B66">
        <w:rPr>
          <w:rFonts w:ascii="Times New Roman" w:hAnsi="Times New Roman"/>
          <w:b/>
          <w:bCs/>
          <w:sz w:val="28"/>
          <w:szCs w:val="28"/>
        </w:rPr>
        <w:t>Апробация диссертации</w:t>
      </w:r>
      <w:r>
        <w:rPr>
          <w:rFonts w:ascii="Times New Roman" w:hAnsi="Times New Roman"/>
          <w:b/>
          <w:bCs/>
          <w:sz w:val="28"/>
          <w:szCs w:val="28"/>
        </w:rPr>
        <w:t>.</w:t>
      </w:r>
    </w:p>
    <w:p w14:paraId="23FBA6C3" w14:textId="77777777" w:rsidR="00403127" w:rsidRPr="00145B66" w:rsidRDefault="00403127" w:rsidP="00403127">
      <w:pPr>
        <w:spacing w:after="0" w:line="240" w:lineRule="auto"/>
        <w:ind w:firstLine="567"/>
        <w:jc w:val="both"/>
        <w:rPr>
          <w:rFonts w:ascii="Times New Roman" w:hAnsi="Times New Roman"/>
          <w:sz w:val="28"/>
          <w:szCs w:val="28"/>
        </w:rPr>
      </w:pPr>
      <w:r w:rsidRPr="00145B66">
        <w:rPr>
          <w:rFonts w:ascii="Times New Roman" w:hAnsi="Times New Roman"/>
          <w:sz w:val="28"/>
          <w:szCs w:val="28"/>
        </w:rPr>
        <w:t>Основные результаты исследования и положения диссертации доложены и обсуждены на:</w:t>
      </w:r>
    </w:p>
    <w:p w14:paraId="08394A81" w14:textId="77777777" w:rsidR="00403127" w:rsidRPr="00563524" w:rsidRDefault="00403127" w:rsidP="00403127">
      <w:pPr>
        <w:pStyle w:val="a6"/>
        <w:spacing w:after="0" w:line="240" w:lineRule="auto"/>
        <w:ind w:left="0" w:firstLine="567"/>
        <w:jc w:val="both"/>
        <w:rPr>
          <w:rFonts w:ascii="Times New Roman" w:hAnsi="Times New Roman"/>
          <w:sz w:val="28"/>
          <w:szCs w:val="28"/>
        </w:rPr>
      </w:pPr>
      <w:r>
        <w:rPr>
          <w:rFonts w:ascii="Times New Roman" w:hAnsi="Times New Roman"/>
          <w:sz w:val="28"/>
          <w:szCs w:val="28"/>
        </w:rPr>
        <w:t>–</w:t>
      </w:r>
      <w:r w:rsidRPr="003B3129">
        <w:rPr>
          <w:rFonts w:ascii="Times New Roman" w:hAnsi="Times New Roman"/>
          <w:sz w:val="28"/>
          <w:szCs w:val="28"/>
        </w:rPr>
        <w:t> </w:t>
      </w:r>
      <w:r w:rsidRPr="00563524">
        <w:rPr>
          <w:rFonts w:ascii="Times New Roman" w:hAnsi="Times New Roman"/>
          <w:sz w:val="28"/>
          <w:szCs w:val="28"/>
        </w:rPr>
        <w:t>конференции</w:t>
      </w:r>
      <w:r w:rsidRPr="00563524">
        <w:rPr>
          <w:rFonts w:ascii="Times New Roman" w:hAnsi="Times New Roman"/>
          <w:sz w:val="28"/>
          <w:szCs w:val="28"/>
          <w:lang w:val="kk-KZ"/>
        </w:rPr>
        <w:t xml:space="preserve"> «Инновационные технологии в медицине» (Самарканд</w:t>
      </w:r>
      <w:r w:rsidRPr="00563524">
        <w:rPr>
          <w:rFonts w:ascii="Times New Roman" w:hAnsi="Times New Roman"/>
          <w:sz w:val="28"/>
          <w:szCs w:val="28"/>
        </w:rPr>
        <w:t>, ноябрь 2018);</w:t>
      </w:r>
    </w:p>
    <w:p w14:paraId="18EBEB2A" w14:textId="77777777" w:rsidR="00403127" w:rsidRPr="00563524" w:rsidRDefault="00403127" w:rsidP="00403127">
      <w:pPr>
        <w:pStyle w:val="a6"/>
        <w:spacing w:after="0" w:line="240" w:lineRule="auto"/>
        <w:ind w:left="0" w:firstLine="567"/>
        <w:jc w:val="both"/>
        <w:rPr>
          <w:rFonts w:ascii="Times New Roman" w:hAnsi="Times New Roman"/>
          <w:sz w:val="28"/>
          <w:szCs w:val="28"/>
        </w:rPr>
      </w:pPr>
      <w:r>
        <w:rPr>
          <w:rFonts w:ascii="Times New Roman" w:hAnsi="Times New Roman"/>
          <w:sz w:val="28"/>
          <w:szCs w:val="28"/>
        </w:rPr>
        <w:t>–</w:t>
      </w:r>
      <w:r w:rsidRPr="003B3129">
        <w:rPr>
          <w:rFonts w:ascii="Times New Roman" w:hAnsi="Times New Roman"/>
          <w:sz w:val="28"/>
          <w:szCs w:val="28"/>
        </w:rPr>
        <w:t> </w:t>
      </w:r>
      <w:r>
        <w:rPr>
          <w:rFonts w:ascii="Times New Roman" w:hAnsi="Times New Roman"/>
          <w:sz w:val="28"/>
          <w:szCs w:val="28"/>
        </w:rPr>
        <w:t>10-м</w:t>
      </w:r>
      <w:r w:rsidRPr="00563524">
        <w:rPr>
          <w:rFonts w:ascii="Times New Roman" w:hAnsi="Times New Roman"/>
          <w:sz w:val="28"/>
          <w:szCs w:val="28"/>
        </w:rPr>
        <w:t xml:space="preserve"> съезде онкологов и радиологов стран СНГ и Евразии памяти академика Н.Н. Трапезникова (Россия, Сочи, 23-25 апреля 2018);</w:t>
      </w:r>
    </w:p>
    <w:p w14:paraId="2DA97BDB" w14:textId="6752864F" w:rsidR="00403127" w:rsidRPr="00563524" w:rsidRDefault="00403127" w:rsidP="00403127">
      <w:pPr>
        <w:pStyle w:val="a6"/>
        <w:spacing w:after="0" w:line="240" w:lineRule="auto"/>
        <w:ind w:left="0" w:firstLine="567"/>
        <w:jc w:val="both"/>
        <w:rPr>
          <w:rFonts w:ascii="Times New Roman" w:hAnsi="Times New Roman"/>
          <w:sz w:val="28"/>
          <w:szCs w:val="28"/>
        </w:rPr>
      </w:pPr>
      <w:r>
        <w:rPr>
          <w:rFonts w:ascii="Times New Roman" w:hAnsi="Times New Roman"/>
          <w:sz w:val="28"/>
          <w:szCs w:val="28"/>
        </w:rPr>
        <w:t>–</w:t>
      </w:r>
      <w:r w:rsidRPr="003B3129">
        <w:rPr>
          <w:rFonts w:ascii="Times New Roman" w:hAnsi="Times New Roman"/>
          <w:sz w:val="28"/>
          <w:szCs w:val="28"/>
        </w:rPr>
        <w:t> </w:t>
      </w:r>
      <w:r w:rsidRPr="00563524">
        <w:rPr>
          <w:rFonts w:ascii="Times New Roman" w:hAnsi="Times New Roman"/>
          <w:sz w:val="28"/>
          <w:szCs w:val="28"/>
        </w:rPr>
        <w:t xml:space="preserve">международной научно-практической конференции студентов и молодых ученых «Медицинская наука и образование: молодость и стремление </w:t>
      </w:r>
      <w:r w:rsidR="00C65055">
        <w:rPr>
          <w:rFonts w:ascii="Times New Roman" w:hAnsi="Times New Roman"/>
          <w:sz w:val="28"/>
          <w:szCs w:val="28"/>
        </w:rPr>
        <w:t>–</w:t>
      </w:r>
      <w:r w:rsidRPr="00563524">
        <w:rPr>
          <w:rFonts w:ascii="Times New Roman" w:hAnsi="Times New Roman"/>
          <w:sz w:val="28"/>
          <w:szCs w:val="28"/>
        </w:rPr>
        <w:t xml:space="preserve"> 2019», (Нур-Султан, 1-2 октября 2019);</w:t>
      </w:r>
    </w:p>
    <w:p w14:paraId="5A0152FA" w14:textId="77777777" w:rsidR="00403127" w:rsidRPr="00563524" w:rsidRDefault="00403127" w:rsidP="00403127">
      <w:pPr>
        <w:pStyle w:val="a6"/>
        <w:spacing w:after="0" w:line="240" w:lineRule="auto"/>
        <w:ind w:left="0" w:firstLine="567"/>
        <w:jc w:val="both"/>
        <w:rPr>
          <w:rFonts w:ascii="Times New Roman" w:hAnsi="Times New Roman"/>
          <w:sz w:val="28"/>
          <w:szCs w:val="28"/>
        </w:rPr>
      </w:pPr>
      <w:r>
        <w:rPr>
          <w:rFonts w:ascii="Times New Roman" w:hAnsi="Times New Roman"/>
          <w:sz w:val="28"/>
          <w:szCs w:val="28"/>
        </w:rPr>
        <w:t>–</w:t>
      </w:r>
      <w:r w:rsidRPr="003B3129">
        <w:rPr>
          <w:rFonts w:ascii="Times New Roman" w:hAnsi="Times New Roman"/>
          <w:sz w:val="28"/>
          <w:szCs w:val="28"/>
        </w:rPr>
        <w:t> </w:t>
      </w:r>
      <w:r>
        <w:rPr>
          <w:rFonts w:ascii="Times New Roman" w:hAnsi="Times New Roman"/>
          <w:sz w:val="28"/>
          <w:szCs w:val="28"/>
        </w:rPr>
        <w:t>7-м</w:t>
      </w:r>
      <w:r w:rsidRPr="00563524">
        <w:rPr>
          <w:rFonts w:ascii="Times New Roman" w:hAnsi="Times New Roman"/>
          <w:color w:val="FF0000"/>
          <w:sz w:val="28"/>
          <w:szCs w:val="28"/>
        </w:rPr>
        <w:t xml:space="preserve"> </w:t>
      </w:r>
      <w:r w:rsidRPr="00563524">
        <w:rPr>
          <w:rFonts w:ascii="Times New Roman" w:hAnsi="Times New Roman"/>
          <w:sz w:val="28"/>
          <w:szCs w:val="28"/>
        </w:rPr>
        <w:t>съезде онкологов и радиологов Казахстана (Алматы, 17-18 октября 2019);</w:t>
      </w:r>
    </w:p>
    <w:p w14:paraId="7FD93987" w14:textId="77777777" w:rsidR="00403127" w:rsidRPr="003831F7" w:rsidRDefault="00403127" w:rsidP="00403127">
      <w:pPr>
        <w:pStyle w:val="a6"/>
        <w:spacing w:after="0" w:line="240" w:lineRule="auto"/>
        <w:ind w:left="0" w:firstLine="567"/>
        <w:jc w:val="both"/>
        <w:rPr>
          <w:rFonts w:ascii="Times New Roman" w:hAnsi="Times New Roman"/>
          <w:sz w:val="28"/>
          <w:szCs w:val="28"/>
        </w:rPr>
      </w:pPr>
      <w:r>
        <w:rPr>
          <w:rFonts w:ascii="Times New Roman" w:hAnsi="Times New Roman"/>
          <w:sz w:val="28"/>
          <w:szCs w:val="28"/>
        </w:rPr>
        <w:t>–</w:t>
      </w:r>
      <w:r w:rsidRPr="003B3129">
        <w:rPr>
          <w:rFonts w:ascii="Times New Roman" w:hAnsi="Times New Roman"/>
          <w:sz w:val="28"/>
          <w:szCs w:val="28"/>
        </w:rPr>
        <w:t> </w:t>
      </w:r>
      <w:r w:rsidRPr="00563524">
        <w:rPr>
          <w:rFonts w:ascii="Times New Roman" w:hAnsi="Times New Roman"/>
          <w:sz w:val="28"/>
          <w:szCs w:val="28"/>
        </w:rPr>
        <w:t xml:space="preserve">международной научно-практической конференции «Современная онкология: клиника, диагностика, лечение и реабилитация» (Нур-Султан, 26-27ноября 2020); </w:t>
      </w:r>
    </w:p>
    <w:p w14:paraId="4B80E1C9" w14:textId="77777777" w:rsidR="00403127" w:rsidRPr="00563524" w:rsidRDefault="00403127" w:rsidP="00403127">
      <w:pPr>
        <w:pStyle w:val="a6"/>
        <w:spacing w:after="0" w:line="240" w:lineRule="auto"/>
        <w:ind w:left="0" w:firstLine="567"/>
        <w:jc w:val="both"/>
        <w:rPr>
          <w:rFonts w:ascii="Times New Roman" w:hAnsi="Times New Roman"/>
          <w:sz w:val="28"/>
          <w:szCs w:val="28"/>
        </w:rPr>
      </w:pPr>
      <w:r>
        <w:rPr>
          <w:rFonts w:ascii="Times New Roman" w:hAnsi="Times New Roman"/>
          <w:bCs/>
          <w:sz w:val="28"/>
          <w:szCs w:val="28"/>
          <w:shd w:val="clear" w:color="auto" w:fill="FFFFFF"/>
        </w:rPr>
        <w:t>–</w:t>
      </w:r>
      <w:r w:rsidRPr="00563524">
        <w:rPr>
          <w:rFonts w:ascii="Times New Roman" w:hAnsi="Times New Roman"/>
          <w:bCs/>
          <w:sz w:val="28"/>
          <w:szCs w:val="28"/>
          <w:shd w:val="clear" w:color="auto" w:fill="FFFFFF"/>
        </w:rPr>
        <w:t xml:space="preserve"> </w:t>
      </w:r>
      <w:r>
        <w:rPr>
          <w:rFonts w:ascii="Times New Roman" w:hAnsi="Times New Roman"/>
          <w:bCs/>
          <w:sz w:val="28"/>
          <w:szCs w:val="28"/>
          <w:shd w:val="clear" w:color="auto" w:fill="FFFFFF"/>
        </w:rPr>
        <w:t>11-м</w:t>
      </w:r>
      <w:r w:rsidRPr="00563524">
        <w:rPr>
          <w:rFonts w:ascii="Times New Roman" w:hAnsi="Times New Roman"/>
          <w:bCs/>
          <w:sz w:val="28"/>
          <w:szCs w:val="28"/>
          <w:shd w:val="clear" w:color="auto" w:fill="FFFFFF"/>
          <w:lang w:val="kk-KZ"/>
        </w:rPr>
        <w:t xml:space="preserve"> </w:t>
      </w:r>
      <w:r w:rsidRPr="00563524">
        <w:rPr>
          <w:rFonts w:ascii="Times New Roman" w:hAnsi="Times New Roman"/>
          <w:bCs/>
          <w:sz w:val="28"/>
          <w:szCs w:val="28"/>
          <w:shd w:val="clear" w:color="auto" w:fill="FFFFFF"/>
          <w:lang w:val="en-US"/>
        </w:rPr>
        <w:t>c</w:t>
      </w:r>
      <w:r w:rsidRPr="00563524">
        <w:rPr>
          <w:rFonts w:ascii="Times New Roman" w:hAnsi="Times New Roman"/>
          <w:bCs/>
          <w:sz w:val="28"/>
          <w:szCs w:val="28"/>
          <w:shd w:val="clear" w:color="auto" w:fill="FFFFFF"/>
          <w:lang w:val="kk-KZ"/>
        </w:rPr>
        <w:t>ъезде онкологов и радиологов стран СНГ и Евразии</w:t>
      </w:r>
      <w:r w:rsidRPr="00563524">
        <w:rPr>
          <w:rFonts w:ascii="Times New Roman" w:hAnsi="Times New Roman"/>
          <w:sz w:val="28"/>
          <w:szCs w:val="28"/>
        </w:rPr>
        <w:t xml:space="preserve"> имени Н.Н. Трапезникова (</w:t>
      </w:r>
      <w:r w:rsidRPr="00563524">
        <w:rPr>
          <w:rFonts w:ascii="Times New Roman" w:hAnsi="Times New Roman"/>
          <w:bCs/>
          <w:sz w:val="28"/>
          <w:szCs w:val="28"/>
          <w:shd w:val="clear" w:color="auto" w:fill="FFFFFF"/>
          <w:lang w:val="kk-KZ"/>
        </w:rPr>
        <w:t>Казань, 23-25 апреля 2020 г.)</w:t>
      </w:r>
    </w:p>
    <w:p w14:paraId="2A62ABAC" w14:textId="77777777" w:rsidR="00403127" w:rsidRDefault="00403127" w:rsidP="00403127">
      <w:pPr>
        <w:pStyle w:val="a6"/>
        <w:spacing w:after="0" w:line="240" w:lineRule="auto"/>
        <w:ind w:left="0" w:firstLine="567"/>
        <w:jc w:val="both"/>
        <w:rPr>
          <w:rFonts w:ascii="Times New Roman" w:hAnsi="Times New Roman"/>
          <w:sz w:val="28"/>
          <w:szCs w:val="28"/>
        </w:rPr>
      </w:pPr>
      <w:r>
        <w:rPr>
          <w:rFonts w:ascii="Times New Roman" w:hAnsi="Times New Roman"/>
          <w:sz w:val="24"/>
          <w:szCs w:val="24"/>
        </w:rPr>
        <w:t>–</w:t>
      </w:r>
      <w:r w:rsidRPr="00563524">
        <w:rPr>
          <w:rFonts w:ascii="Times New Roman" w:hAnsi="Times New Roman"/>
          <w:sz w:val="24"/>
          <w:szCs w:val="24"/>
        </w:rPr>
        <w:t xml:space="preserve"> </w:t>
      </w:r>
      <w:r w:rsidRPr="00563524">
        <w:rPr>
          <w:rFonts w:ascii="Times New Roman" w:hAnsi="Times New Roman"/>
          <w:sz w:val="28"/>
          <w:szCs w:val="28"/>
        </w:rPr>
        <w:t>внеочередном 12-м съезде онкологов и радиологов стран СНГ и Евразии имени Н.Н. Трапезникова (Москва, 7-9 апреля 2021);</w:t>
      </w:r>
    </w:p>
    <w:p w14:paraId="26609C2F" w14:textId="77777777" w:rsidR="00403127" w:rsidRDefault="00403127" w:rsidP="00403127">
      <w:pPr>
        <w:pStyle w:val="a6"/>
        <w:spacing w:after="0" w:line="240" w:lineRule="auto"/>
        <w:ind w:left="0" w:firstLine="567"/>
        <w:jc w:val="both"/>
        <w:rPr>
          <w:rFonts w:ascii="Times New Roman" w:hAnsi="Times New Roman"/>
          <w:sz w:val="28"/>
          <w:szCs w:val="28"/>
        </w:rPr>
      </w:pPr>
      <w:r>
        <w:rPr>
          <w:rFonts w:ascii="Times New Roman" w:hAnsi="Times New Roman"/>
          <w:sz w:val="28"/>
          <w:szCs w:val="28"/>
        </w:rPr>
        <w:t xml:space="preserve">– </w:t>
      </w:r>
      <w:r w:rsidRPr="00563524">
        <w:rPr>
          <w:rFonts w:ascii="Times New Roman" w:hAnsi="Times New Roman"/>
          <w:sz w:val="28"/>
          <w:szCs w:val="28"/>
        </w:rPr>
        <w:t>международной научно-практической конференции молодых у</w:t>
      </w:r>
      <w:r>
        <w:rPr>
          <w:rFonts w:ascii="Times New Roman" w:hAnsi="Times New Roman"/>
          <w:sz w:val="28"/>
          <w:szCs w:val="28"/>
        </w:rPr>
        <w:t>ченых</w:t>
      </w:r>
      <w:r w:rsidRPr="00563524">
        <w:rPr>
          <w:rFonts w:ascii="Times New Roman" w:hAnsi="Times New Roman"/>
          <w:sz w:val="28"/>
          <w:szCs w:val="28"/>
        </w:rPr>
        <w:t xml:space="preserve"> </w:t>
      </w:r>
      <w:r>
        <w:rPr>
          <w:rFonts w:ascii="Times New Roman" w:hAnsi="Times New Roman"/>
          <w:sz w:val="28"/>
          <w:szCs w:val="28"/>
        </w:rPr>
        <w:t>и студентов, приуроченная к 30-летию Независимости Республики Казахстан (</w:t>
      </w:r>
      <w:r w:rsidRPr="00563524">
        <w:rPr>
          <w:rFonts w:ascii="Times New Roman" w:hAnsi="Times New Roman"/>
          <w:sz w:val="28"/>
          <w:szCs w:val="28"/>
        </w:rPr>
        <w:t xml:space="preserve">Нур-Султан, </w:t>
      </w:r>
      <w:r>
        <w:rPr>
          <w:rFonts w:ascii="Times New Roman" w:hAnsi="Times New Roman"/>
          <w:sz w:val="28"/>
          <w:szCs w:val="28"/>
        </w:rPr>
        <w:t>09-10 декабря</w:t>
      </w:r>
      <w:r w:rsidRPr="00563524">
        <w:rPr>
          <w:rFonts w:ascii="Times New Roman" w:hAnsi="Times New Roman"/>
          <w:sz w:val="28"/>
          <w:szCs w:val="28"/>
        </w:rPr>
        <w:t xml:space="preserve"> 202</w:t>
      </w:r>
      <w:r>
        <w:rPr>
          <w:rFonts w:ascii="Times New Roman" w:hAnsi="Times New Roman"/>
          <w:sz w:val="28"/>
          <w:szCs w:val="28"/>
        </w:rPr>
        <w:t>1</w:t>
      </w:r>
      <w:r w:rsidRPr="00563524">
        <w:rPr>
          <w:rFonts w:ascii="Times New Roman" w:hAnsi="Times New Roman"/>
          <w:sz w:val="28"/>
          <w:szCs w:val="28"/>
        </w:rPr>
        <w:t>);</w:t>
      </w:r>
    </w:p>
    <w:p w14:paraId="6354817A" w14:textId="77777777" w:rsidR="00403127" w:rsidRPr="00D07A54" w:rsidRDefault="00403127" w:rsidP="00403127">
      <w:pPr>
        <w:pStyle w:val="a6"/>
        <w:spacing w:after="0" w:line="240" w:lineRule="auto"/>
        <w:ind w:left="0" w:firstLine="567"/>
        <w:jc w:val="both"/>
        <w:rPr>
          <w:rFonts w:ascii="Times New Roman" w:hAnsi="Times New Roman"/>
          <w:sz w:val="28"/>
          <w:szCs w:val="28"/>
        </w:rPr>
      </w:pPr>
      <w:r>
        <w:rPr>
          <w:rFonts w:ascii="Times New Roman" w:hAnsi="Times New Roman"/>
          <w:sz w:val="28"/>
          <w:szCs w:val="28"/>
        </w:rPr>
        <w:t>– 44-й международной научно-практической конференции «</w:t>
      </w:r>
      <w:proofErr w:type="spellStart"/>
      <w:r>
        <w:rPr>
          <w:rFonts w:ascii="Times New Roman" w:hAnsi="Times New Roman"/>
          <w:sz w:val="28"/>
          <w:szCs w:val="28"/>
          <w:lang w:val="en-US"/>
        </w:rPr>
        <w:t>Eurasiascience</w:t>
      </w:r>
      <w:proofErr w:type="spellEnd"/>
      <w:r>
        <w:rPr>
          <w:rFonts w:ascii="Times New Roman" w:hAnsi="Times New Roman"/>
          <w:sz w:val="28"/>
          <w:szCs w:val="28"/>
        </w:rPr>
        <w:t>»</w:t>
      </w:r>
      <w:r w:rsidRPr="00D07A54">
        <w:rPr>
          <w:rFonts w:ascii="Times New Roman" w:hAnsi="Times New Roman"/>
          <w:sz w:val="28"/>
          <w:szCs w:val="28"/>
        </w:rPr>
        <w:t xml:space="preserve"> (</w:t>
      </w:r>
      <w:r>
        <w:rPr>
          <w:rFonts w:ascii="Times New Roman" w:hAnsi="Times New Roman"/>
          <w:sz w:val="28"/>
          <w:szCs w:val="28"/>
        </w:rPr>
        <w:t>Москва, 31 марта 2022</w:t>
      </w:r>
      <w:r w:rsidRPr="00D07A54">
        <w:rPr>
          <w:rFonts w:ascii="Times New Roman" w:hAnsi="Times New Roman"/>
          <w:sz w:val="28"/>
          <w:szCs w:val="28"/>
        </w:rPr>
        <w:t>)</w:t>
      </w:r>
    </w:p>
    <w:p w14:paraId="3BF80D52" w14:textId="77777777" w:rsidR="00403127" w:rsidRPr="00145B66" w:rsidRDefault="00403127" w:rsidP="00403127">
      <w:pPr>
        <w:pStyle w:val="a6"/>
        <w:spacing w:after="0" w:line="240" w:lineRule="auto"/>
        <w:ind w:left="0" w:firstLine="567"/>
        <w:jc w:val="both"/>
        <w:rPr>
          <w:rFonts w:ascii="Times New Roman" w:hAnsi="Times New Roman"/>
          <w:sz w:val="28"/>
          <w:szCs w:val="28"/>
        </w:rPr>
      </w:pPr>
      <w:r>
        <w:rPr>
          <w:rFonts w:ascii="Times New Roman" w:hAnsi="Times New Roman"/>
          <w:sz w:val="28"/>
          <w:szCs w:val="28"/>
        </w:rPr>
        <w:lastRenderedPageBreak/>
        <w:t>–</w:t>
      </w:r>
      <w:r w:rsidRPr="003B3129">
        <w:rPr>
          <w:rFonts w:ascii="Times New Roman" w:hAnsi="Times New Roman"/>
          <w:sz w:val="28"/>
          <w:szCs w:val="28"/>
        </w:rPr>
        <w:t> </w:t>
      </w:r>
      <w:r w:rsidRPr="00563524">
        <w:rPr>
          <w:rFonts w:ascii="Times New Roman" w:hAnsi="Times New Roman"/>
          <w:sz w:val="28"/>
          <w:szCs w:val="28"/>
        </w:rPr>
        <w:t>расширенном заседании кафедры онкологии НАО «Медицинский университет</w:t>
      </w:r>
      <w:r w:rsidRPr="00145B66">
        <w:rPr>
          <w:rFonts w:ascii="Times New Roman" w:hAnsi="Times New Roman"/>
          <w:sz w:val="28"/>
          <w:szCs w:val="28"/>
        </w:rPr>
        <w:t xml:space="preserve"> Нур-Султан», </w:t>
      </w:r>
      <w:r>
        <w:rPr>
          <w:rFonts w:ascii="Times New Roman" w:hAnsi="Times New Roman"/>
          <w:sz w:val="28"/>
          <w:szCs w:val="28"/>
        </w:rPr>
        <w:t xml:space="preserve">4 марта </w:t>
      </w:r>
      <w:r w:rsidRPr="00145B66">
        <w:rPr>
          <w:rFonts w:ascii="Times New Roman" w:hAnsi="Times New Roman"/>
          <w:sz w:val="28"/>
          <w:szCs w:val="28"/>
        </w:rPr>
        <w:t>202</w:t>
      </w:r>
      <w:r>
        <w:rPr>
          <w:rFonts w:ascii="Times New Roman" w:hAnsi="Times New Roman"/>
          <w:sz w:val="28"/>
          <w:szCs w:val="28"/>
        </w:rPr>
        <w:t>2</w:t>
      </w:r>
      <w:r w:rsidRPr="00145B66">
        <w:rPr>
          <w:rFonts w:ascii="Times New Roman" w:hAnsi="Times New Roman"/>
          <w:sz w:val="28"/>
          <w:szCs w:val="28"/>
        </w:rPr>
        <w:t xml:space="preserve"> г.</w:t>
      </w:r>
    </w:p>
    <w:p w14:paraId="3623E120" w14:textId="77777777" w:rsidR="00403127" w:rsidRDefault="00403127" w:rsidP="00403127">
      <w:pPr>
        <w:pStyle w:val="a6"/>
        <w:spacing w:after="0" w:line="240" w:lineRule="auto"/>
        <w:ind w:left="0" w:firstLine="567"/>
        <w:jc w:val="both"/>
        <w:rPr>
          <w:rFonts w:ascii="Times New Roman" w:hAnsi="Times New Roman"/>
          <w:b/>
          <w:sz w:val="28"/>
          <w:szCs w:val="28"/>
        </w:rPr>
      </w:pPr>
    </w:p>
    <w:p w14:paraId="19805667" w14:textId="77777777" w:rsidR="00403127" w:rsidRPr="00145B66" w:rsidRDefault="00403127" w:rsidP="00403127">
      <w:pPr>
        <w:pStyle w:val="a6"/>
        <w:spacing w:after="0" w:line="240" w:lineRule="auto"/>
        <w:ind w:left="0" w:firstLine="567"/>
        <w:jc w:val="both"/>
        <w:rPr>
          <w:rFonts w:ascii="Times New Roman" w:hAnsi="Times New Roman"/>
          <w:b/>
          <w:sz w:val="28"/>
          <w:szCs w:val="28"/>
        </w:rPr>
      </w:pPr>
      <w:r w:rsidRPr="00145B66">
        <w:rPr>
          <w:rFonts w:ascii="Times New Roman" w:hAnsi="Times New Roman"/>
          <w:b/>
          <w:sz w:val="28"/>
          <w:szCs w:val="28"/>
        </w:rPr>
        <w:t>Публикации по теме диссертации</w:t>
      </w:r>
    </w:p>
    <w:p w14:paraId="6B7F75B9" w14:textId="77777777" w:rsidR="00403127" w:rsidRPr="00145B66" w:rsidRDefault="00403127" w:rsidP="00403127">
      <w:pPr>
        <w:pStyle w:val="a6"/>
        <w:spacing w:after="0" w:line="240" w:lineRule="auto"/>
        <w:ind w:left="0" w:firstLine="567"/>
        <w:jc w:val="both"/>
        <w:rPr>
          <w:rFonts w:ascii="Times New Roman" w:hAnsi="Times New Roman"/>
          <w:sz w:val="28"/>
          <w:szCs w:val="28"/>
        </w:rPr>
      </w:pPr>
      <w:r>
        <w:rPr>
          <w:rFonts w:ascii="Times New Roman" w:hAnsi="Times New Roman"/>
          <w:sz w:val="28"/>
          <w:szCs w:val="28"/>
        </w:rPr>
        <w:t xml:space="preserve">По </w:t>
      </w:r>
      <w:r w:rsidRPr="00145B66">
        <w:rPr>
          <w:rFonts w:ascii="Times New Roman" w:hAnsi="Times New Roman"/>
          <w:sz w:val="28"/>
          <w:szCs w:val="28"/>
        </w:rPr>
        <w:t xml:space="preserve">результатам диссертационного исследования были опубликованы </w:t>
      </w:r>
      <w:r>
        <w:rPr>
          <w:rFonts w:ascii="Times New Roman" w:hAnsi="Times New Roman"/>
          <w:sz w:val="28"/>
          <w:szCs w:val="28"/>
        </w:rPr>
        <w:t>30</w:t>
      </w:r>
      <w:r w:rsidRPr="00145B66">
        <w:rPr>
          <w:rFonts w:ascii="Times New Roman" w:hAnsi="Times New Roman"/>
          <w:sz w:val="28"/>
          <w:szCs w:val="28"/>
        </w:rPr>
        <w:t xml:space="preserve"> работ, из них </w:t>
      </w:r>
      <w:r>
        <w:rPr>
          <w:rFonts w:ascii="Times New Roman" w:hAnsi="Times New Roman"/>
          <w:sz w:val="28"/>
          <w:szCs w:val="28"/>
        </w:rPr>
        <w:t>4</w:t>
      </w:r>
      <w:r w:rsidRPr="00145B66">
        <w:rPr>
          <w:rFonts w:ascii="Times New Roman" w:hAnsi="Times New Roman"/>
          <w:sz w:val="28"/>
          <w:szCs w:val="28"/>
        </w:rPr>
        <w:t xml:space="preserve"> в периодических изданиях,</w:t>
      </w:r>
      <w:r w:rsidRPr="003B3129">
        <w:rPr>
          <w:rFonts w:ascii="Times New Roman" w:hAnsi="Times New Roman"/>
          <w:sz w:val="28"/>
          <w:szCs w:val="28"/>
        </w:rPr>
        <w:t xml:space="preserve"> рекомендуемые Комитет</w:t>
      </w:r>
      <w:r>
        <w:rPr>
          <w:rFonts w:ascii="Times New Roman" w:hAnsi="Times New Roman"/>
          <w:sz w:val="28"/>
          <w:szCs w:val="28"/>
        </w:rPr>
        <w:t>ом</w:t>
      </w:r>
      <w:r w:rsidRPr="003B3129">
        <w:rPr>
          <w:rFonts w:ascii="Times New Roman" w:hAnsi="Times New Roman"/>
          <w:sz w:val="28"/>
          <w:szCs w:val="28"/>
        </w:rPr>
        <w:t xml:space="preserve"> по обеспечению качества в сфере образования и науки Министерства образования и науки Республики Казахстан</w:t>
      </w:r>
      <w:r w:rsidRPr="00145B66">
        <w:rPr>
          <w:rFonts w:ascii="Times New Roman" w:hAnsi="Times New Roman"/>
          <w:sz w:val="28"/>
          <w:szCs w:val="28"/>
        </w:rPr>
        <w:t>, 3 статьи рецензируемых международных журналах, индексированных в международных базах данных (</w:t>
      </w:r>
      <w:proofErr w:type="spellStart"/>
      <w:r w:rsidRPr="00145B66">
        <w:rPr>
          <w:rFonts w:ascii="Times New Roman" w:hAnsi="Times New Roman"/>
          <w:sz w:val="28"/>
          <w:szCs w:val="28"/>
        </w:rPr>
        <w:t>Scopus</w:t>
      </w:r>
      <w:proofErr w:type="spellEnd"/>
      <w:r w:rsidRPr="00145B66">
        <w:rPr>
          <w:rFonts w:ascii="Times New Roman" w:hAnsi="Times New Roman"/>
          <w:sz w:val="28"/>
          <w:szCs w:val="28"/>
        </w:rPr>
        <w:t xml:space="preserve">), </w:t>
      </w:r>
      <w:r>
        <w:rPr>
          <w:rFonts w:ascii="Times New Roman" w:hAnsi="Times New Roman"/>
          <w:sz w:val="28"/>
          <w:szCs w:val="28"/>
        </w:rPr>
        <w:t>22</w:t>
      </w:r>
      <w:r w:rsidRPr="00145B66">
        <w:rPr>
          <w:rFonts w:ascii="Times New Roman" w:hAnsi="Times New Roman"/>
          <w:sz w:val="28"/>
          <w:szCs w:val="28"/>
        </w:rPr>
        <w:t xml:space="preserve"> публикаций в материалах международных и республиканских конференций (Казахстан, Россия, Уз</w:t>
      </w:r>
      <w:bookmarkStart w:id="1" w:name="_GoBack"/>
      <w:bookmarkEnd w:id="1"/>
      <w:r w:rsidRPr="00145B66">
        <w:rPr>
          <w:rFonts w:ascii="Times New Roman" w:hAnsi="Times New Roman"/>
          <w:sz w:val="28"/>
          <w:szCs w:val="28"/>
        </w:rPr>
        <w:t>бекистан).</w:t>
      </w:r>
    </w:p>
    <w:p w14:paraId="13D41EEA" w14:textId="0EEC0AED" w:rsidR="00403127" w:rsidRPr="00145B66" w:rsidRDefault="00403127" w:rsidP="00403127">
      <w:pPr>
        <w:pStyle w:val="a6"/>
        <w:spacing w:after="0" w:line="240" w:lineRule="auto"/>
        <w:ind w:left="0" w:firstLine="567"/>
        <w:jc w:val="both"/>
        <w:rPr>
          <w:rFonts w:ascii="Times New Roman" w:hAnsi="Times New Roman"/>
          <w:sz w:val="28"/>
          <w:szCs w:val="28"/>
        </w:rPr>
      </w:pPr>
      <w:r w:rsidRPr="00145B66">
        <w:rPr>
          <w:rFonts w:ascii="Times New Roman" w:hAnsi="Times New Roman"/>
          <w:sz w:val="28"/>
          <w:szCs w:val="28"/>
        </w:rPr>
        <w:t xml:space="preserve">Получено свидетельство </w:t>
      </w:r>
      <w:r w:rsidR="00C65055" w:rsidRPr="00145B66">
        <w:rPr>
          <w:rFonts w:ascii="Times New Roman" w:hAnsi="Times New Roman"/>
          <w:sz w:val="28"/>
          <w:szCs w:val="28"/>
        </w:rPr>
        <w:t>о внесениях</w:t>
      </w:r>
      <w:r w:rsidRPr="00145B66">
        <w:rPr>
          <w:rFonts w:ascii="Times New Roman" w:hAnsi="Times New Roman"/>
          <w:sz w:val="28"/>
          <w:szCs w:val="28"/>
        </w:rPr>
        <w:t xml:space="preserve"> сведений в государственный реестр прав на объекты, охраняемых авторским правом </w:t>
      </w:r>
      <w:r>
        <w:rPr>
          <w:rFonts w:ascii="Times New Roman" w:hAnsi="Times New Roman"/>
          <w:sz w:val="28"/>
          <w:szCs w:val="28"/>
        </w:rPr>
        <w:t>(Приложение А), 3</w:t>
      </w:r>
      <w:r w:rsidRPr="00145B66">
        <w:rPr>
          <w:rFonts w:ascii="Times New Roman" w:hAnsi="Times New Roman"/>
          <w:sz w:val="28"/>
          <w:szCs w:val="28"/>
        </w:rPr>
        <w:t xml:space="preserve"> акта внедрения в «Многопрофильный медицинский центр» акимата г. Нур-Султан, в Центр паллиативной помощи ТОО «</w:t>
      </w:r>
      <w:r w:rsidRPr="00145B66">
        <w:rPr>
          <w:rFonts w:ascii="Times New Roman" w:hAnsi="Times New Roman"/>
          <w:sz w:val="28"/>
          <w:szCs w:val="28"/>
          <w:lang w:val="en-US"/>
        </w:rPr>
        <w:t>AMARA</w:t>
      </w:r>
      <w:r w:rsidRPr="00145B66">
        <w:rPr>
          <w:rFonts w:ascii="Times New Roman" w:hAnsi="Times New Roman"/>
          <w:sz w:val="28"/>
          <w:szCs w:val="28"/>
        </w:rPr>
        <w:t xml:space="preserve"> </w:t>
      </w:r>
      <w:r w:rsidRPr="00145B66">
        <w:rPr>
          <w:rFonts w:ascii="Times New Roman" w:hAnsi="Times New Roman"/>
          <w:sz w:val="28"/>
          <w:szCs w:val="28"/>
          <w:lang w:val="en-US"/>
        </w:rPr>
        <w:t>INVESTMENT</w:t>
      </w:r>
      <w:r w:rsidRPr="00145B66">
        <w:rPr>
          <w:rFonts w:ascii="Times New Roman" w:hAnsi="Times New Roman"/>
          <w:sz w:val="28"/>
          <w:szCs w:val="28"/>
        </w:rPr>
        <w:t xml:space="preserve">» (Приложение </w:t>
      </w:r>
      <w:r>
        <w:rPr>
          <w:rFonts w:ascii="Times New Roman" w:hAnsi="Times New Roman"/>
          <w:sz w:val="28"/>
          <w:szCs w:val="28"/>
        </w:rPr>
        <w:t>Б) и 1 акт внедрения в учебный процесс по дисциплине «Онкология» НАО «Медицинский университет Астана».</w:t>
      </w:r>
    </w:p>
    <w:p w14:paraId="4BB2AF47" w14:textId="77777777" w:rsidR="00403127" w:rsidRDefault="00403127" w:rsidP="00403127">
      <w:pPr>
        <w:pStyle w:val="a6"/>
        <w:spacing w:after="0" w:line="240" w:lineRule="auto"/>
        <w:ind w:left="0" w:firstLine="567"/>
        <w:jc w:val="both"/>
        <w:rPr>
          <w:rFonts w:ascii="Times New Roman" w:hAnsi="Times New Roman"/>
          <w:b/>
          <w:bCs/>
          <w:sz w:val="28"/>
          <w:szCs w:val="28"/>
        </w:rPr>
      </w:pPr>
    </w:p>
    <w:p w14:paraId="20FB2072" w14:textId="77777777" w:rsidR="00403127" w:rsidRDefault="00403127" w:rsidP="00403127">
      <w:pPr>
        <w:pStyle w:val="a6"/>
        <w:spacing w:after="0" w:line="240" w:lineRule="auto"/>
        <w:ind w:left="0" w:firstLine="567"/>
        <w:jc w:val="both"/>
        <w:rPr>
          <w:rFonts w:ascii="Times New Roman" w:hAnsi="Times New Roman"/>
          <w:b/>
          <w:bCs/>
          <w:sz w:val="28"/>
          <w:szCs w:val="28"/>
        </w:rPr>
      </w:pPr>
      <w:r>
        <w:rPr>
          <w:rFonts w:ascii="Times New Roman" w:hAnsi="Times New Roman"/>
          <w:b/>
          <w:bCs/>
          <w:sz w:val="28"/>
          <w:szCs w:val="28"/>
        </w:rPr>
        <w:t>Объем и структура диссертации</w:t>
      </w:r>
    </w:p>
    <w:p w14:paraId="5D186D3C" w14:textId="60E800D7" w:rsidR="00403127" w:rsidRPr="00145B66" w:rsidRDefault="00403127" w:rsidP="00403127">
      <w:pPr>
        <w:pStyle w:val="a6"/>
        <w:spacing w:after="0" w:line="240" w:lineRule="auto"/>
        <w:ind w:left="0" w:firstLine="567"/>
        <w:jc w:val="both"/>
        <w:rPr>
          <w:rFonts w:ascii="Times New Roman" w:hAnsi="Times New Roman"/>
          <w:sz w:val="28"/>
          <w:szCs w:val="28"/>
        </w:rPr>
      </w:pPr>
      <w:r w:rsidRPr="00F42162">
        <w:rPr>
          <w:rFonts w:ascii="Times New Roman" w:hAnsi="Times New Roman"/>
          <w:sz w:val="28"/>
          <w:szCs w:val="28"/>
        </w:rPr>
        <w:t>Диссертация написана на русском языке, изложена на 1</w:t>
      </w:r>
      <w:r w:rsidR="00217AA3">
        <w:rPr>
          <w:rFonts w:ascii="Times New Roman" w:hAnsi="Times New Roman"/>
          <w:sz w:val="28"/>
          <w:szCs w:val="28"/>
        </w:rPr>
        <w:t>1</w:t>
      </w:r>
      <w:r w:rsidR="00B42B2E">
        <w:rPr>
          <w:rFonts w:ascii="Times New Roman" w:hAnsi="Times New Roman"/>
          <w:sz w:val="28"/>
          <w:szCs w:val="28"/>
        </w:rPr>
        <w:t>8</w:t>
      </w:r>
      <w:r w:rsidRPr="00F42162">
        <w:rPr>
          <w:rFonts w:ascii="Times New Roman" w:hAnsi="Times New Roman"/>
          <w:sz w:val="28"/>
          <w:szCs w:val="28"/>
        </w:rPr>
        <w:t xml:space="preserve"> страницах</w:t>
      </w:r>
      <w:r w:rsidRPr="00145B66">
        <w:rPr>
          <w:rFonts w:ascii="Times New Roman" w:hAnsi="Times New Roman"/>
          <w:sz w:val="28"/>
          <w:szCs w:val="28"/>
        </w:rPr>
        <w:t xml:space="preserve"> печатного компьютерного текста, включающая титульный лист, содержание, нормативные ссылки, определения, обозначения и сокращения, введение, основную часть, заключение, выводы, практические рекомендации и список </w:t>
      </w:r>
      <w:r w:rsidRPr="00712FD3">
        <w:rPr>
          <w:rFonts w:ascii="Times New Roman" w:hAnsi="Times New Roman"/>
          <w:sz w:val="28"/>
          <w:szCs w:val="28"/>
        </w:rPr>
        <w:t>использованной литературы. Диссертация иллюстрирована 4</w:t>
      </w:r>
      <w:r w:rsidR="00712FD3" w:rsidRPr="00712FD3">
        <w:rPr>
          <w:rFonts w:ascii="Times New Roman" w:hAnsi="Times New Roman"/>
          <w:sz w:val="28"/>
          <w:szCs w:val="28"/>
        </w:rPr>
        <w:t>6</w:t>
      </w:r>
      <w:r w:rsidRPr="00712FD3">
        <w:rPr>
          <w:rFonts w:ascii="Times New Roman" w:hAnsi="Times New Roman"/>
          <w:sz w:val="28"/>
          <w:szCs w:val="28"/>
        </w:rPr>
        <w:t xml:space="preserve"> рисунками и </w:t>
      </w:r>
      <w:r w:rsidR="00712FD3" w:rsidRPr="00712FD3">
        <w:rPr>
          <w:rFonts w:ascii="Times New Roman" w:hAnsi="Times New Roman"/>
          <w:sz w:val="28"/>
          <w:szCs w:val="28"/>
        </w:rPr>
        <w:t>43</w:t>
      </w:r>
      <w:r w:rsidRPr="00712FD3">
        <w:rPr>
          <w:rFonts w:ascii="Times New Roman" w:hAnsi="Times New Roman"/>
          <w:sz w:val="28"/>
          <w:szCs w:val="28"/>
        </w:rPr>
        <w:t xml:space="preserve"> таблиц</w:t>
      </w:r>
      <w:r w:rsidRPr="00712FD3">
        <w:rPr>
          <w:rFonts w:ascii="Times New Roman" w:hAnsi="Times New Roman"/>
          <w:sz w:val="28"/>
          <w:szCs w:val="28"/>
          <w:lang w:bidi="kn-IN"/>
        </w:rPr>
        <w:t>ами</w:t>
      </w:r>
      <w:r w:rsidRPr="00712FD3">
        <w:rPr>
          <w:rFonts w:ascii="Times New Roman" w:hAnsi="Times New Roman"/>
          <w:sz w:val="28"/>
          <w:szCs w:val="28"/>
        </w:rPr>
        <w:t>. Список использованной литературы состоит из 2</w:t>
      </w:r>
      <w:r w:rsidR="00F42162" w:rsidRPr="00712FD3">
        <w:rPr>
          <w:rFonts w:ascii="Times New Roman" w:hAnsi="Times New Roman"/>
          <w:sz w:val="28"/>
          <w:szCs w:val="28"/>
        </w:rPr>
        <w:t>76</w:t>
      </w:r>
      <w:r w:rsidRPr="00712FD3">
        <w:rPr>
          <w:rFonts w:ascii="Times New Roman" w:hAnsi="Times New Roman"/>
          <w:sz w:val="28"/>
          <w:szCs w:val="28"/>
        </w:rPr>
        <w:t xml:space="preserve"> источников.</w:t>
      </w:r>
    </w:p>
    <w:p w14:paraId="0B39C568" w14:textId="3A72185A" w:rsidR="00403127" w:rsidRDefault="00403127">
      <w:pPr>
        <w:spacing w:after="160" w:line="259" w:lineRule="auto"/>
      </w:pPr>
      <w:r>
        <w:br w:type="page"/>
      </w:r>
    </w:p>
    <w:p w14:paraId="24BE2CB9" w14:textId="77777777" w:rsidR="00403127" w:rsidRPr="00903DE3" w:rsidRDefault="00403127" w:rsidP="00403127">
      <w:pPr>
        <w:spacing w:after="0" w:line="240" w:lineRule="auto"/>
        <w:ind w:firstLine="567"/>
        <w:jc w:val="both"/>
        <w:rPr>
          <w:rFonts w:ascii="Times New Roman" w:hAnsi="Times New Roman"/>
          <w:b/>
          <w:bCs/>
          <w:sz w:val="28"/>
          <w:szCs w:val="28"/>
        </w:rPr>
      </w:pPr>
      <w:r w:rsidRPr="00903DE3">
        <w:rPr>
          <w:rFonts w:ascii="Times New Roman" w:hAnsi="Times New Roman"/>
          <w:b/>
          <w:bCs/>
          <w:sz w:val="28"/>
          <w:szCs w:val="28"/>
        </w:rPr>
        <w:lastRenderedPageBreak/>
        <w:t xml:space="preserve">1 </w:t>
      </w:r>
      <w:r w:rsidRPr="00903DE3">
        <w:rPr>
          <w:rFonts w:ascii="Times New Roman" w:hAnsi="Times New Roman"/>
          <w:b/>
          <w:sz w:val="28"/>
          <w:szCs w:val="28"/>
          <w:lang w:bidi="kn-IN"/>
        </w:rPr>
        <w:t>РАК ОБОДОЧНОЙ КИШКИ: эпидемиология, хирургическо</w:t>
      </w:r>
      <w:r>
        <w:rPr>
          <w:rFonts w:ascii="Times New Roman" w:hAnsi="Times New Roman"/>
          <w:b/>
          <w:sz w:val="28"/>
          <w:szCs w:val="28"/>
          <w:lang w:bidi="kn-IN"/>
        </w:rPr>
        <w:t>е</w:t>
      </w:r>
      <w:r w:rsidRPr="00903DE3">
        <w:rPr>
          <w:rFonts w:ascii="Times New Roman" w:hAnsi="Times New Roman"/>
          <w:b/>
          <w:sz w:val="28"/>
          <w:szCs w:val="28"/>
          <w:lang w:bidi="kn-IN"/>
        </w:rPr>
        <w:t xml:space="preserve"> лечение, прогностические факторы исходов радикального лечения, патогенез возникающих осложнений (ОБЗОР ЛИТЕРАТУРЫ)</w:t>
      </w:r>
    </w:p>
    <w:p w14:paraId="0FC42F8E" w14:textId="77777777" w:rsidR="00403127" w:rsidRPr="00903DE3" w:rsidRDefault="00403127" w:rsidP="00403127">
      <w:pPr>
        <w:spacing w:after="0" w:line="240" w:lineRule="auto"/>
        <w:ind w:firstLine="567"/>
        <w:jc w:val="both"/>
        <w:rPr>
          <w:rFonts w:ascii="Times New Roman" w:hAnsi="Times New Roman"/>
          <w:b/>
          <w:bCs/>
          <w:sz w:val="28"/>
          <w:szCs w:val="28"/>
        </w:rPr>
      </w:pPr>
    </w:p>
    <w:p w14:paraId="74611B19" w14:textId="77777777" w:rsidR="00403127" w:rsidRPr="00903DE3" w:rsidRDefault="00403127" w:rsidP="00403127">
      <w:pPr>
        <w:spacing w:after="0" w:line="240" w:lineRule="auto"/>
        <w:ind w:firstLine="567"/>
        <w:jc w:val="both"/>
        <w:rPr>
          <w:rFonts w:ascii="Times New Roman" w:hAnsi="Times New Roman"/>
          <w:b/>
          <w:bCs/>
          <w:sz w:val="28"/>
          <w:szCs w:val="28"/>
        </w:rPr>
      </w:pPr>
      <w:r w:rsidRPr="00903DE3">
        <w:rPr>
          <w:rFonts w:ascii="Times New Roman" w:hAnsi="Times New Roman"/>
          <w:b/>
          <w:bCs/>
          <w:sz w:val="28"/>
          <w:szCs w:val="28"/>
        </w:rPr>
        <w:t xml:space="preserve">1.1 </w:t>
      </w:r>
      <w:r w:rsidRPr="00903DE3">
        <w:rPr>
          <w:rFonts w:ascii="Times New Roman" w:hAnsi="Times New Roman"/>
          <w:b/>
          <w:bCs/>
          <w:sz w:val="28"/>
          <w:szCs w:val="28"/>
          <w:lang w:bidi="kn-IN"/>
        </w:rPr>
        <w:t>Эпидемиология злокачественных новообразований ободочной кишки</w:t>
      </w:r>
    </w:p>
    <w:p w14:paraId="4C5976FB" w14:textId="77777777" w:rsidR="00403127" w:rsidRDefault="00403127" w:rsidP="00403127">
      <w:pPr>
        <w:autoSpaceDE w:val="0"/>
        <w:autoSpaceDN w:val="0"/>
        <w:adjustRightInd w:val="0"/>
        <w:spacing w:after="0" w:line="240" w:lineRule="auto"/>
        <w:ind w:firstLine="567"/>
        <w:jc w:val="both"/>
        <w:rPr>
          <w:rFonts w:ascii="Times New Roman" w:hAnsi="Times New Roman"/>
          <w:sz w:val="28"/>
          <w:szCs w:val="28"/>
        </w:rPr>
      </w:pPr>
    </w:p>
    <w:p w14:paraId="1F36606A"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По оценкам Всемирной организации здравоохранения (ВОЗ), онкологические заболевания продолжают оставаться одной из основных причин смертности от неинфекционных заболеваний во всем мире, каждый год, унося жизни свыше 10 миллионов человек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URVZQz6D","properties":{"formattedCitation":"[30]","plainCitation":"[30]","noteIndex":0},"citationItems":[{"id":17,"uris":["http://zotero.org/users/7388323/items/6IIFJXJ3"],"uri":["http://zotero.org/users/7388323/items/6IIFJXJ3"],"itemData":{"id":17,"type":"webpage","abstract":"This global status report on prevention and control of NCDs (2014), is framed around the nine voluntary global targets.","container-title":"WHO","note":"source: www.who.int\npublisher: World Health Organization","title":"WHO | Global status report on noncommunicable diseases 2014","URL":"http://www.who.int/nmh/publications/ncd-status-report-2014/en/","accessed":{"date-parts":[["2020",6,25]]}}}],"schema":"https://github.com/citation-style-language/schema/raw/master/csl-citation.json"}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[34]</w:t>
      </w:r>
      <w:r w:rsidRPr="00903DE3">
        <w:rPr>
          <w:rFonts w:ascii="Times New Roman" w:hAnsi="Times New Roman"/>
          <w:sz w:val="28"/>
          <w:szCs w:val="28"/>
        </w:rPr>
        <w:fldChar w:fldCharType="end"/>
      </w:r>
      <w:r w:rsidRPr="00903DE3">
        <w:rPr>
          <w:rFonts w:ascii="Times New Roman" w:hAnsi="Times New Roman"/>
          <w:sz w:val="28"/>
          <w:szCs w:val="28"/>
        </w:rPr>
        <w:t>.</w:t>
      </w:r>
      <w:r w:rsidRPr="00903DE3">
        <w:t xml:space="preserve"> </w:t>
      </w:r>
      <w:r w:rsidRPr="00903DE3">
        <w:rPr>
          <w:rFonts w:ascii="Times New Roman" w:hAnsi="Times New Roman"/>
          <w:sz w:val="28"/>
          <w:szCs w:val="28"/>
        </w:rPr>
        <w:t xml:space="preserve">По оценкам, в 2020 году во всем мире было зарегистрировано 19,3 миллиона новых случаев рака (18,1 миллиона без учета </w:t>
      </w:r>
      <w:proofErr w:type="spellStart"/>
      <w:r w:rsidRPr="00903DE3">
        <w:rPr>
          <w:rFonts w:ascii="Times New Roman" w:hAnsi="Times New Roman"/>
          <w:sz w:val="28"/>
          <w:szCs w:val="28"/>
        </w:rPr>
        <w:t>немеланомного</w:t>
      </w:r>
      <w:proofErr w:type="spellEnd"/>
      <w:r w:rsidRPr="00903DE3">
        <w:rPr>
          <w:rFonts w:ascii="Times New Roman" w:hAnsi="Times New Roman"/>
          <w:sz w:val="28"/>
          <w:szCs w:val="28"/>
        </w:rPr>
        <w:t xml:space="preserve"> рака кожи) и почти 10,0 миллиона случаев смерти от рака (9,9 миллиона без учета </w:t>
      </w:r>
      <w:proofErr w:type="spellStart"/>
      <w:r w:rsidRPr="00903DE3">
        <w:rPr>
          <w:rFonts w:ascii="Times New Roman" w:hAnsi="Times New Roman"/>
          <w:sz w:val="28"/>
          <w:szCs w:val="28"/>
        </w:rPr>
        <w:t>немеланомного</w:t>
      </w:r>
      <w:proofErr w:type="spellEnd"/>
      <w:r w:rsidRPr="00903DE3">
        <w:rPr>
          <w:rFonts w:ascii="Times New Roman" w:hAnsi="Times New Roman"/>
          <w:sz w:val="28"/>
          <w:szCs w:val="28"/>
        </w:rPr>
        <w:t xml:space="preserve"> рака кожи) [1]. Во всем мире уровень заболеваемости всеми видами рака вместе взятых был на 19% выше у мужчин (222 на 100 000), чем у женщин (186 на 100 000) в 2020 году, хотя показатели сильно различались по регионам. Вопреки проведению высокотехнологичных медицинских исследований, направленных на разработку новых методов диагностики и лечения злокачественных новообразований, проблема снижения онкологической смертности по-прежнему далека от своего окончательного решения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mMH4QIsA","properties":{"formattedCitation":"[31]","plainCitation":"[31]","noteIndex":0},"citationItems":[{"id":9,"uris":["http://zotero.org/users/7388323/items/NKGRA7NK"],"uri":["http://zotero.org/users/7388323/items/NKGRA7NK"],"itemData":{"id":9,"type":"webpage","title":"ЭПИДЕМИОЛОГИЯ РАКА ПРЕДСТАТЕЛЬНОЙ ЖЕЛЕЗЫ В СЕМЕЙСКОМ РЕГИОНЕ ВОСТОЧНО-КАЗАХСТАНСКОЙ ОБЛАСТИ","URL":"https://newjournal.ssmu.kz/publication/360/epidemiologiya-raka-predstatelnoy-zhelezy-v-semeyskom-regione-vostochno-kazakhstanskoy-oblasti/","accessed":{"date-parts":[["2020",7,3]]}}}],"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[35]</w:t>
      </w:r>
      <w:r w:rsidRPr="00903DE3">
        <w:rPr>
          <w:rFonts w:ascii="Times New Roman" w:hAnsi="Times New Roman"/>
          <w:sz w:val="28"/>
          <w:szCs w:val="28"/>
        </w:rPr>
        <w:fldChar w:fldCharType="end"/>
      </w:r>
      <w:r w:rsidRPr="00903DE3">
        <w:rPr>
          <w:rFonts w:ascii="Times New Roman" w:hAnsi="Times New Roman"/>
          <w:sz w:val="28"/>
          <w:szCs w:val="28"/>
        </w:rPr>
        <w:t>.</w:t>
      </w:r>
    </w:p>
    <w:p w14:paraId="041D8533"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Колоректальный рак является одним из наиболее распространенных злокачественных новообразований. Необходимо отметить, что под обобщающим понятием «колоректальный рак» принято подразумевать рак ободочной и прямой кишки. Ободочная и прямая кишки составляют толстую кишку, которая является частью пищеварительной системы, также называемой желудочно-кишечной системой. Рак ободочной и прямой кишки зачастую имеют разную этиологию и требуют отличающихся подходов к диагностике, лечению и реабилитации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Qizvov9O","properties":{"formattedCitation":"[32]","plainCitation":"[32]","noteIndex":0},"citationItems":[{"id":15,"uris":["http://zotero.org/users/7388323/items/FC97UCZU"],"uri":["http://zotero.org/users/7388323/items/FC97UCZU"],"itemData":{"id":15,"type":"webpage","title":"IARC Publications Website - WHO Classification of Tumours","URL":"https://publications.iarc.fr/Book-And-Report-Series/Who-Classification-Of-Tumours","accessed":{"date-parts":[["2020",6,25]]}}}],"schema":"https://github.com/citation-style-language/schema/raw/master/csl-citation.json"}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[36]</w:t>
      </w:r>
      <w:r w:rsidRPr="00903DE3">
        <w:rPr>
          <w:rFonts w:ascii="Times New Roman" w:hAnsi="Times New Roman"/>
          <w:sz w:val="28"/>
          <w:szCs w:val="28"/>
        </w:rPr>
        <w:fldChar w:fldCharType="end"/>
      </w:r>
      <w:r w:rsidRPr="00903DE3">
        <w:rPr>
          <w:rFonts w:ascii="Times New Roman" w:hAnsi="Times New Roman"/>
          <w:sz w:val="28"/>
          <w:szCs w:val="28"/>
        </w:rPr>
        <w:t>. Характер заболевания одинаков у мужчин и женщин, что связано с воздействием, которое не зависит от пола, но варьируется в зависимости от анатомической части, стадии постановки диагноза, расы и этнической принадлежности, а также географического района проживания. В целом пожизненный риск развития колоректального рака составляет: около 1 из 23 (4,3%) для мужчин и 1 из 25 (4,0%) для женщин [37].</w:t>
      </w:r>
    </w:p>
    <w:p w14:paraId="7B8B9BF6"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r w:rsidRPr="00903DE3">
        <w:rPr>
          <w:rFonts w:ascii="Times New Roman" w:hAnsi="Times New Roman"/>
          <w:sz w:val="28"/>
          <w:szCs w:val="28"/>
        </w:rPr>
        <w:t>Ежегодно во всем мире отмечается около 1,9 миллиона новых случаев колоректального рака, и более 935 000 человек умирают от этого заболевания в соответствии с рисунком 1, что делает колоректальный рак третьим по заболеваемости и вторым по смертности среди других видов рака [1]. Существуют большие различия между странами и регионами с точки зрения показателей заболеваемости и смертности.</w:t>
      </w:r>
    </w:p>
    <w:p w14:paraId="35EB338A"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По данным ВОЗ, у мужчин заболеваемость колоректальным раком стоит на третьем месте среди всех случаев онкопатологии, а у женщин – на втором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GIsHXfhz","properties":{"formattedCitation":"[1]","plainCitation":"[1]","noteIndex":0},"citationItems":[{"id":7,"uris":["http://zotero.org/users/7388323/items/YG6UWSIS"],"uri":["http://zotero.org/users/7388323/items/YG6UWSIS"],"itemData":{"id":7,"type":"article-journal","container-title":"International Journal of Cancer","DOI":"10.1002/ijc.1440","ISSN":"0020-7136, 1097-0215","issue":"2","journalAbbreviation":"Int. J. Cancer","language":"en","page":"153-156","source":"DOI.org (Crossref)","title":"Estimating the world cancer burden: Globocan 2000","title-short":"Estimating the world cancer burden","URL":"http://doi.wiley.com/10.1002/ijc.1440","volume":"94","author":[{"family":"Parkin","given":"D. Maxwell"},{"family":"Bray","given":"Freddie"},{"family":"Ferlay","given":"Jacques"},{"family":"Pisani","given":"Paola"}],"accessed":{"date-parts":[["2020",7,4]]},"issued":{"date-parts":[["2001",10,15]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[38]</w:t>
      </w:r>
      <w:r w:rsidRPr="00903DE3">
        <w:rPr>
          <w:rFonts w:ascii="Times New Roman" w:hAnsi="Times New Roman"/>
          <w:sz w:val="28"/>
          <w:szCs w:val="28"/>
        </w:rPr>
        <w:fldChar w:fldCharType="end"/>
      </w:r>
      <w:r w:rsidRPr="00903DE3">
        <w:rPr>
          <w:rFonts w:ascii="Times New Roman" w:hAnsi="Times New Roman"/>
          <w:sz w:val="28"/>
          <w:szCs w:val="28"/>
        </w:rPr>
        <w:t>. В Казахстане в структуре онкопатологии по полу имеется такое же распространение в соответствии с рисунком 2 [1].</w:t>
      </w:r>
    </w:p>
    <w:p w14:paraId="1B2502B0" w14:textId="77777777" w:rsidR="00403127" w:rsidRPr="00903DE3" w:rsidRDefault="00403127" w:rsidP="00403127">
      <w:pPr>
        <w:autoSpaceDE w:val="0"/>
        <w:autoSpaceDN w:val="0"/>
        <w:adjustRightInd w:val="0"/>
        <w:spacing w:after="0" w:line="240" w:lineRule="auto"/>
        <w:ind w:firstLine="708"/>
        <w:jc w:val="both"/>
        <w:rPr>
          <w:rFonts w:ascii="Times New Roman" w:hAnsi="Times New Roman"/>
          <w:sz w:val="28"/>
          <w:szCs w:val="28"/>
        </w:rPr>
      </w:pPr>
    </w:p>
    <w:p w14:paraId="75E4CD56"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r w:rsidRPr="00903DE3">
        <w:rPr>
          <w:rFonts w:ascii="Times New Roman" w:hAnsi="Times New Roman"/>
          <w:noProof/>
          <w:sz w:val="28"/>
          <w:szCs w:val="28"/>
        </w:rPr>
        <w:lastRenderedPageBreak/>
        <w:drawing>
          <wp:inline distT="0" distB="0" distL="0" distR="0" wp14:anchorId="3F7C69DE" wp14:editId="22F63A80">
            <wp:extent cx="3645161" cy="6480000"/>
            <wp:effectExtent l="0" t="0" r="0" b="0"/>
            <wp:docPr id="2" name="Picture 2" descr="Chart, application,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application, pie ch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45161" cy="6480000"/>
                    </a:xfrm>
                    <a:prstGeom prst="rect">
                      <a:avLst/>
                    </a:prstGeom>
                  </pic:spPr>
                </pic:pic>
              </a:graphicData>
            </a:graphic>
          </wp:inline>
        </w:drawing>
      </w:r>
    </w:p>
    <w:p w14:paraId="65A64D4F"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p>
    <w:p w14:paraId="37F0AD49"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r w:rsidRPr="00903DE3">
        <w:rPr>
          <w:rFonts w:ascii="Times New Roman" w:hAnsi="Times New Roman"/>
          <w:sz w:val="28"/>
          <w:szCs w:val="28"/>
        </w:rPr>
        <w:t>Рисунок 1 – Число новых случаев (А) и смертей (Б) от колоректального рака в 2020 году во всем мире, оба пола, все возрасты [1]</w:t>
      </w:r>
    </w:p>
    <w:p w14:paraId="27349E57"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p>
    <w:p w14:paraId="28AB3AC3"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p>
    <w:p w14:paraId="4BFA056F"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С точки зрения географического распределения, этот рак растет в промышленно развитых странах с умеренным и высоким Индексом человеческого развития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GIsHXfhz","properties":{"formattedCitation":"[1]","plainCitation":"[1]","noteIndex":0},"citationItems":[{"id":7,"uris":["http://zotero.org/users/7388323/items/YG6UWSIS"],"uri":["http://zotero.org/users/7388323/items/YG6UWSIS"],"itemData":{"id":7,"type":"article-journal","container-title":"International Journal of Cancer","DOI":"10.1002/ijc.1440","ISSN":"0020-7136, 1097-0215","issue":"2","journalAbbreviation":"Int. J. Cancer","language":"en","page":"153-156","source":"DOI.org (Crossref)","title":"Estimating the world cancer burden: Globocan 2000","title-short":"Estimating the world cancer burden","URL":"http://doi.wiley.com/10.1002/ijc.1440","volume":"94","author":[{"family":"Parkin","given":"D. Maxwell"},{"family":"Bray","given":"Freddie"},{"family":"Ferlay","given":"Jacques"},{"family":"Pisani","given":"Paola"}],"accessed":{"date-parts":[["2020",7,4]]},"issued":{"date-parts":[["2001",10,15]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[39]</w:t>
      </w:r>
      <w:r w:rsidRPr="00903DE3">
        <w:rPr>
          <w:rFonts w:ascii="Times New Roman" w:hAnsi="Times New Roman"/>
          <w:sz w:val="28"/>
          <w:szCs w:val="28"/>
        </w:rPr>
        <w:fldChar w:fldCharType="end"/>
      </w:r>
      <w:r w:rsidRPr="00903DE3">
        <w:rPr>
          <w:rFonts w:ascii="Times New Roman" w:hAnsi="Times New Roman"/>
          <w:sz w:val="28"/>
          <w:szCs w:val="28"/>
        </w:rPr>
        <w:t xml:space="preserve">. Показатели заболеваемости колоректальным раком примерно в 3 раза выше в развитых странах по сравнению с развивающими странами; однако, поскольку средняя летальность выше в странах с более низким ИРЧП, различия в показателях смертности меньше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GIsHXfhz","properties":{"formattedCitation":"[1]","plainCitation":"[1]","noteIndex":0},"citationItems":[{"id":7,"uris":["http://zotero.org/users/7388323/items/YG6UWSIS"],"uri":["http://zotero.org/users/7388323/items/YG6UWSIS"],"itemData":{"id":7,"type":"article-journal","container-title":"International Journal of Cancer","DOI":"10.1002/ijc.1440","ISSN":"0020-7136, 1097-0215","issue":"2","journalAbbreviation":"Int. J. Cancer","language":"en","page":"153-156","source":"DOI.org (Crossref)","title":"Estimating the world cancer burden: Globocan 2000","title-short":"Estimating the world cancer burden","URL":"http://doi.wiley.com/10.1002/ijc.1440","volume":"94","author":[{"family":"Parkin","given":"D. Maxwell"},{"family":"Bray","given":"Freddie"},{"family":"Ferlay","given":"Jacques"},{"family":"Pisani","given":"Paola"}],"accessed":{"date-parts":[["2020",7,4]]},"issued":{"date-parts":[["2001",10,15]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[40]</w:t>
      </w:r>
      <w:r w:rsidRPr="00903DE3">
        <w:rPr>
          <w:rFonts w:ascii="Times New Roman" w:hAnsi="Times New Roman"/>
          <w:sz w:val="28"/>
          <w:szCs w:val="28"/>
        </w:rPr>
        <w:fldChar w:fldCharType="end"/>
      </w:r>
      <w:r w:rsidRPr="00903DE3">
        <w:rPr>
          <w:rFonts w:ascii="Times New Roman" w:hAnsi="Times New Roman"/>
          <w:sz w:val="28"/>
          <w:szCs w:val="28"/>
        </w:rPr>
        <w:t>.</w:t>
      </w:r>
    </w:p>
    <w:p w14:paraId="51AF4ED0" w14:textId="77777777" w:rsidR="00403127" w:rsidRPr="00903DE3" w:rsidRDefault="00403127" w:rsidP="00403127">
      <w:pPr>
        <w:autoSpaceDE w:val="0"/>
        <w:autoSpaceDN w:val="0"/>
        <w:adjustRightInd w:val="0"/>
        <w:spacing w:after="0" w:line="240" w:lineRule="auto"/>
        <w:ind w:firstLine="708"/>
        <w:rPr>
          <w:rFonts w:ascii="Times New Roman" w:hAnsi="Times New Roman"/>
          <w:sz w:val="28"/>
          <w:szCs w:val="28"/>
        </w:rPr>
      </w:pPr>
    </w:p>
    <w:p w14:paraId="4D6F5316"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r w:rsidRPr="00903DE3">
        <w:rPr>
          <w:rFonts w:ascii="Times New Roman" w:hAnsi="Times New Roman"/>
          <w:noProof/>
          <w:sz w:val="28"/>
          <w:szCs w:val="28"/>
        </w:rPr>
        <w:lastRenderedPageBreak/>
        <w:drawing>
          <wp:inline distT="0" distB="0" distL="0" distR="0" wp14:anchorId="5B2EF39A" wp14:editId="33443024">
            <wp:extent cx="3645165" cy="6480000"/>
            <wp:effectExtent l="0" t="0" r="0" b="0"/>
            <wp:docPr id="19" name="Picture 19"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pie char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45165" cy="6480000"/>
                    </a:xfrm>
                    <a:prstGeom prst="rect">
                      <a:avLst/>
                    </a:prstGeom>
                  </pic:spPr>
                </pic:pic>
              </a:graphicData>
            </a:graphic>
          </wp:inline>
        </w:drawing>
      </w:r>
    </w:p>
    <w:p w14:paraId="42D33E72" w14:textId="77777777" w:rsidR="00403127" w:rsidRPr="00903DE3" w:rsidRDefault="00403127" w:rsidP="00403127">
      <w:pPr>
        <w:autoSpaceDE w:val="0"/>
        <w:autoSpaceDN w:val="0"/>
        <w:adjustRightInd w:val="0"/>
        <w:spacing w:after="0" w:line="240" w:lineRule="auto"/>
        <w:rPr>
          <w:rFonts w:ascii="Times New Roman" w:hAnsi="Times New Roman"/>
          <w:sz w:val="28"/>
          <w:szCs w:val="28"/>
        </w:rPr>
      </w:pPr>
    </w:p>
    <w:p w14:paraId="3D0F71E2"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r w:rsidRPr="00903DE3">
        <w:rPr>
          <w:rFonts w:ascii="Times New Roman" w:hAnsi="Times New Roman"/>
          <w:sz w:val="28"/>
          <w:szCs w:val="28"/>
        </w:rPr>
        <w:t>Рисунок 2 – Число новых случаев колоректального рака в 2020 году в Казахстане, у мужчин (А) и женщин (Б), все возрасты [1]</w:t>
      </w:r>
    </w:p>
    <w:p w14:paraId="1490B61C" w14:textId="77777777" w:rsidR="00403127" w:rsidRPr="00903DE3" w:rsidRDefault="00403127" w:rsidP="00403127">
      <w:pPr>
        <w:autoSpaceDE w:val="0"/>
        <w:autoSpaceDN w:val="0"/>
        <w:adjustRightInd w:val="0"/>
        <w:spacing w:after="0" w:line="240" w:lineRule="auto"/>
        <w:ind w:firstLine="708"/>
        <w:jc w:val="both"/>
        <w:rPr>
          <w:rFonts w:ascii="Times New Roman" w:hAnsi="Times New Roman"/>
          <w:sz w:val="28"/>
          <w:szCs w:val="28"/>
        </w:rPr>
      </w:pPr>
    </w:p>
    <w:p w14:paraId="0EA6FCD5" w14:textId="77777777" w:rsidR="00403127" w:rsidRPr="00903DE3" w:rsidRDefault="00403127" w:rsidP="00403127">
      <w:pPr>
        <w:autoSpaceDE w:val="0"/>
        <w:autoSpaceDN w:val="0"/>
        <w:adjustRightInd w:val="0"/>
        <w:spacing w:after="0" w:line="240" w:lineRule="auto"/>
        <w:ind w:firstLine="708"/>
        <w:jc w:val="both"/>
        <w:rPr>
          <w:rFonts w:ascii="Times New Roman" w:hAnsi="Times New Roman"/>
          <w:sz w:val="28"/>
          <w:szCs w:val="28"/>
        </w:rPr>
      </w:pPr>
    </w:p>
    <w:p w14:paraId="373E34BF"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Рак ободочной кишки встречается чаще, чем рак прямой кишки: в промышленно развитых странах соотношение случаев рака ободочной кишки и прямой кишки составляет 2:1 или более (у женщин больше), в то время как в неиндустриальных странах показатели в целом схожи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GIsHXfhz","properties":{"formattedCitation":"[1]","plainCitation":"[1]","noteIndex":0},"citationItems":[{"id":7,"uris":["http://zotero.org/users/7388323/items/YG6UWSIS"],"uri":["http://zotero.org/users/7388323/items/YG6UWSIS"],"itemData":{"id":7,"type":"article-journal","container-title":"International Journal of Cancer","DOI":"10.1002/ijc.1440","ISSN":"0020-7136, 1097-0215","issue":"2","journalAbbreviation":"Int. J. Cancer","language":"en","page":"153-156","source":"DOI.org (Crossref)","title":"Estimating the world cancer burden: Globocan 2000","title-short":"Estimating the world cancer burden","URL":"http://doi.wiley.com/10.1002/ijc.1440","volume":"94","author":[{"family":"Parkin","given":"D. Maxwell"},{"family":"Bray","given":"Freddie"},{"family":"Ferlay","given":"Jacques"},{"family":"Pisani","given":"Paola"}],"accessed":{"date-parts":[["2020",7,4]]},"issued":{"date-parts":[["2001",10,15]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[40]</w:t>
      </w:r>
      <w:r w:rsidRPr="00903DE3">
        <w:rPr>
          <w:rFonts w:ascii="Times New Roman" w:hAnsi="Times New Roman"/>
          <w:sz w:val="28"/>
          <w:szCs w:val="28"/>
        </w:rPr>
        <w:fldChar w:fldCharType="end"/>
      </w:r>
      <w:r w:rsidRPr="00903DE3">
        <w:rPr>
          <w:rFonts w:ascii="Times New Roman" w:hAnsi="Times New Roman"/>
          <w:sz w:val="28"/>
          <w:szCs w:val="28"/>
        </w:rPr>
        <w:t xml:space="preserve">. Самые высокие показатели заболеваемости раком ободочной кишки в соответствии с рисунком 3 обнаружены в некоторых частях Европы (например, в Венгрии, Словении, Словакии, Нидерландах и Норвегии), Австралии/Новой Зеландии, Северной Америке и Восточной Азии (Япония и Республика Корея, Сингапур (у женщин), </w:t>
      </w:r>
      <w:r w:rsidRPr="00903DE3">
        <w:rPr>
          <w:rFonts w:ascii="Times New Roman" w:hAnsi="Times New Roman"/>
          <w:sz w:val="28"/>
          <w:szCs w:val="28"/>
        </w:rPr>
        <w:lastRenderedPageBreak/>
        <w:t xml:space="preserve">при этом Венгрия и Норвегия занимают первое место среди мужчин и женщин, соответственно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GIsHXfhz","properties":{"formattedCitation":"[1]","plainCitation":"[1]","noteIndex":0},"citationItems":[{"id":7,"uris":["http://zotero.org/users/7388323/items/YG6UWSIS"],"uri":["http://zotero.org/users/7388323/items/YG6UWSIS"],"itemData":{"id":7,"type":"article-journal","container-title":"International Journal of Cancer","DOI":"10.1002/ijc.1440","ISSN":"0020-7136, 1097-0215","issue":"2","journalAbbreviation":"Int. J. Cancer","language":"en","page":"153-156","source":"DOI.org (Crossref)","title":"Estimating the world cancer burden: Globocan 2000","title-short":"Estimating the world cancer burden","URL":"http://doi.wiley.com/10.1002/ijc.1440","volume":"94","author":[{"family":"Parkin","given":"D. Maxwell"},{"family":"Bray","given":"Freddie"},{"family":"Ferlay","given":"Jacques"},{"family":"Pisani","given":"Paola"}],"accessed":{"date-parts":[["2020",7,4]]},"issued":{"date-parts":[["2001",10,15]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[41]</w:t>
      </w:r>
      <w:r w:rsidRPr="00903DE3">
        <w:rPr>
          <w:rFonts w:ascii="Times New Roman" w:hAnsi="Times New Roman"/>
          <w:sz w:val="28"/>
          <w:szCs w:val="28"/>
        </w:rPr>
        <w:fldChar w:fldCharType="end"/>
      </w:r>
      <w:r w:rsidRPr="00903DE3">
        <w:rPr>
          <w:rFonts w:ascii="Times New Roman" w:hAnsi="Times New Roman"/>
          <w:sz w:val="28"/>
          <w:szCs w:val="28"/>
        </w:rPr>
        <w:t xml:space="preserve">. Наибольший рост заболеваемости раком ободочной кишки наблюдается в Азии, а также в странах Восточной Европы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GIsHXfhz","properties":{"formattedCitation":"[1]","plainCitation":"[1]","noteIndex":0},"citationItems":[{"id":7,"uris":["http://zotero.org/users/7388323/items/YG6UWSIS"],"uri":["http://zotero.org/users/7388323/items/YG6UWSIS"],"itemData":{"id":7,"type":"article-journal","container-title":"International Journal of Cancer","DOI":"10.1002/ijc.1440","ISSN":"0020-7136, 1097-0215","issue":"2","journalAbbreviation":"Int. J. Cancer","language":"en","page":"153-156","source":"DOI.org (Crossref)","title":"Estimating the world cancer burden: Globocan 2000","title-short":"Estimating the world cancer burden","URL":"http://doi.wiley.com/10.1002/ijc.1440","volume":"94","author":[{"family":"Parkin","given":"D. Maxwell"},{"family":"Bray","given":"Freddie"},{"family":"Ferlay","given":"Jacques"},{"family":"Pisani","given":"Paola"}],"accessed":{"date-parts":[["2020",7,4]]},"issued":{"date-parts":[["2001",10,15]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[40]</w:t>
      </w:r>
      <w:r w:rsidRPr="00903DE3">
        <w:rPr>
          <w:rFonts w:ascii="Times New Roman" w:hAnsi="Times New Roman"/>
          <w:sz w:val="28"/>
          <w:szCs w:val="28"/>
        </w:rPr>
        <w:fldChar w:fldCharType="end"/>
      </w:r>
      <w:r w:rsidRPr="00903DE3">
        <w:rPr>
          <w:rFonts w:ascii="Times New Roman" w:hAnsi="Times New Roman"/>
          <w:sz w:val="28"/>
          <w:szCs w:val="28"/>
        </w:rPr>
        <w:t>.</w:t>
      </w:r>
    </w:p>
    <w:p w14:paraId="687A5428" w14:textId="77777777" w:rsidR="00403127" w:rsidRPr="00903DE3" w:rsidRDefault="00403127" w:rsidP="00403127">
      <w:pPr>
        <w:autoSpaceDE w:val="0"/>
        <w:autoSpaceDN w:val="0"/>
        <w:adjustRightInd w:val="0"/>
        <w:spacing w:after="0" w:line="240" w:lineRule="auto"/>
        <w:ind w:firstLine="708"/>
        <w:jc w:val="both"/>
        <w:rPr>
          <w:rFonts w:ascii="Times New Roman" w:hAnsi="Times New Roman"/>
          <w:sz w:val="28"/>
          <w:szCs w:val="28"/>
        </w:rPr>
      </w:pPr>
    </w:p>
    <w:p w14:paraId="37FB7B64" w14:textId="77777777" w:rsidR="00403127" w:rsidRPr="00903DE3" w:rsidRDefault="00403127" w:rsidP="00403127">
      <w:pPr>
        <w:autoSpaceDE w:val="0"/>
        <w:autoSpaceDN w:val="0"/>
        <w:adjustRightInd w:val="0"/>
        <w:spacing w:after="0" w:line="240" w:lineRule="auto"/>
        <w:ind w:firstLine="708"/>
        <w:jc w:val="both"/>
        <w:rPr>
          <w:rFonts w:ascii="Times New Roman" w:hAnsi="Times New Roman"/>
          <w:sz w:val="28"/>
          <w:szCs w:val="28"/>
        </w:rPr>
      </w:pPr>
    </w:p>
    <w:p w14:paraId="45B984A5" w14:textId="77777777" w:rsidR="00403127" w:rsidRPr="00903DE3" w:rsidRDefault="00403127" w:rsidP="00403127">
      <w:pPr>
        <w:autoSpaceDE w:val="0"/>
        <w:autoSpaceDN w:val="0"/>
        <w:adjustRightInd w:val="0"/>
        <w:spacing w:after="0" w:line="240" w:lineRule="auto"/>
        <w:jc w:val="center"/>
        <w:rPr>
          <w:rFonts w:ascii="Times New Roman" w:hAnsi="Times New Roman"/>
          <w:sz w:val="28"/>
          <w:szCs w:val="28"/>
        </w:rPr>
      </w:pPr>
      <w:r w:rsidRPr="00903DE3">
        <w:rPr>
          <w:rFonts w:ascii="Times New Roman" w:hAnsi="Times New Roman"/>
          <w:noProof/>
          <w:sz w:val="28"/>
          <w:szCs w:val="28"/>
        </w:rPr>
        <w:drawing>
          <wp:inline distT="0" distB="0" distL="0" distR="0" wp14:anchorId="59F79CB5" wp14:editId="0B43BE79">
            <wp:extent cx="3797141" cy="6479540"/>
            <wp:effectExtent l="0" t="0" r="0" b="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rot="10800000">
                      <a:off x="0" y="0"/>
                      <a:ext cx="3800311" cy="6484950"/>
                    </a:xfrm>
                    <a:prstGeom prst="rect">
                      <a:avLst/>
                    </a:prstGeom>
                  </pic:spPr>
                </pic:pic>
              </a:graphicData>
            </a:graphic>
          </wp:inline>
        </w:drawing>
      </w:r>
    </w:p>
    <w:p w14:paraId="79227532" w14:textId="77777777" w:rsidR="00403127" w:rsidRPr="00903DE3" w:rsidRDefault="00403127" w:rsidP="00403127">
      <w:pPr>
        <w:autoSpaceDE w:val="0"/>
        <w:autoSpaceDN w:val="0"/>
        <w:adjustRightInd w:val="0"/>
        <w:spacing w:after="0" w:line="240" w:lineRule="auto"/>
        <w:jc w:val="center"/>
        <w:rPr>
          <w:rFonts w:ascii="Times New Roman" w:hAnsi="Times New Roman"/>
          <w:sz w:val="28"/>
          <w:szCs w:val="28"/>
        </w:rPr>
      </w:pPr>
    </w:p>
    <w:p w14:paraId="39F6F567" w14:textId="77777777" w:rsidR="00403127" w:rsidRPr="00903DE3" w:rsidRDefault="00403127" w:rsidP="00403127">
      <w:pPr>
        <w:autoSpaceDE w:val="0"/>
        <w:autoSpaceDN w:val="0"/>
        <w:adjustRightInd w:val="0"/>
        <w:spacing w:after="0" w:line="240" w:lineRule="auto"/>
        <w:jc w:val="center"/>
        <w:rPr>
          <w:rFonts w:ascii="Times New Roman" w:hAnsi="Times New Roman"/>
          <w:sz w:val="28"/>
          <w:szCs w:val="28"/>
        </w:rPr>
      </w:pPr>
      <w:r w:rsidRPr="00903DE3">
        <w:rPr>
          <w:rFonts w:ascii="Times New Roman" w:hAnsi="Times New Roman"/>
          <w:sz w:val="28"/>
          <w:szCs w:val="28"/>
        </w:rPr>
        <w:t xml:space="preserve">Рисунок 3 – Предполагаемые стандартизированные по возрасту показатели заболеваемости (в мире) в 2020 году, </w:t>
      </w:r>
    </w:p>
    <w:p w14:paraId="52313C2B" w14:textId="77777777" w:rsidR="00403127" w:rsidRPr="00903DE3" w:rsidRDefault="00403127" w:rsidP="00403127">
      <w:pPr>
        <w:autoSpaceDE w:val="0"/>
        <w:autoSpaceDN w:val="0"/>
        <w:adjustRightInd w:val="0"/>
        <w:spacing w:after="0" w:line="240" w:lineRule="auto"/>
        <w:jc w:val="center"/>
        <w:rPr>
          <w:rFonts w:ascii="Times New Roman" w:hAnsi="Times New Roman"/>
          <w:sz w:val="28"/>
          <w:szCs w:val="28"/>
        </w:rPr>
      </w:pPr>
      <w:proofErr w:type="gramStart"/>
      <w:r w:rsidRPr="00903DE3">
        <w:rPr>
          <w:rFonts w:ascii="Times New Roman" w:hAnsi="Times New Roman"/>
          <w:sz w:val="28"/>
          <w:szCs w:val="28"/>
        </w:rPr>
        <w:t>ободочная</w:t>
      </w:r>
      <w:proofErr w:type="gramEnd"/>
      <w:r w:rsidRPr="00903DE3">
        <w:rPr>
          <w:rFonts w:ascii="Times New Roman" w:hAnsi="Times New Roman"/>
          <w:sz w:val="28"/>
          <w:szCs w:val="28"/>
        </w:rPr>
        <w:t xml:space="preserve"> кишка, оба пола, все возрасты [1]</w:t>
      </w:r>
    </w:p>
    <w:p w14:paraId="45DE2FF6" w14:textId="77777777" w:rsidR="00403127" w:rsidRPr="00903DE3" w:rsidRDefault="00403127" w:rsidP="00403127">
      <w:pPr>
        <w:autoSpaceDE w:val="0"/>
        <w:autoSpaceDN w:val="0"/>
        <w:adjustRightInd w:val="0"/>
        <w:spacing w:after="0" w:line="240" w:lineRule="auto"/>
        <w:jc w:val="center"/>
        <w:rPr>
          <w:rFonts w:ascii="Times New Roman" w:hAnsi="Times New Roman"/>
          <w:sz w:val="28"/>
          <w:szCs w:val="28"/>
          <w:highlight w:val="yellow"/>
        </w:rPr>
      </w:pPr>
    </w:p>
    <w:p w14:paraId="77E2D13F" w14:textId="77777777" w:rsidR="00403127" w:rsidRPr="00903DE3" w:rsidRDefault="00403127" w:rsidP="00403127">
      <w:pPr>
        <w:autoSpaceDE w:val="0"/>
        <w:autoSpaceDN w:val="0"/>
        <w:adjustRightInd w:val="0"/>
        <w:spacing w:after="0" w:line="240" w:lineRule="auto"/>
        <w:jc w:val="center"/>
        <w:rPr>
          <w:rFonts w:ascii="Times New Roman" w:hAnsi="Times New Roman"/>
          <w:sz w:val="28"/>
          <w:szCs w:val="28"/>
          <w:highlight w:val="yellow"/>
        </w:rPr>
      </w:pPr>
    </w:p>
    <w:p w14:paraId="538258C5"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r w:rsidRPr="00903DE3">
        <w:rPr>
          <w:rFonts w:ascii="Times New Roman" w:hAnsi="Times New Roman"/>
          <w:sz w:val="28"/>
          <w:szCs w:val="28"/>
        </w:rPr>
        <w:lastRenderedPageBreak/>
        <w:t>Около 49,6% всех новых случаев рака ободочной кишки и 51,4% ее смертей приходится на Азию в соответствии с рисунком 4, и его заболеваемость колеблется от 1,9 до 29,2 на 100 000 человек в этом регионе [1].</w:t>
      </w:r>
    </w:p>
    <w:p w14:paraId="4A945336"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p>
    <w:p w14:paraId="374909B2"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p>
    <w:p w14:paraId="0805CBA8"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r w:rsidRPr="00903DE3">
        <w:rPr>
          <w:rFonts w:ascii="Times New Roman" w:hAnsi="Times New Roman"/>
          <w:noProof/>
          <w:sz w:val="28"/>
          <w:szCs w:val="28"/>
        </w:rPr>
        <w:drawing>
          <wp:inline distT="0" distB="0" distL="0" distR="0" wp14:anchorId="40EEDEF4" wp14:editId="26EC1CEB">
            <wp:extent cx="3645167" cy="6480000"/>
            <wp:effectExtent l="0" t="0" r="0" b="0"/>
            <wp:docPr id="1" name="Picture 1" descr="Graphical user interface, chart, application,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chart, application, pie cha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45167" cy="6480000"/>
                    </a:xfrm>
                    <a:prstGeom prst="rect">
                      <a:avLst/>
                    </a:prstGeom>
                  </pic:spPr>
                </pic:pic>
              </a:graphicData>
            </a:graphic>
          </wp:inline>
        </w:drawing>
      </w:r>
    </w:p>
    <w:p w14:paraId="6162A546" w14:textId="77777777" w:rsidR="00403127" w:rsidRPr="00903DE3" w:rsidRDefault="00403127" w:rsidP="00403127">
      <w:pPr>
        <w:autoSpaceDE w:val="0"/>
        <w:autoSpaceDN w:val="0"/>
        <w:adjustRightInd w:val="0"/>
        <w:spacing w:after="0" w:line="240" w:lineRule="auto"/>
        <w:jc w:val="both"/>
        <w:rPr>
          <w:rFonts w:ascii="Times New Roman" w:hAnsi="Times New Roman"/>
          <w:sz w:val="28"/>
          <w:szCs w:val="28"/>
        </w:rPr>
      </w:pPr>
    </w:p>
    <w:p w14:paraId="206B65F1"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r w:rsidRPr="00903DE3">
        <w:rPr>
          <w:rFonts w:ascii="Times New Roman" w:hAnsi="Times New Roman"/>
          <w:sz w:val="28"/>
          <w:szCs w:val="28"/>
        </w:rPr>
        <w:t>Рисунок 4 – Распределение новых случаев (А) и смертей (Б) от рака ободочной кишки в мире [1]</w:t>
      </w:r>
    </w:p>
    <w:p w14:paraId="53329D86" w14:textId="77777777" w:rsidR="00403127" w:rsidRPr="00903DE3" w:rsidRDefault="00403127" w:rsidP="00403127">
      <w:pPr>
        <w:autoSpaceDE w:val="0"/>
        <w:autoSpaceDN w:val="0"/>
        <w:adjustRightInd w:val="0"/>
        <w:spacing w:after="0" w:line="240" w:lineRule="auto"/>
        <w:jc w:val="center"/>
        <w:rPr>
          <w:rFonts w:ascii="Times New Roman" w:hAnsi="Times New Roman"/>
          <w:sz w:val="28"/>
          <w:szCs w:val="28"/>
          <w:highlight w:val="yellow"/>
        </w:rPr>
      </w:pPr>
    </w:p>
    <w:p w14:paraId="57D208C0" w14:textId="77777777" w:rsidR="00403127" w:rsidRPr="00903DE3" w:rsidRDefault="00403127" w:rsidP="00403127">
      <w:pPr>
        <w:autoSpaceDE w:val="0"/>
        <w:autoSpaceDN w:val="0"/>
        <w:adjustRightInd w:val="0"/>
        <w:spacing w:after="0" w:line="240" w:lineRule="auto"/>
        <w:jc w:val="center"/>
        <w:rPr>
          <w:rFonts w:ascii="Times New Roman" w:hAnsi="Times New Roman"/>
          <w:sz w:val="28"/>
          <w:szCs w:val="28"/>
          <w:highlight w:val="yellow"/>
        </w:rPr>
      </w:pPr>
    </w:p>
    <w:p w14:paraId="2FA69D3F"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В Казахстане за последние годы были множества исследований касательно колоректального рака. И несколько из них изучали заболеваемость и смертность от колоректального рака в целом. Согласно исследованию </w:t>
      </w:r>
      <w:proofErr w:type="spellStart"/>
      <w:r w:rsidRPr="00903DE3">
        <w:rPr>
          <w:rFonts w:ascii="Times New Roman" w:hAnsi="Times New Roman"/>
          <w:sz w:val="28"/>
          <w:szCs w:val="28"/>
        </w:rPr>
        <w:t>Мауеновой</w:t>
      </w:r>
      <w:proofErr w:type="spellEnd"/>
      <w:r w:rsidRPr="00903DE3">
        <w:rPr>
          <w:rFonts w:ascii="Times New Roman" w:hAnsi="Times New Roman"/>
          <w:sz w:val="28"/>
          <w:szCs w:val="28"/>
        </w:rPr>
        <w:t xml:space="preserve"> и др. </w:t>
      </w:r>
      <w:r w:rsidRPr="00903DE3">
        <w:rPr>
          <w:rFonts w:ascii="Times New Roman" w:hAnsi="Times New Roman"/>
          <w:sz w:val="28"/>
          <w:szCs w:val="28"/>
        </w:rPr>
        <w:lastRenderedPageBreak/>
        <w:t xml:space="preserve">заболеваемость колоректальным раком в последние годы неуклонно растет </w:t>
      </w:r>
      <w:r w:rsidRPr="00903DE3">
        <w:rPr>
          <w:rFonts w:ascii="Times New Roman" w:eastAsia="Cambria" w:hAnsi="Times New Roman"/>
          <w:sz w:val="28"/>
          <w:szCs w:val="28"/>
        </w:rPr>
        <w:fldChar w:fldCharType="begin"/>
      </w:r>
      <w:r w:rsidRPr="00903DE3">
        <w:rPr>
          <w:rFonts w:ascii="Times New Roman" w:eastAsia="Cambria" w:hAnsi="Times New Roman"/>
          <w:sz w:val="28"/>
          <w:szCs w:val="28"/>
        </w:rPr>
        <w:instrText xml:space="preserve"> ADDIN ZOTERO_ITEM CSL_CITATION {"citationID":"VPsON94C","properties":{"formattedCitation":"[2]","plainCitation":"[2]","noteIndex":0},"citationItems":[{"id":307,"uris":["http://zotero.org/users/7388323/items/8AT4CAXF"],"uri":["http://zotero.org/users/7388323/items/8AT4CAXF"],"itemData":{"id":307,"type":"article-journal","abstract":"Worldwide, colon cancer is the third most common male malignancy and the second most common female malignancy, following lung cancer. Since 2011, the Republic of Kazakhstan has consistently implemented national health reform programs, for which improving the quality of cancer care is one of the main priorities. This study aimed at evaluation of colon's cancer morbidity and mortality within the period of 14 years (from 2004 to 2017). We observed an increase in the morbidity of colon cancer among the population of Kazakhstan, which may be due to the screening program, which started in 2011 as a part of he healthcare reform program. Meanwhile, we observed a decrease in colon cancer mortality. The peak incidence of colon cancer falls at the age of 70 years and older. A number of Kazakhstan's regions, including Pavlodar and East Kazakhstan have higher rates of colon cancer morbidity.","container-title":"Georgian Medical News","ISSN":"1512-0112","issue":"301","journalAbbreviation":"Georgian Med News","language":"rus","note":"PMID: 32535563","page":"54-59","source":"PubMed","title":"[MORTALITY AND MORBIDITY FROM COLON CANCER IN THE REPUBLIC OF KAZAKHSTAN]","author":[{"family":"Bekisheva","given":"A."},{"family":"Makishev","given":"A."},{"family":"Dauletyarova","given":"M."},{"family":"Semenova","given":"U."}],"issued":{"date-parts":[["2020",4]]}}}],"schema":"https://github.com/citation-style-language/schema/raw/master/csl-citation.json"} </w:instrText>
      </w:r>
      <w:r w:rsidRPr="00903DE3">
        <w:rPr>
          <w:rFonts w:ascii="Times New Roman" w:eastAsia="Cambria" w:hAnsi="Times New Roman"/>
          <w:sz w:val="28"/>
          <w:szCs w:val="28"/>
        </w:rPr>
        <w:fldChar w:fldCharType="separate"/>
      </w:r>
      <w:r w:rsidRPr="00903DE3">
        <w:rPr>
          <w:rFonts w:ascii="Times New Roman" w:hAnsi="Times New Roman"/>
          <w:sz w:val="28"/>
          <w:szCs w:val="28"/>
        </w:rPr>
        <w:t>[42]</w:t>
      </w:r>
      <w:r w:rsidRPr="00903DE3">
        <w:rPr>
          <w:rFonts w:ascii="Times New Roman" w:eastAsia="Cambria" w:hAnsi="Times New Roman"/>
          <w:sz w:val="28"/>
          <w:szCs w:val="28"/>
        </w:rPr>
        <w:fldChar w:fldCharType="end"/>
      </w:r>
      <w:r w:rsidRPr="00903DE3">
        <w:rPr>
          <w:rFonts w:ascii="Times New Roman" w:hAnsi="Times New Roman"/>
          <w:sz w:val="28"/>
          <w:szCs w:val="28"/>
        </w:rPr>
        <w:t xml:space="preserve">, в следствии чего Казахстан переходит в зону высокой заболеваемости. </w:t>
      </w:r>
      <w:proofErr w:type="spellStart"/>
      <w:r w:rsidRPr="00903DE3">
        <w:rPr>
          <w:rFonts w:ascii="Times New Roman" w:hAnsi="Times New Roman"/>
          <w:sz w:val="28"/>
          <w:szCs w:val="28"/>
        </w:rPr>
        <w:t>Жылкайдарова</w:t>
      </w:r>
      <w:proofErr w:type="spellEnd"/>
      <w:r w:rsidRPr="00903DE3">
        <w:rPr>
          <w:rFonts w:ascii="Times New Roman" w:hAnsi="Times New Roman"/>
          <w:sz w:val="28"/>
          <w:szCs w:val="28"/>
        </w:rPr>
        <w:t xml:space="preserve"> и </w:t>
      </w:r>
      <w:proofErr w:type="spellStart"/>
      <w:r w:rsidRPr="00903DE3">
        <w:rPr>
          <w:rFonts w:ascii="Times New Roman" w:hAnsi="Times New Roman"/>
          <w:sz w:val="28"/>
          <w:szCs w:val="28"/>
        </w:rPr>
        <w:t>др</w:t>
      </w:r>
      <w:proofErr w:type="spellEnd"/>
      <w:r w:rsidRPr="00903DE3">
        <w:rPr>
          <w:rFonts w:ascii="Times New Roman" w:hAnsi="Times New Roman"/>
          <w:sz w:val="28"/>
          <w:szCs w:val="28"/>
        </w:rPr>
        <w:t xml:space="preserve"> тенденцию к росту в заболеваемости связывают с воздействием проводимого скрининга </w:t>
      </w:r>
      <w:r w:rsidRPr="00903DE3">
        <w:rPr>
          <w:rFonts w:ascii="Times New Roman" w:eastAsia="Cambria" w:hAnsi="Times New Roman"/>
          <w:sz w:val="28"/>
          <w:szCs w:val="28"/>
        </w:rPr>
        <w:fldChar w:fldCharType="begin"/>
      </w:r>
      <w:r w:rsidRPr="00903DE3">
        <w:rPr>
          <w:rFonts w:ascii="Times New Roman" w:eastAsia="Cambria" w:hAnsi="Times New Roman"/>
          <w:sz w:val="28"/>
          <w:szCs w:val="28"/>
        </w:rPr>
        <w:instrText xml:space="preserve"> ADDIN ZOTERO_ITEM CSL_CITATION {"citationID":"VPsON94C","properties":{"formattedCitation":"[2]","plainCitation":"[2]","noteIndex":0},"citationItems":[{"id":307,"uris":["http://zotero.org/users/7388323/items/8AT4CAXF"],"uri":["http://zotero.org/users/7388323/items/8AT4CAXF"],"itemData":{"id":307,"type":"article-journal","abstract":"Worldwide, colon cancer is the third most common male malignancy and the second most common female malignancy, following lung cancer. Since 2011, the Republic of Kazakhstan has consistently implemented national health reform programs, for which improving the quality of cancer care is one of the main priorities. This study aimed at evaluation of colon's cancer morbidity and mortality within the period of 14 years (from 2004 to 2017). We observed an increase in the morbidity of colon cancer among the population of Kazakhstan, which may be due to the screening program, which started in 2011 as a part of he healthcare reform program. Meanwhile, we observed a decrease in colon cancer mortality. The peak incidence of colon cancer falls at the age of 70 years and older. A number of Kazakhstan's regions, including Pavlodar and East Kazakhstan have higher rates of colon cancer morbidity.","container-title":"Georgian Medical News","ISSN":"1512-0112","issue":"301","journalAbbreviation":"Georgian Med News","language":"rus","note":"PMID: 32535563","page":"54-59","source":"PubMed","title":"[MORTALITY AND MORBIDITY FROM COLON CANCER IN THE REPUBLIC OF KAZAKHSTAN]","author":[{"family":"Bekisheva","given":"A."},{"family":"Makishev","given":"A."},{"family":"Dauletyarova","given":"M."},{"family":"Semenova","given":"U."}],"issued":{"date-parts":[["2020",4]]}}}],"schema":"https://github.com/citation-style-language/schema/raw/master/csl-citation.json"} </w:instrText>
      </w:r>
      <w:r w:rsidRPr="00903DE3">
        <w:rPr>
          <w:rFonts w:ascii="Times New Roman" w:eastAsia="Cambria" w:hAnsi="Times New Roman"/>
          <w:sz w:val="28"/>
          <w:szCs w:val="28"/>
        </w:rPr>
        <w:fldChar w:fldCharType="separate"/>
      </w:r>
      <w:r w:rsidRPr="00903DE3">
        <w:rPr>
          <w:rFonts w:ascii="Times New Roman" w:hAnsi="Times New Roman"/>
          <w:sz w:val="28"/>
          <w:szCs w:val="28"/>
        </w:rPr>
        <w:t>[43]</w:t>
      </w:r>
      <w:r w:rsidRPr="00903DE3">
        <w:rPr>
          <w:rFonts w:ascii="Times New Roman" w:eastAsia="Cambria" w:hAnsi="Times New Roman"/>
          <w:sz w:val="28"/>
          <w:szCs w:val="28"/>
        </w:rPr>
        <w:fldChar w:fldCharType="end"/>
      </w:r>
      <w:r w:rsidRPr="00903DE3">
        <w:rPr>
          <w:rFonts w:ascii="Times New Roman" w:hAnsi="Times New Roman"/>
          <w:sz w:val="28"/>
          <w:szCs w:val="28"/>
        </w:rPr>
        <w:t xml:space="preserve">. Сравнивая показатели увеличения заболеваемостью колоректальным раком при внедрении скрининга в регионах Казахстана были обнаружены регионы с высоким, средним и низкими показателями. Северные, восточные и центральные регионы относятся к категории с высоким уровнем заболеваемости (Павлодар, Северный Казахстан, </w:t>
      </w:r>
      <w:proofErr w:type="spellStart"/>
      <w:r w:rsidRPr="00903DE3">
        <w:rPr>
          <w:rFonts w:ascii="Times New Roman" w:hAnsi="Times New Roman"/>
          <w:sz w:val="28"/>
          <w:szCs w:val="28"/>
        </w:rPr>
        <w:t>Костанай</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Акмолинская</w:t>
      </w:r>
      <w:proofErr w:type="spellEnd"/>
      <w:r w:rsidRPr="00903DE3">
        <w:rPr>
          <w:rFonts w:ascii="Times New Roman" w:hAnsi="Times New Roman"/>
          <w:sz w:val="28"/>
          <w:szCs w:val="28"/>
        </w:rPr>
        <w:t xml:space="preserve"> область, Караганда, Восточный Казахстан, Нур-Султан, Западный Казахстан и Алматы (Южный регион)). Западный Казахстан (</w:t>
      </w:r>
      <w:proofErr w:type="spellStart"/>
      <w:r w:rsidRPr="00903DE3">
        <w:rPr>
          <w:rFonts w:ascii="Times New Roman" w:hAnsi="Times New Roman"/>
          <w:sz w:val="28"/>
          <w:szCs w:val="28"/>
        </w:rPr>
        <w:t>Актобе</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Мангистау</w:t>
      </w:r>
      <w:proofErr w:type="spellEnd"/>
      <w:r w:rsidRPr="00903DE3">
        <w:rPr>
          <w:rFonts w:ascii="Times New Roman" w:hAnsi="Times New Roman"/>
          <w:sz w:val="28"/>
          <w:szCs w:val="28"/>
        </w:rPr>
        <w:t>, Атырау) показал заболеваемость в среднем диапазоне, а низкий показатель был отмечен в южных регионах.</w:t>
      </w:r>
    </w:p>
    <w:p w14:paraId="25EB3827"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Несмотря на то, что в Казахстане наблюдается снижение смертности от колоректального рака </w:t>
      </w:r>
      <w:r w:rsidRPr="00903DE3">
        <w:rPr>
          <w:rFonts w:ascii="Times New Roman" w:eastAsia="Cambria" w:hAnsi="Times New Roman"/>
          <w:sz w:val="28"/>
          <w:szCs w:val="28"/>
        </w:rPr>
        <w:fldChar w:fldCharType="begin"/>
      </w:r>
      <w:r w:rsidRPr="00903DE3">
        <w:rPr>
          <w:rFonts w:ascii="Times New Roman" w:eastAsia="Cambria" w:hAnsi="Times New Roman"/>
          <w:sz w:val="28"/>
          <w:szCs w:val="28"/>
        </w:rPr>
        <w:instrText xml:space="preserve"> ADDIN ZOTERO_ITEM CSL_CITATION {"citationID":"VPsON94C","properties":{"formattedCitation":"[2]","plainCitation":"[2]","noteIndex":0},"citationItems":[{"id":307,"uris":["http://zotero.org/users/7388323/items/8AT4CAXF"],"uri":["http://zotero.org/users/7388323/items/8AT4CAXF"],"itemData":{"id":307,"type":"article-journal","abstract":"Worldwide, colon cancer is the third most common male malignancy and the second most common female malignancy, following lung cancer. Since 2011, the Republic of Kazakhstan has consistently implemented national health reform programs, for which improving the quality of cancer care is one of the main priorities. This study aimed at evaluation of colon's cancer morbidity and mortality within the period of 14 years (from 2004 to 2017). We observed an increase in the morbidity of colon cancer among the population of Kazakhstan, which may be due to the screening program, which started in 2011 as a part of he healthcare reform program. Meanwhile, we observed a decrease in colon cancer mortality. The peak incidence of colon cancer falls at the age of 70 years and older. A number of Kazakhstan's regions, including Pavlodar and East Kazakhstan have higher rates of colon cancer morbidity.","container-title":"Georgian Medical News","ISSN":"1512-0112","issue":"301","journalAbbreviation":"Georgian Med News","language":"rus","note":"PMID: 32535563","page":"54-59","source":"PubMed","title":"[MORTALITY AND MORBIDITY FROM COLON CANCER IN THE REPUBLIC OF KAZAKHSTAN]","author":[{"family":"Bekisheva","given":"A."},{"family":"Makishev","given":"A."},{"family":"Dauletyarova","given":"M."},{"family":"Semenova","given":"U."}],"issued":{"date-parts":[["2020",4]]}}}],"schema":"https://github.com/citation-style-language/schema/raw/master/csl-citation.json"} </w:instrText>
      </w:r>
      <w:r w:rsidRPr="00903DE3">
        <w:rPr>
          <w:rFonts w:ascii="Times New Roman" w:eastAsia="Cambria" w:hAnsi="Times New Roman"/>
          <w:sz w:val="28"/>
          <w:szCs w:val="28"/>
        </w:rPr>
        <w:fldChar w:fldCharType="separate"/>
      </w:r>
      <w:r w:rsidRPr="00903DE3">
        <w:rPr>
          <w:rFonts w:ascii="Times New Roman" w:hAnsi="Times New Roman"/>
          <w:sz w:val="28"/>
          <w:szCs w:val="28"/>
        </w:rPr>
        <w:t>[44]</w:t>
      </w:r>
      <w:r w:rsidRPr="00903DE3">
        <w:rPr>
          <w:rFonts w:ascii="Times New Roman" w:eastAsia="Cambria" w:hAnsi="Times New Roman"/>
          <w:sz w:val="28"/>
          <w:szCs w:val="28"/>
        </w:rPr>
        <w:fldChar w:fldCharType="end"/>
      </w:r>
      <w:r w:rsidRPr="00903DE3">
        <w:rPr>
          <w:rFonts w:ascii="Times New Roman" w:hAnsi="Times New Roman"/>
          <w:sz w:val="28"/>
          <w:szCs w:val="28"/>
        </w:rPr>
        <w:t xml:space="preserve">, наша республика относится к региону с высокими показателями смертности. Оценка смертности от колоректального рака среди всего населения показывает, что южный регион (Алматы, Жамбыл, </w:t>
      </w:r>
      <w:proofErr w:type="spellStart"/>
      <w:r w:rsidRPr="00903DE3">
        <w:rPr>
          <w:rFonts w:ascii="Times New Roman" w:hAnsi="Times New Roman"/>
          <w:sz w:val="28"/>
          <w:szCs w:val="28"/>
        </w:rPr>
        <w:t>Кызылорда</w:t>
      </w:r>
      <w:proofErr w:type="spellEnd"/>
      <w:r w:rsidRPr="00903DE3">
        <w:rPr>
          <w:rFonts w:ascii="Times New Roman" w:hAnsi="Times New Roman"/>
          <w:sz w:val="28"/>
          <w:szCs w:val="28"/>
        </w:rPr>
        <w:t xml:space="preserve">, Южный Казахстан) был среди регионов с низким уровнем смертности в соответствии с рисунком 5А. Аналогичная картина наблюдалась как у мужчин в соответствии с рисунком 5B, так и у женщин в соответствии с рисунком 5C. В то же время у мужчин </w:t>
      </w:r>
      <w:proofErr w:type="spellStart"/>
      <w:r w:rsidRPr="00903DE3">
        <w:rPr>
          <w:rFonts w:ascii="Times New Roman" w:hAnsi="Times New Roman"/>
          <w:sz w:val="28"/>
          <w:szCs w:val="28"/>
        </w:rPr>
        <w:t>Мангистауская</w:t>
      </w:r>
      <w:proofErr w:type="spellEnd"/>
      <w:r w:rsidRPr="00903DE3">
        <w:rPr>
          <w:rFonts w:ascii="Times New Roman" w:hAnsi="Times New Roman"/>
          <w:sz w:val="28"/>
          <w:szCs w:val="28"/>
        </w:rPr>
        <w:t xml:space="preserve"> область также относилась к регионам с низким уровнем смертности в соответствии с рисунком 5B. Картограмма смертности от КРР среди всего населения в соответствии с рисунком 5А и женского населения в соответствии с рисунком 5С показывает, что к регионам с высоким уровнем смертности относятся Восточно-Казахстанская, Павлодарская области, а также города Алматы и Астана. А среди мужского населения к регионам с высоким уровнем смертности также вошли </w:t>
      </w:r>
      <w:proofErr w:type="spellStart"/>
      <w:r w:rsidRPr="00903DE3">
        <w:rPr>
          <w:rFonts w:ascii="Times New Roman" w:hAnsi="Times New Roman"/>
          <w:sz w:val="28"/>
          <w:szCs w:val="28"/>
        </w:rPr>
        <w:t>Акмолинская</w:t>
      </w:r>
      <w:proofErr w:type="spellEnd"/>
      <w:r w:rsidRPr="00903DE3">
        <w:rPr>
          <w:rFonts w:ascii="Times New Roman" w:hAnsi="Times New Roman"/>
          <w:sz w:val="28"/>
          <w:szCs w:val="28"/>
        </w:rPr>
        <w:t xml:space="preserve"> и Северо-Казахстанская области в соответствии с рисунком 5B. Остальные регионы, соответственно, в целом населении в соответствии с рисунком 5А, мужском населении в соответствии с рисунком 5B и женском населении в соответствии с рисунком 5C относились к регионам со средним уровнем смертности.</w:t>
      </w:r>
    </w:p>
    <w:p w14:paraId="4BD607D5"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Несмотря на появившиеся в последние годы публикации по эпидемиологии колоректального рака в Республике Казахстан, проблема изучения заболеваемости раком ободочной кишки не нашла должного отражения. В нашем недавнем исследовании мы отразили некоторые аспекты заболеваемости и смертности от рака ободочной кишки </w:t>
      </w:r>
      <w:r w:rsidRPr="00903DE3">
        <w:rPr>
          <w:rFonts w:ascii="Times New Roman" w:eastAsia="Cambria" w:hAnsi="Times New Roman"/>
          <w:sz w:val="28"/>
          <w:szCs w:val="28"/>
        </w:rPr>
        <w:fldChar w:fldCharType="begin"/>
      </w:r>
      <w:r w:rsidRPr="00903DE3">
        <w:rPr>
          <w:rFonts w:ascii="Times New Roman" w:eastAsia="Cambria" w:hAnsi="Times New Roman"/>
          <w:sz w:val="28"/>
          <w:szCs w:val="28"/>
        </w:rPr>
        <w:instrText xml:space="preserve"> ADDIN ZOTERO_ITEM CSL_CITATION {"citationID":"VPsON94C","properties":{"formattedCitation":"[2]","plainCitation":"[2]","noteIndex":0},"citationItems":[{"id":307,"uris":["http://zotero.org/users/7388323/items/8AT4CAXF"],"uri":["http://zotero.org/users/7388323/items/8AT4CAXF"],"itemData":{"id":307,"type":"article-journal","abstract":"Worldwide, colon cancer is the third most common male malignancy and the second most common female malignancy, following lung cancer. Since 2011, the Republic of Kazakhstan has consistently implemented national health reform programs, for which improving the quality of cancer care is one of the main priorities. This study aimed at evaluation of colon's cancer morbidity and mortality within the period of 14 years (from 2004 to 2017). We observed an increase in the morbidity of colon cancer among the population of Kazakhstan, which may be due to the screening program, which started in 2011 as a part of he healthcare reform program. Meanwhile, we observed a decrease in colon cancer mortality. The peak incidence of colon cancer falls at the age of 70 years and older. A number of Kazakhstan's regions, including Pavlodar and East Kazakhstan have higher rates of colon cancer morbidity.","container-title":"Georgian Medical News","ISSN":"1512-0112","issue":"301","journalAbbreviation":"Georgian Med News","language":"rus","note":"PMID: 32535563","page":"54-59","source":"PubMed","title":"[MORTALITY AND MORBIDITY FROM COLON CANCER IN THE REPUBLIC OF KAZAKHSTAN]","author":[{"family":"Bekisheva","given":"A."},{"family":"Makishev","given":"A."},{"family":"Dauletyarova","given":"M."},{"family":"Semenova","given":"U."}],"issued":{"date-parts":[["2020",4]]}}}],"schema":"https://github.com/citation-style-language/schema/raw/master/csl-citation.json"} </w:instrText>
      </w:r>
      <w:r w:rsidRPr="00903DE3">
        <w:rPr>
          <w:rFonts w:ascii="Times New Roman" w:eastAsia="Cambria" w:hAnsi="Times New Roman"/>
          <w:sz w:val="28"/>
          <w:szCs w:val="28"/>
        </w:rPr>
        <w:fldChar w:fldCharType="separate"/>
      </w:r>
      <w:r w:rsidRPr="00903DE3">
        <w:rPr>
          <w:rFonts w:ascii="Times New Roman" w:hAnsi="Times New Roman"/>
          <w:sz w:val="28"/>
          <w:szCs w:val="28"/>
        </w:rPr>
        <w:t>[2]</w:t>
      </w:r>
      <w:r w:rsidRPr="00903DE3">
        <w:rPr>
          <w:rFonts w:ascii="Times New Roman" w:eastAsia="Cambria" w:hAnsi="Times New Roman"/>
          <w:sz w:val="28"/>
          <w:szCs w:val="28"/>
        </w:rPr>
        <w:fldChar w:fldCharType="end"/>
      </w:r>
      <w:r w:rsidRPr="00903DE3">
        <w:rPr>
          <w:rFonts w:ascii="Times New Roman" w:eastAsia="Cambria" w:hAnsi="Times New Roman"/>
          <w:sz w:val="28"/>
          <w:szCs w:val="28"/>
        </w:rPr>
        <w:t>.</w:t>
      </w:r>
      <w:r w:rsidRPr="00903DE3">
        <w:rPr>
          <w:rFonts w:ascii="Times New Roman" w:hAnsi="Times New Roman"/>
          <w:sz w:val="28"/>
          <w:szCs w:val="28"/>
        </w:rPr>
        <w:t xml:space="preserve"> Начиная с 2011 года, в стране были последовательно реализованы национальные программы реформирования здравоохранения, для которых повышение качества онкологической помощи являлось одним из основных индикаторов.</w:t>
      </w:r>
    </w:p>
    <w:p w14:paraId="6CF76425" w14:textId="77777777" w:rsidR="00403127" w:rsidRPr="00903DE3" w:rsidRDefault="00403127" w:rsidP="00403127">
      <w:pPr>
        <w:spacing w:after="0" w:line="240" w:lineRule="auto"/>
        <w:ind w:firstLine="567"/>
        <w:jc w:val="both"/>
        <w:rPr>
          <w:rFonts w:ascii="Times New Roman" w:eastAsia="Cambria" w:hAnsi="Times New Roman"/>
          <w:sz w:val="28"/>
          <w:szCs w:val="28"/>
        </w:rPr>
      </w:pPr>
      <w:r w:rsidRPr="00903DE3">
        <w:rPr>
          <w:rFonts w:ascii="Times New Roman" w:eastAsia="Cambria" w:hAnsi="Times New Roman"/>
          <w:sz w:val="28"/>
          <w:szCs w:val="28"/>
        </w:rPr>
        <w:t xml:space="preserve">В целом, в течение периода времени с 2004–2020 гг. для РК было характерным отсутствие стабильных трендов в динамике заболеваемости </w:t>
      </w:r>
      <w:r w:rsidRPr="00903DE3">
        <w:rPr>
          <w:rFonts w:ascii="Times New Roman" w:hAnsi="Times New Roman"/>
          <w:sz w:val="28"/>
          <w:szCs w:val="28"/>
        </w:rPr>
        <w:t>раками пищеварительной системы основных локализаций</w:t>
      </w:r>
      <w:r w:rsidRPr="00903DE3">
        <w:rPr>
          <w:rFonts w:ascii="Times New Roman" w:eastAsia="Cambria" w:hAnsi="Times New Roman"/>
          <w:sz w:val="28"/>
          <w:szCs w:val="28"/>
        </w:rPr>
        <w:t xml:space="preserve">. Если до 2014 года в структуре заболеваемости лидировал рак желудка, то, начиная с 2014 года, на первое место вышел рак ободочной кишки. При этом отмечалось снижение заболеваемости раками таких локализаций, как рак пищевода и желудка и рост заболеваемости раками ободочной и прямой кишки </w:t>
      </w:r>
      <w:r w:rsidRPr="00903DE3">
        <w:rPr>
          <w:rFonts w:ascii="Times New Roman" w:eastAsia="Cambria" w:hAnsi="Times New Roman"/>
          <w:sz w:val="28"/>
          <w:szCs w:val="28"/>
        </w:rPr>
        <w:fldChar w:fldCharType="begin"/>
      </w:r>
      <w:r w:rsidRPr="00903DE3">
        <w:rPr>
          <w:rFonts w:ascii="Times New Roman" w:eastAsia="Cambria" w:hAnsi="Times New Roman"/>
          <w:sz w:val="28"/>
          <w:szCs w:val="28"/>
        </w:rPr>
        <w:instrText xml:space="preserve"> ADDIN ZOTERO_ITEM CSL_CITATION {"citationID":"VPsON94C","properties":{"formattedCitation":"[2]","plainCitation":"[2]","noteIndex":0},"citationItems":[{"id":307,"uris":["http://zotero.org/users/7388323/items/8AT4CAXF"],"uri":["http://zotero.org/users/7388323/items/8AT4CAXF"],"itemData":{"id":307,"type":"article-journal","abstract":"Worldwide, colon cancer is the third most common male malignancy and the second most common female malignancy, following lung cancer. Since 2011, the Republic of Kazakhstan has consistently implemented national health reform programs, for which improving the quality of cancer care is one of the main priorities. This study aimed at evaluation of colon's cancer morbidity and mortality within the period of 14 years (from 2004 to 2017). We observed an increase in the morbidity of colon cancer among the population of Kazakhstan, which may be due to the screening program, which started in 2011 as a part of he healthcare reform program. Meanwhile, we observed a decrease in colon cancer mortality. The peak incidence of colon cancer falls at the age of 70 years and older. A number of Kazakhstan's regions, including Pavlodar and East Kazakhstan have higher rates of colon cancer morbidity.","container-title":"Georgian Medical News","ISSN":"1512-0112","issue":"301","journalAbbreviation":"Georgian Med News","language":"rus","note":"PMID: 32535563","page":"54-59","source":"PubMed","title":"[MORTALITY AND MORBIDITY FROM COLON CANCER IN THE REPUBLIC OF KAZAKHSTAN]","author":[{"family":"Bekisheva","given":"A."},{"family":"Makishev","given":"A."},{"family":"Dauletyarova","given":"M."},{"family":"Semenova","given":"U."}],"issued":{"date-parts":[["2020",4]]}}}],"schema":"https://github.com/citation-style-language/schema/raw/master/csl-citation.json"} </w:instrText>
      </w:r>
      <w:r w:rsidRPr="00903DE3">
        <w:rPr>
          <w:rFonts w:ascii="Times New Roman" w:eastAsia="Cambria" w:hAnsi="Times New Roman"/>
          <w:sz w:val="28"/>
          <w:szCs w:val="28"/>
        </w:rPr>
        <w:fldChar w:fldCharType="separate"/>
      </w:r>
      <w:r w:rsidRPr="00903DE3">
        <w:rPr>
          <w:rFonts w:ascii="Times New Roman" w:hAnsi="Times New Roman"/>
          <w:sz w:val="28"/>
          <w:szCs w:val="28"/>
        </w:rPr>
        <w:t>[2]</w:t>
      </w:r>
      <w:r w:rsidRPr="00903DE3">
        <w:rPr>
          <w:rFonts w:ascii="Times New Roman" w:eastAsia="Cambria" w:hAnsi="Times New Roman"/>
          <w:sz w:val="28"/>
          <w:szCs w:val="28"/>
        </w:rPr>
        <w:fldChar w:fldCharType="end"/>
      </w:r>
      <w:r w:rsidRPr="00903DE3">
        <w:rPr>
          <w:rFonts w:ascii="Times New Roman" w:eastAsia="Cambria" w:hAnsi="Times New Roman"/>
          <w:sz w:val="28"/>
          <w:szCs w:val="28"/>
        </w:rPr>
        <w:t>.</w:t>
      </w:r>
    </w:p>
    <w:p w14:paraId="69C9E39D"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lastRenderedPageBreak/>
        <w:t xml:space="preserve">В отличие от динамики заболеваемости, смертность от раков пищеварительной системы демонстрировала большую стабильность, имея лишь незначительную тенденцию к снижению. В последние года рак желудка оставался ведущей причиной смертности, а раки ободочной и прямой кишки имели очень схожие показатели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eJ11ibO5","properties":{"formattedCitation":"[2]","plainCitation":"[2]","noteIndex":0},"citationItems":[{"id":307,"uris":["http://zotero.org/users/7388323/items/8AT4CAXF"],"uri":["http://zotero.org/users/7388323/items/8AT4CAXF"],"itemData":{"id":307,"type":"article-journal","abstract":"Worldwide, colon cancer is the third most common male malignancy and the second most common female malignancy, following lung cancer. Since 2011, the Republic of Kazakhstan has consistently implemented national health reform programs, for which improving the quality of cancer care is one of the main priorities. This study aimed at evaluation of colon's cancer morbidity and mortality within the period of 14 years (from 2004 to 2017). We observed an increase in the morbidity of colon cancer among the population of Kazakhstan, which may be due to the screening program, which started in 2011 as a part of he healthcare reform program. Meanwhile, we observed a decrease in colon cancer mortality. The peak incidence of colon cancer falls at the age of 70 years and older. A number of Kazakhstan's regions, including Pavlodar and East Kazakhstan have higher rates of colon cancer morbidity.","container-title":"Georgian Medical News","ISSN":"1512-0112","issue":"301","journalAbbreviation":"Georgian Med News","language":"rus","note":"PMID: 32535563","page":"54-59","source":"PubMed","title":"[MORTALITY AND MORBIDITY FROM COLON CANCER IN THE REPUBLIC OF KAZAKHSTAN]","author":[{"family":"Bekisheva","given":"A."},{"family":"Makishev","given":"A."},{"family":"Dauletyarova","given":"M."},{"family":"Semenova","given":"U."}],"issued":{"date-parts":[["2020",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w:t>
      </w:r>
      <w:r w:rsidRPr="00903DE3">
        <w:rPr>
          <w:rFonts w:ascii="Times New Roman" w:hAnsi="Times New Roman"/>
          <w:sz w:val="28"/>
          <w:szCs w:val="28"/>
        </w:rPr>
        <w:fldChar w:fldCharType="end"/>
      </w:r>
      <w:r w:rsidRPr="00903DE3">
        <w:rPr>
          <w:rFonts w:ascii="Times New Roman" w:eastAsia="Cambria" w:hAnsi="Times New Roman"/>
          <w:sz w:val="28"/>
          <w:szCs w:val="28"/>
        </w:rPr>
        <w:t>.</w:t>
      </w:r>
    </w:p>
    <w:p w14:paraId="012DE7C3"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p>
    <w:p w14:paraId="5920E2A1" w14:textId="77777777" w:rsidR="00403127" w:rsidRPr="00903DE3" w:rsidRDefault="00403127" w:rsidP="00403127">
      <w:pPr>
        <w:autoSpaceDE w:val="0"/>
        <w:autoSpaceDN w:val="0"/>
        <w:adjustRightInd w:val="0"/>
        <w:spacing w:after="0" w:line="240" w:lineRule="auto"/>
        <w:jc w:val="center"/>
        <w:rPr>
          <w:rFonts w:ascii="Times New Roman" w:hAnsi="Times New Roman"/>
          <w:sz w:val="28"/>
          <w:szCs w:val="28"/>
        </w:rPr>
      </w:pPr>
      <w:r w:rsidRPr="00903DE3">
        <w:rPr>
          <w:rFonts w:ascii="Times New Roman" w:hAnsi="Times New Roman"/>
          <w:noProof/>
          <w:sz w:val="28"/>
          <w:szCs w:val="28"/>
        </w:rPr>
        <w:drawing>
          <wp:inline distT="0" distB="0" distL="0" distR="0" wp14:anchorId="4B1E3AE3" wp14:editId="61C5F64C">
            <wp:extent cx="3645164" cy="6480000"/>
            <wp:effectExtent l="0" t="0" r="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45164" cy="6480000"/>
                    </a:xfrm>
                    <a:prstGeom prst="rect">
                      <a:avLst/>
                    </a:prstGeom>
                  </pic:spPr>
                </pic:pic>
              </a:graphicData>
            </a:graphic>
          </wp:inline>
        </w:drawing>
      </w:r>
    </w:p>
    <w:p w14:paraId="5DA31C92"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p>
    <w:p w14:paraId="558BE96D"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r w:rsidRPr="00903DE3">
        <w:rPr>
          <w:rFonts w:ascii="Times New Roman" w:hAnsi="Times New Roman"/>
          <w:sz w:val="28"/>
          <w:szCs w:val="28"/>
        </w:rPr>
        <w:t>Рисунок 5 – Картограмма смертности от колоректального рака в Казахстане [43]</w:t>
      </w:r>
    </w:p>
    <w:p w14:paraId="7386D303"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p>
    <w:p w14:paraId="165A00D2"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Возраст является одним из наиболее важных факторов в развитии колоректального рака. Во всем мире около 70% пациентов с раком ободочной кишки старше 65 лет [41]. Так же и в Казахстане самая большая доля пациентов </w:t>
      </w:r>
      <w:r w:rsidRPr="00903DE3">
        <w:rPr>
          <w:rFonts w:ascii="Times New Roman" w:hAnsi="Times New Roman"/>
          <w:sz w:val="28"/>
          <w:szCs w:val="28"/>
        </w:rPr>
        <w:lastRenderedPageBreak/>
        <w:t xml:space="preserve">с колоректальным раком (обоих полов) регистрируется в возрастной группе от 60 до 69 лет. Возрастные показатели заболеваемости колоректальным раком имеют пик в возрастной группе 75–79 лет у обоих полов [42]. А рост заболеваемости злокачественным новообразованием ободочной кишки отмечается в возрастной группе от 60 до 69 лет и достигает своего пика в группе 70 лет и старше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xGUfjDmh","properties":{"formattedCitation":"[2]","plainCitation":"[2]","noteIndex":0},"citationItems":[{"id":307,"uris":["http://zotero.org/users/7388323/items/8AT4CAXF"],"uri":["http://zotero.org/users/7388323/items/8AT4CAXF"],"itemData":{"id":307,"type":"article-journal","abstract":"Worldwide, colon cancer is the third most common male malignancy and the second most common female malignancy, following lung cancer. Since 2011, the Republic of Kazakhstan has consistently implemented national health reform programs, for which improving the quality of cancer care is one of the main priorities. This study aimed at evaluation of colon's cancer morbidity and mortality within the period of 14 years (from 2004 to 2017). We observed an increase in the morbidity of colon cancer among the population of Kazakhstan, which may be due to the screening program, which started in 2011 as a part of he healthcare reform program. Meanwhile, we observed a decrease in colon cancer mortality. The peak incidence of colon cancer falls at the age of 70 years and older. A number of Kazakhstan's regions, including Pavlodar and East Kazakhstan have higher rates of colon cancer morbidity.","container-title":"Georgian Medical News","ISSN":"1512-0112","issue":"301","journalAbbreviation":"Georgian Med News","language":"rus","note":"PMID: 32535563","page":"54-59","source":"PubMed","title":"[MORTALITY AND MORBIDITY FROM COLON CANCER IN THE REPUBLIC OF KAZAKHSTAN]","author":[{"family":"Bekisheva","given":"A."},{"family":"Makishev","given":"A."},{"family":"Dauletyarova","given":"M."},{"family":"Semenova","given":"U."}],"issued":{"date-parts":[["2020",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w:t>
      </w:r>
      <w:r w:rsidRPr="00903DE3">
        <w:rPr>
          <w:rFonts w:ascii="Times New Roman" w:hAnsi="Times New Roman"/>
          <w:sz w:val="28"/>
          <w:szCs w:val="28"/>
        </w:rPr>
        <w:fldChar w:fldCharType="end"/>
      </w:r>
      <w:r w:rsidRPr="00903DE3">
        <w:rPr>
          <w:rFonts w:ascii="Times New Roman" w:hAnsi="Times New Roman"/>
          <w:sz w:val="28"/>
          <w:szCs w:val="28"/>
        </w:rPr>
        <w:t>. В целом, не отмечалось значимых различий динамики заболеваемости раком ободочной кишки по полу. При этом следует учесть, что в последние годы у женщин в целевой группе скрининга (50–75 лет) идет тенденция к снижению заболеваемости колоректальным раком, что скорее всего связано с недостаточной социальной мобилизацией, которая требует большего внимания руководителей здравоохранения.</w:t>
      </w:r>
    </w:p>
    <w:p w14:paraId="15DE2CF7" w14:textId="77777777" w:rsidR="00403127" w:rsidRPr="00903DE3" w:rsidRDefault="00403127" w:rsidP="00403127">
      <w:pPr>
        <w:spacing w:after="0" w:line="240" w:lineRule="auto"/>
        <w:ind w:firstLine="567"/>
        <w:jc w:val="both"/>
        <w:rPr>
          <w:rFonts w:ascii="Times New Roman" w:eastAsia="Cambria" w:hAnsi="Times New Roman"/>
          <w:sz w:val="28"/>
          <w:szCs w:val="28"/>
        </w:rPr>
      </w:pPr>
      <w:r w:rsidRPr="00903DE3">
        <w:rPr>
          <w:rFonts w:ascii="Times New Roman" w:hAnsi="Times New Roman"/>
          <w:sz w:val="28"/>
          <w:szCs w:val="28"/>
        </w:rPr>
        <w:t xml:space="preserve">Соотношение смертности и заболеваемости </w:t>
      </w:r>
      <w:proofErr w:type="spellStart"/>
      <w:r w:rsidRPr="00903DE3">
        <w:rPr>
          <w:rFonts w:ascii="Times New Roman" w:hAnsi="Times New Roman"/>
          <w:sz w:val="28"/>
          <w:szCs w:val="28"/>
        </w:rPr>
        <w:t>колорекатальным</w:t>
      </w:r>
      <w:proofErr w:type="spellEnd"/>
      <w:r w:rsidRPr="00903DE3">
        <w:rPr>
          <w:rFonts w:ascii="Times New Roman" w:hAnsi="Times New Roman"/>
          <w:sz w:val="28"/>
          <w:szCs w:val="28"/>
        </w:rPr>
        <w:t xml:space="preserve"> раком в Казахстане составляет 68,2%, что является высоким показателем. Кривая смертности в период до скрининга была стабильной, а после введения скрининга произошло умеренное, но неуклонное снижение смертности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qxk1UkYJ","properties":{"formattedCitation":"[39]","plainCitation":"[39]","noteIndex":0},"citationItems":[{"id":309,"uris":["http://zotero.org/users/7388323/items/67BC6B4H"],"uri":["http://zotero.org/users/7388323/items/67BC6B4H"],"itemData":{"id":309,"type":"article-journal","abstract":"It is becoming clear that some of the differences in cancer risk, incidence and survival among people of different racial and ethnic backgrounds can be attributed to biological factors. However, identifying these factors and exploiting them to help eliminate cancer disparities has proved challenging. With this in mind, we asked four scientists for their opinions on the most crucial advances, as well as the challenges and what the future holds for this important emerging area of research.","container-title":"Nature Reviews. Cancer","DOI":"10.1038/nrc3341","ISSN":"1474-1768","issue":"9","journalAbbreviation":"Nat. Rev. Cancer","language":"eng","note":"PMID: 22854838\nPMCID: PMC3677949","page":"648-653","source":"PubMed","title":"The influence of race and ethnicity on the biology of cancer","volume":"12","author":[{"family":"Henderson","given":"Brian E."},{"family":"Lee","given":"Norman H."},{"family":"Seewaldt","given":"Victoria"},{"family":"Shen","given":"Hongbing"}],"issued":{"date-parts":[["2012"]]}}}],"schema":"https://github.com/citation-style-language/schema/raw/master/csl-citation.json"}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[43, 44]</w:t>
      </w:r>
      <w:r w:rsidRPr="00903DE3">
        <w:rPr>
          <w:rFonts w:ascii="Times New Roman" w:hAnsi="Times New Roman"/>
          <w:sz w:val="28"/>
          <w:szCs w:val="28"/>
        </w:rPr>
        <w:fldChar w:fldCharType="end"/>
      </w:r>
      <w:r w:rsidRPr="00903DE3">
        <w:rPr>
          <w:rFonts w:ascii="Times New Roman" w:hAnsi="Times New Roman"/>
          <w:sz w:val="28"/>
          <w:szCs w:val="28"/>
        </w:rPr>
        <w:t>.</w:t>
      </w:r>
    </w:p>
    <w:p w14:paraId="076FCDCF" w14:textId="77777777" w:rsidR="00403127" w:rsidRPr="00903DE3" w:rsidRDefault="00403127" w:rsidP="00403127">
      <w:pPr>
        <w:spacing w:after="0" w:line="240" w:lineRule="auto"/>
        <w:ind w:firstLine="567"/>
        <w:jc w:val="both"/>
        <w:rPr>
          <w:rFonts w:ascii="Times New Roman" w:eastAsia="Cambria" w:hAnsi="Times New Roman"/>
          <w:sz w:val="28"/>
          <w:szCs w:val="28"/>
        </w:rPr>
      </w:pPr>
      <w:r w:rsidRPr="00903DE3">
        <w:rPr>
          <w:rFonts w:ascii="Times New Roman" w:hAnsi="Times New Roman"/>
          <w:sz w:val="28"/>
          <w:szCs w:val="28"/>
        </w:rPr>
        <w:t>С</w:t>
      </w:r>
      <w:r w:rsidRPr="00903DE3">
        <w:rPr>
          <w:rFonts w:ascii="Times New Roman" w:hAnsi="Times New Roman"/>
          <w:color w:val="000000"/>
          <w:sz w:val="28"/>
          <w:szCs w:val="28"/>
        </w:rPr>
        <w:t xml:space="preserve">реднегодовая заболеваемость раком ободочной кишки за период с 2004 по 2010 год составила 30,1 на 100 000 населения и 37,2 на 100 000 населения за период с 2011 по 2017 год, а среднегодовая смертность за те же временные промежутки </w:t>
      </w:r>
      <w:r w:rsidRPr="00903DE3">
        <w:rPr>
          <w:rFonts w:ascii="Times New Roman" w:hAnsi="Times New Roman"/>
          <w:sz w:val="28"/>
          <w:szCs w:val="28"/>
        </w:rPr>
        <w:t xml:space="preserve">составила 5,0 на 100 000 населения и 4,8 на 100 000 населения, соответственно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HWM9wzkx","properties":{"formattedCitation":"[36]","plainCitation":"[36]","noteIndex":0},"citationItems":[{"id":316,"uris":["http://zotero.org/users/7388323/items/MBDICDHS"],"uri":["http://zotero.org/users/7388323/items/MBDICDHS"],"itemData":{"id":316,"type":"webpage","title":"Заболеваемость и смертность от рака эндометрия в Республике Казахстан за 5 летний период (с 2012 по 2016 гг) – тема научной статьи по клинической медицине читайте бесплатно текст научно-исследовательской работы в электронной библиотеке КиберЛенинка","URL":"https://cyberleninka.ru/article/n/zabolevaemost-i-smertnost-ot-raka-endometriya-v-respublike-kazahstan-za-5-letniy-period-s-2012-po-2016-gg","accessed":{"date-parts":[["2020",7,4]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w:t>
      </w:r>
      <w:r w:rsidRPr="00903DE3">
        <w:rPr>
          <w:rFonts w:ascii="Times New Roman" w:hAnsi="Times New Roman"/>
          <w:sz w:val="28"/>
          <w:szCs w:val="28"/>
        </w:rPr>
        <w:fldChar w:fldCharType="end"/>
      </w:r>
      <w:r w:rsidRPr="00903DE3">
        <w:rPr>
          <w:rFonts w:ascii="Times New Roman" w:eastAsia="Cambria" w:hAnsi="Times New Roman"/>
          <w:sz w:val="28"/>
          <w:szCs w:val="28"/>
        </w:rPr>
        <w:t xml:space="preserve">. </w:t>
      </w:r>
      <w:r w:rsidRPr="00903DE3">
        <w:rPr>
          <w:rFonts w:ascii="Times New Roman" w:hAnsi="Times New Roman"/>
          <w:sz w:val="28"/>
          <w:szCs w:val="28"/>
        </w:rPr>
        <w:t xml:space="preserve">Практически во всех регионах Казахстана, за исключением областей, входящих в южную географическую зону и </w:t>
      </w:r>
      <w:proofErr w:type="spellStart"/>
      <w:r w:rsidRPr="00903DE3">
        <w:rPr>
          <w:rFonts w:ascii="Times New Roman" w:hAnsi="Times New Roman"/>
          <w:sz w:val="28"/>
          <w:szCs w:val="28"/>
        </w:rPr>
        <w:t>Мангистауской</w:t>
      </w:r>
      <w:proofErr w:type="spellEnd"/>
      <w:r w:rsidRPr="00903DE3">
        <w:rPr>
          <w:rFonts w:ascii="Times New Roman" w:hAnsi="Times New Roman"/>
          <w:sz w:val="28"/>
          <w:szCs w:val="28"/>
        </w:rPr>
        <w:t xml:space="preserve"> области, отмечалось снижение показателя соотношения смертности и заболеваемости рака ободочной кишки в период с 2011 года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KQlfdGRG","properties":{"formattedCitation":"[2]","plainCitation":"[2]","noteIndex":0},"citationItems":[{"id":307,"uris":["http://zotero.org/users/7388323/items/8AT4CAXF"],"uri":["http://zotero.org/users/7388323/items/8AT4CAXF"],"itemData":{"id":307,"type":"article-journal","abstract":"Worldwide, colon cancer is the third most common male malignancy and the second most common female malignancy, following lung cancer. Since 2011, the Republic of Kazakhstan has consistently implemented national health reform programs, for which improving the quality of cancer care is one of the main priorities. This study aimed at evaluation of colon's cancer morbidity and mortality within the period of 14 years (from 2004 to 2017). We observed an increase in the morbidity of colon cancer among the population of Kazakhstan, which may be due to the screening program, which started in 2011 as a part of he healthcare reform program. Meanwhile, we observed a decrease in colon cancer mortality. The peak incidence of colon cancer falls at the age of 70 years and older. A number of Kazakhstan's regions, including Pavlodar and East Kazakhstan have higher rates of colon cancer morbidity.","container-title":"Georgian Medical News","ISSN":"1512-0112","issue":"301","journalAbbreviation":"Georgian Med News","language":"rus","note":"PMID: 32535563","page":"54-59","source":"PubMed","title":"[MORTALITY AND MORBIDITY FROM COLON CANCER IN THE REPUBLIC OF KAZAKHSTAN]","author":[{"family":"Bekisheva","given":"A."},{"family":"Makishev","given":"A."},{"family":"Dauletyarova","given":"M."},{"family":"Semenova","given":"U."}],"issued":{"date-parts":[["2020",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w:t>
      </w:r>
      <w:r w:rsidRPr="00903DE3">
        <w:rPr>
          <w:rFonts w:ascii="Times New Roman" w:hAnsi="Times New Roman"/>
          <w:sz w:val="28"/>
          <w:szCs w:val="28"/>
        </w:rPr>
        <w:fldChar w:fldCharType="end"/>
      </w:r>
      <w:r w:rsidRPr="00903DE3">
        <w:rPr>
          <w:rFonts w:ascii="Times New Roman" w:eastAsia="Cambria" w:hAnsi="Times New Roman"/>
          <w:sz w:val="28"/>
          <w:szCs w:val="28"/>
        </w:rPr>
        <w:t>.</w:t>
      </w:r>
    </w:p>
    <w:p w14:paraId="67373C03"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Показатели заболеваемости колоректальным раком I и II стадиями на сегодняшний день имеют значительный рост, а заболеваемость III и IV стадиями соответственно снижается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qxk1UkYJ","properties":{"formattedCitation":"[39]","plainCitation":"[39]","noteIndex":0},"citationItems":[{"id":309,"uris":["http://zotero.org/users/7388323/items/67BC6B4H"],"uri":["http://zotero.org/users/7388323/items/67BC6B4H"],"itemData":{"id":309,"type":"article-journal","abstract":"It is becoming clear that some of the differences in cancer risk, incidence and survival among people of different racial and ethnic backgrounds can be attributed to biological factors. However, identifying these factors and exploiting them to help eliminate cancer disparities has proved challenging. With this in mind, we asked four scientists for their opinions on the most crucial advances, as well as the challenges and what the future holds for this important emerging area of research.","container-title":"Nature Reviews. Cancer","DOI":"10.1038/nrc3341","ISSN":"1474-1768","issue":"9","journalAbbreviation":"Nat. Rev. Cancer","language":"eng","note":"PMID: 22854838\nPMCID: PMC3677949","page":"648-653","source":"PubMed","title":"The influence of race and ethnicity on the biology of cancer","volume":"12","author":[{"family":"Henderson","given":"Brian E."},{"family":"Lee","given":"Norman H."},{"family":"Seewaldt","given":"Victoria"},{"family":"Shen","given":"Hongbing"}],"issued":{"date-parts":[["2012"]]}}}],"schema":"https://github.com/citation-style-language/schema/raw/master/csl-citation.json"}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[43]</w:t>
      </w:r>
      <w:r w:rsidRPr="00903DE3">
        <w:rPr>
          <w:rFonts w:ascii="Times New Roman" w:hAnsi="Times New Roman"/>
          <w:sz w:val="28"/>
          <w:szCs w:val="28"/>
        </w:rPr>
        <w:fldChar w:fldCharType="end"/>
      </w:r>
      <w:r w:rsidRPr="00903DE3">
        <w:rPr>
          <w:rFonts w:ascii="Times New Roman" w:hAnsi="Times New Roman"/>
          <w:sz w:val="28"/>
          <w:szCs w:val="28"/>
        </w:rPr>
        <w:t xml:space="preserve">. С 2010 года отмечался неуклонный рост частоты выявления рака ободочной кишки на ранних стадиях (I–II) заболевания, который возрос в 2,7 раз (с 20% в 2004 году до 54% в 2017 году) в соответствии с рисунком 6. К тому же наблюдалось снижение удельного веса III и IV стадий заболевания, которые за тот же временной промежуток снизились в 1,7 и 1,9 раз, соответственно. Эти результаты можно сравнить с данными аналогичного исследования по изучению заболеваемости и смертности от колоректального рака у населения Восточно-Казахстанской области, которые за промежуток 2004-2013 гг. составляли 24 на100 000 и 15,9 на 100 000 населения, соответственно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LlNH87ut","properties":{"formattedCitation":"[40]","plainCitation":"[40]","noteIndex":0},"citationItems":[{"id":308,"uris":["http://zotero.org/users/7388323/items/TPX9BS89"],"uri":["http://zotero.org/users/7388323/items/TPX9BS89"],"itemData":{"id":308,"type":"article-journal","abstract":"Colorectal cancer incidence and mortality in Kazakhstan are relatively high but exact statistics have hitherto been lacking and trends over time are unclear. The present study was therefore undertaken to retrospectively assess data for East Kazakhstan, accessed from the central registration office, for the period 2004-2013. Approximate age standardized data for incidence and mortality were generated and compared across age groups, gender and year. It was determined that during the studied period 3,417 new cases of colorectal cancer were registered and 2,259 died of this pathology. Average cancer cancer incidence and mortality over the ten years were 24.1/105 and 15.9/105 respectively, and the overall ratio of mortality/incidence (M/I) was 0.69:1 (range 0.58-0.73). Both incidence and mortality tended to remain constant in both males and females. The male to female ratios also did not significantly vary over time but a trend for improvement of the mortality to incidence ratio was observed, especially for rectum. Whether this might be related to screening remains unclear. These preliminary data indicate that whereas colorectal cancer continues to be important, change in environmental factors are not having a great impact on incidence in East Kazakhstan.","container-title":"Asian Pacific journal of cancer prevention: APJCP","DOI":"10.7314/apjcp.2015.16.15.6413","ISSN":"2476-762X","issue":"15","journalAbbreviation":"Asian Pac. J. Cancer Prev.","language":"eng","note":"PMID: 26434852","page":"6413-6416","source":"PubMed","title":"Temporal Epidemiological Assessment of Colorectal Cancer Incidence and Mortality in East Kazakhstan, 2004-2013","volume":"16","author":[{"family":"Zhabagin","given":"Kuantkan"},{"family":"Igissinov","given":"Nurbek"},{"family":"Manambayeva","given":"Zukhra"},{"family":"Adylkhanov","given":"Tasbolat"},{"family":"Sandybayev","given":"Marat"},{"family":"Nurgazin","given":"Murat"},{"family":"Massadykov","given":"Adilzhan"},{"family":"Tanatarov","given":"Sayat"},{"family":"Aldyngurov","given":"Daniyar"},{"family":"Urazalina","given":"Nailya"},{"family":"Abiltayeva","given":"Aizhan"},{"family":"Baissalbayeva","given":"Ainoor"},{"family":"Zhabagina","given":"Almagul"},{"family":"Sabitova","given":"Dinara"},{"family":"Zhumykbayeva","given":"Nurgul"},{"family":"Kenbayeva","given":"Dinara"},{"family":"Rakhimbekov","given":"Alexander"}],"issued":{"date-parts":[["2015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[45]</w:t>
      </w:r>
      <w:r w:rsidRPr="00903DE3">
        <w:rPr>
          <w:rFonts w:ascii="Times New Roman" w:hAnsi="Times New Roman"/>
          <w:sz w:val="28"/>
          <w:szCs w:val="28"/>
        </w:rPr>
        <w:fldChar w:fldCharType="end"/>
      </w:r>
      <w:r w:rsidRPr="00903DE3">
        <w:rPr>
          <w:rFonts w:ascii="Times New Roman" w:hAnsi="Times New Roman"/>
          <w:sz w:val="28"/>
          <w:szCs w:val="28"/>
        </w:rPr>
        <w:t>.</w:t>
      </w:r>
    </w:p>
    <w:p w14:paraId="4D0639AC" w14:textId="77777777" w:rsidR="00403127" w:rsidRPr="00903DE3" w:rsidRDefault="00403127" w:rsidP="00403127">
      <w:pPr>
        <w:autoSpaceDE w:val="0"/>
        <w:autoSpaceDN w:val="0"/>
        <w:adjustRightInd w:val="0"/>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В Казахстане с 2008 по 2018 год среди зарегистрированных случаев онкопатологии удельный вес колоректального рака – 8,6%, а у 52,9% из них диагностирован рак ободочной кишки [46]. Ежегодно заболеваемость колоректальным раком увеличивается, и наиболее высокий темп прироста характерен для рака ободочной кишки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qNicNA0s","properties":{"formattedCitation":"[41]","plainCitation":"[41]","noteIndex":0},"citationItems":[{"id":306,"uris":["http://zotero.org/users/7388323/items/7IZVGBY9"],"uri":["http://zotero.org/users/7388323/items/7IZVGBY9"],"itemData":{"id":306,"type":"article-journal","abstract":"INTRODUCTION: Eastern and North-Eastern regions of Kazakhstan are considered to be environmentally disadvantaged due to industrial pollution and activity of the former Semipalatinsk Nuclear Test Site. Ferrous metallurgy is represented by the world's largest ferroalloy plant located in Aksu. In addition to a ferroalloy plant, Aksu is the home for the largest thermal power plant in Kazakhstan.\nOBJECTIVE: Biomonitoring of 31 hair and blood trace elements (Ag, Ba, Be, Bi, Cs, Co, Ce, Cr, Cu, Eu, Gd, Hf, In, La, Li, Mn, Mo, Nb, Nd, Pb, Sc, Sn, Tl, Th, U, V, W, Y, Yb, Zn, and Zr) in non-occupationally exposed population residing in polluted areas of East Kazakhstan and Pavlodar regions.\nMETHODS: Five case groups, residing in the vicinity to the former Semipalatinsk Nuclear Test Site (Akzhar, Borodulikha, and Karaul) or in proximity to industrial plants (Aksu and Ust-Kamenogorsk) have been assessed vs. controls from a rural settlement in Kurchum. In total, 204 hair and blood samples were analyzed by inductively coupled plasma mass spectrometry.\nRESULTS: The observed blood concentrations of trace elements were in agreement with earlier studies on residents of industrially polluted areas. Elevated levels of blood Ba, Mn, Pb, V, and Zn were detected in residents of Aksu and Ust-Kamenogorsk. The elemental composition of head hair was characterized by greater stability between the study sites.\nCONCLUSION: Residency near the former Semipalatinsk Test Site could be considered as safe, while the environmental status of industrial settlements appears to be rather adverse.","container-title":"Journal of trace elements in medicine and biology: organ of the Society for Minerals and Trace Elements (GMS)","DOI":"10.1016/j.jtemb.2019.07.006","ISSN":"1878-3252","journalAbbreviation":"J Trace Elem Med Biol","language":"eng","note":"PMID: 31442951","page":"31-37","source":"PubMed","title":"Trace element biomonitoring in hair and blood of occupationally unexposed population residing in polluted areas of East Kazakhstan and Pavlodar regions","volume":"56","author":[{"family":"Semenova","given":"Yuliya"},{"family":"Zhunussov","given":"Yersin"},{"family":"Pivina","given":"Lyudmila"},{"family":"Abisheva","given":"Aigerim"},{"family":"Tinkov","given":"Alexey"},{"family":"Belikhina","given":"Tatyana"},{"family":"Skalny","given":"Anatoly"},{"family":"Zhanaspayev","given":"Marat"},{"family":"Bulegenov","given":"Tolkyn"},{"family":"Glushkova","given":"Natalia"},{"family":"Lipikhina","given":"Alexandra"},{"family":"Dauletyarova","given":"Marzhan"},{"family":"Zhunussova","given":"Tamara"},{"family":"Bjørklund","given":"Geir"}],"issued":{"date-parts":[["2019",12]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[47]</w:t>
      </w:r>
      <w:r w:rsidRPr="00903DE3">
        <w:rPr>
          <w:rFonts w:ascii="Times New Roman" w:hAnsi="Times New Roman"/>
          <w:sz w:val="28"/>
          <w:szCs w:val="28"/>
        </w:rPr>
        <w:fldChar w:fldCharType="end"/>
      </w:r>
      <w:r w:rsidRPr="00903DE3">
        <w:rPr>
          <w:rFonts w:ascii="Times New Roman" w:hAnsi="Times New Roman"/>
          <w:sz w:val="28"/>
          <w:szCs w:val="28"/>
        </w:rPr>
        <w:t xml:space="preserve">. Целый ряд регионов Казахстана демонстрировали более высокие уровни заболеваемости раком ободочной кишки. К их числу относится и Восточно-Казахстанская и Павлодарская области. Сложная экологическая обстановка, возникшая на фоне развитого промышленного и добывающего секторов экономики, способствующих загрязнению окружающей среды, может служить одним из возможных </w:t>
      </w:r>
      <w:r w:rsidRPr="00903DE3">
        <w:rPr>
          <w:rFonts w:ascii="Times New Roman" w:hAnsi="Times New Roman"/>
          <w:sz w:val="28"/>
          <w:szCs w:val="28"/>
        </w:rPr>
        <w:lastRenderedPageBreak/>
        <w:t xml:space="preserve">объяснений этого факта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qNicNA0s","properties":{"formattedCitation":"[41]","plainCitation":"[41]","noteIndex":0},"citationItems":[{"id":306,"uris":["http://zotero.org/users/7388323/items/7IZVGBY9"],"uri":["http://zotero.org/users/7388323/items/7IZVGBY9"],"itemData":{"id":306,"type":"article-journal","abstract":"INTRODUCTION: Eastern and North-Eastern regions of Kazakhstan are considered to be environmentally disadvantaged due to industrial pollution and activity of the former Semipalatinsk Nuclear Test Site. Ferrous metallurgy is represented by the world's largest ferroalloy plant located in Aksu. In addition to a ferroalloy plant, Aksu is the home for the largest thermal power plant in Kazakhstan.\nOBJECTIVE: Biomonitoring of 31 hair and blood trace elements (Ag, Ba, Be, Bi, Cs, Co, Ce, Cr, Cu, Eu, Gd, Hf, In, La, Li, Mn, Mo, Nb, Nd, Pb, Sc, Sn, Tl, Th, U, V, W, Y, Yb, Zn, and Zr) in non-occupationally exposed population residing in polluted areas of East Kazakhstan and Pavlodar regions.\nMETHODS: Five case groups, residing in the vicinity to the former Semipalatinsk Nuclear Test Site (Akzhar, Borodulikha, and Karaul) or in proximity to industrial plants (Aksu and Ust-Kamenogorsk) have been assessed vs. controls from a rural settlement in Kurchum. In total, 204 hair and blood samples were analyzed by inductively coupled plasma mass spectrometry.\nRESULTS: The observed blood concentrations of trace elements were in agreement with earlier studies on residents of industrially polluted areas. Elevated levels of blood Ba, Mn, Pb, V, and Zn were detected in residents of Aksu and Ust-Kamenogorsk. The elemental composition of head hair was characterized by greater stability between the study sites.\nCONCLUSION: Residency near the former Semipalatinsk Test Site could be considered as safe, while the environmental status of industrial settlements appears to be rather adverse.","container-title":"Journal of trace elements in medicine and biology: organ of the Society for Minerals and Trace Elements (GMS)","DOI":"10.1016/j.jtemb.2019.07.006","ISSN":"1878-3252","journalAbbreviation":"J Trace Elem Med Biol","language":"eng","note":"PMID: 31442951","page":"31-37","source":"PubMed","title":"Trace element biomonitoring in hair and blood of occupationally unexposed population residing in polluted areas of East Kazakhstan and Pavlodar regions","volume":"56","author":[{"family":"Semenova","given":"Yuliya"},{"family":"Zhunussov","given":"Yersin"},{"family":"Pivina","given":"Lyudmila"},{"family":"Abisheva","given":"Aigerim"},{"family":"Tinkov","given":"Alexey"},{"family":"Belikhina","given":"Tatyana"},{"family":"Skalny","given":"Anatoly"},{"family":"Zhanaspayev","given":"Marat"},{"family":"Bulegenov","given":"Tolkyn"},{"family":"Glushkova","given":"Natalia"},{"family":"Lipikhina","given":"Alexandra"},{"family":"Dauletyarova","given":"Marzhan"},{"family":"Zhunussova","given":"Tamara"},{"family":"Bjørklund","given":"Geir"}],"issued":{"date-parts":[["2019",12]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[45]</w:t>
      </w:r>
      <w:r w:rsidRPr="00903DE3">
        <w:rPr>
          <w:rFonts w:ascii="Times New Roman" w:hAnsi="Times New Roman"/>
          <w:sz w:val="28"/>
          <w:szCs w:val="28"/>
        </w:rPr>
        <w:fldChar w:fldCharType="end"/>
      </w:r>
      <w:r w:rsidRPr="00903DE3">
        <w:rPr>
          <w:rFonts w:ascii="Times New Roman" w:hAnsi="Times New Roman"/>
          <w:sz w:val="28"/>
          <w:szCs w:val="28"/>
        </w:rPr>
        <w:t xml:space="preserve">. Помимо этого, немаловажный вклад в ухудшение эпидемиологических показателей по онкологическим заболеваниям этих регионов внесла и многолетняя деятельность Семипалатинского ядерного полигона, который расположен на территории этих областей Казахстана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uPey9yZN","properties":{"formattedCitation":"[42\\uc0\\u8211{}44]","plainCitation":"[42–44]","noteIndex":0},"citationItems":[{"id":305,"uris":["http://zotero.org/users/7388323/items/CNMFN7DN"],"uri":["http://zotero.org/users/7388323/items/CNMFN7DN"],"itemData":{"id":305,"type":"article-journal","abstract":"This study examines the association between environmental radiation exposure and essential hypertension in a series of investigated geographical districts adjacent to the Semipalatinsk nuclear test site in Kazakhstan. The sample consists of 2000 volunteers participants in screening examinations in three administrative districts close to the nuclear test site, which was carried out as part of the Government Programs on Environmental Health Hazard. The cross-sectional study compares prevalence ratios in a population sample with long-term exposure in the low and intermediate dose range. Age-adjusted odds ratios for hypertension were found significantly increased with higher exposure groups. After accounting for main cardiovascular risk factors into the model and stratifying by gender, the prevalence odds ratios for radiation remained significantly increased, with a significant dose-response effect observed for some but not all subgroups. The results support existing evidence of cardiovascular health effects of radiation exposure and of persisting environmental health issues that require attention in both epidemiological surveys and healthcare provision.","container-title":"Environmental Research","DOI":"10.1016/j.envres.2018.07.016","ISSN":"1096-0953","journalAbbreviation":"Environ. Res.","language":"eng","note":"PMID: 30014894","page":"129-135","source":"PubMed","title":"Increased prevalence of essential hypertension in areas previously exposed to fallout due to nuclear weapons testing at the Semipalatinsk Test Site, Kazakhstan","volume":"167","author":[{"family":"Markabayeva","given":"Akbayan"},{"family":"Bauer","given":"Susanne"},{"family":"Pivina","given":"Lyudmila"},{"family":"Bjørklund","given":"Geir"},{"family":"Chirumbolo","given":"Salvatore"},{"family":"Kerimkulova","given":"Aiman"},{"family":"Semenova","given":"Yulia"},{"family":"Belikhina","given":"Tatyana"}],"issued":{"date-parts":[["2018"]]}}},{"id":304,"uris":["http://zotero.org/users/7388323/items/DFS633BM"],"uri":["http://zotero.org/users/7388323/items/DFS633BM"],"itemData":{"id":304,"type":"article-journal","abstract":"In this study, we investigated the association between depression, anxiety and medication adherence in patients with arterial hypertension living in East Kazakhstan region. The sample size included 795 patients, of whom 403 patients were exposed to radiation at the Semipalatinsk Nuclear Test Site from 1949 to 1989, while 395 patients were unexposed to radiation due to their very remote residence from the Site at the same period. Both exposed and unexposed patients showed no significant differences concerning body mass index, smoking habit, the presence of hypercholesterolemia, and hypertension grade. Patients with arterial hypertension previously exposed to radiation had significantly higher rates of low medication adherence, subclinical and clinical depression, situational anxiety of moderate and severe grade, and personal anxiety of moderate grade. A logistic regression analysis allowed us to identify the presence of significant positive association between medication adherence and anxiety in exposed patients (OR = 4041 (95%CI:1709-9556) p = 0.001) and marginal association (OR = 2998 (95%CI:1008-8915) p = 0.048) between the same parameters in unexposed patients. It might prove to be useful to introduce psychological and medical counseling with an emphasis on strengthening of medication adherence and to inform the local population about radiation effects and dosimetry data.","container-title":"Journal of Environmental Radioactivity","DOI":"10.1016/j.jenvrad.2018.09.016","ISSN":"1879-1700","journalAbbreviation":"J Environ Radioact","language":"eng","note":"PMID: 30241015","page":"33-39","source":"PubMed","title":"Associations between depression, anxiety and medication adherence among patients with arterial hypertension: Comparison between persons exposed and non-exposed to radiation from the Semipalatinsk Nuclear Test Site","title-short":"Associations between depression, anxiety and medication adherence among patients with arterial hypertension","volume":"195","author":[{"family":"Dyussenova","given":"Lyazzat"},{"family":"Pivina","given":"Lyudmila"},{"family":"Semenova","given":"Yuliya"},{"family":"Bjørklund","given":"Geir"},{"family":"Glushkova","given":"Natalia"},{"family":"Chirumbolo","given":"Salvatore"},{"family":"Belikhina","given":"Tatyana"}],"issued":{"date-parts":[["2018",12]]}}},{"id":303,"uris":["http://zotero.org/users/7388323/items/LL97STGT"],"uri":["http://zotero.org/users/7388323/items/LL97STGT"],"itemData":{"id":303,"type":"article-journal","abstract":"The present study investigates the rates of depression, anxiety, somatic distress, and fatigue in a rural population of Abayskiy, Borodulikha and Mayskiy districts exposed to radiation from Semipalatinsk Nuclear Test Site in comparison with the unexposed population of Kurchum district. The sample size included 901 people, of whom 656 were residents of radioecological contaminated areas, while 245 resided at ecologically safe territories and had no radiation exposure in the past. Both study groups had no significant differences concerning age, sex, level of education, smoking habit, and alcohol consumption. The prevalence of depression, anxiety, somatic distress and fatigue in the exposed group was found to be considerably higher than that in the unexposed. Results of logistic regression analysis showed considerable differences in associations between depression and anxiety, as wells as between depression and somatic distress in the exposed group. Besides, depression was significantly associated with general fatigue, reduced activity, physical fatigue, reduced motivation and mental fatigue in the unexposed group. There is a need to tailor public health interventions focused on the identification and management of individuals exhibiting mental distress, including the provision of adequate information about radiation-induced health effects, quality routine check-ups and psychological counseling.","container-title":"Journal of Environmental Radioactivity","DOI":"10.1016/j.jenvrad.2019.02.013","ISSN":"1879-1700","journalAbbreviation":"J Environ Radioact","language":"eng","note":"PMID: 30849560","page":"39-47","source":"PubMed","title":"Mental distress in the rural Kazakhstani population exposed and non-exposed to radiation from the Semipalatinsk Nuclear Test Site","volume":"203","author":[{"family":"Semenova","given":"Yuliya"},{"family":"Pivina","given":"Lyudmila"},{"family":"Manatova","given":"Almira"},{"family":"Bjørklund","given":"Geir"},{"family":"Glushkova","given":"Natalia"},{"family":"Belikhina","given":"Tatyana"},{"family":"Dauletyarova","given":"Marzhan"},{"family":"Zhunussova","given":"Tamara"}],"issued":{"date-parts":[["2019",7]]}}}],"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[48-50]</w:t>
      </w:r>
      <w:r w:rsidRPr="00903DE3">
        <w:rPr>
          <w:rFonts w:ascii="Times New Roman" w:hAnsi="Times New Roman"/>
          <w:sz w:val="28"/>
          <w:szCs w:val="28"/>
        </w:rPr>
        <w:fldChar w:fldCharType="end"/>
      </w:r>
      <w:r w:rsidRPr="00903DE3">
        <w:rPr>
          <w:rFonts w:ascii="Times New Roman" w:hAnsi="Times New Roman"/>
          <w:sz w:val="28"/>
          <w:szCs w:val="28"/>
        </w:rPr>
        <w:t>.</w:t>
      </w:r>
    </w:p>
    <w:p w14:paraId="02DF5B9F" w14:textId="77777777" w:rsidR="00403127" w:rsidRPr="00903DE3" w:rsidRDefault="00403127" w:rsidP="00403127">
      <w:pPr>
        <w:autoSpaceDE w:val="0"/>
        <w:autoSpaceDN w:val="0"/>
        <w:adjustRightInd w:val="0"/>
        <w:spacing w:after="0" w:line="240" w:lineRule="auto"/>
        <w:ind w:firstLine="708"/>
        <w:jc w:val="both"/>
        <w:rPr>
          <w:rFonts w:ascii="Times New Roman" w:hAnsi="Times New Roman"/>
          <w:sz w:val="28"/>
          <w:szCs w:val="28"/>
        </w:rPr>
      </w:pPr>
    </w:p>
    <w:p w14:paraId="4DCA97F6" w14:textId="77777777" w:rsidR="00403127" w:rsidRPr="00903DE3" w:rsidRDefault="00403127" w:rsidP="00403127">
      <w:pPr>
        <w:autoSpaceDE w:val="0"/>
        <w:autoSpaceDN w:val="0"/>
        <w:adjustRightInd w:val="0"/>
        <w:spacing w:after="0" w:line="240" w:lineRule="auto"/>
        <w:ind w:firstLine="708"/>
        <w:jc w:val="both"/>
        <w:rPr>
          <w:rFonts w:ascii="Times New Roman" w:hAnsi="Times New Roman"/>
          <w:sz w:val="28"/>
          <w:szCs w:val="28"/>
        </w:rPr>
      </w:pPr>
      <w:r w:rsidRPr="00903DE3">
        <w:rPr>
          <w:rFonts w:ascii="Times New Roman" w:hAnsi="Times New Roman"/>
          <w:noProof/>
          <w:sz w:val="28"/>
          <w:szCs w:val="28"/>
        </w:rPr>
        <w:drawing>
          <wp:anchor distT="0" distB="0" distL="114300" distR="114300" simplePos="0" relativeHeight="251659264" behindDoc="0" locked="0" layoutInCell="1" allowOverlap="1" wp14:anchorId="0286A7AA" wp14:editId="02DAE760">
            <wp:simplePos x="0" y="0"/>
            <wp:positionH relativeFrom="margin">
              <wp:align>center</wp:align>
            </wp:positionH>
            <wp:positionV relativeFrom="paragraph">
              <wp:posOffset>242570</wp:posOffset>
            </wp:positionV>
            <wp:extent cx="6125845" cy="3360420"/>
            <wp:effectExtent l="0" t="0" r="8255" b="0"/>
            <wp:wrapSquare wrapText="bothSides"/>
            <wp:docPr id="9" name="Picture 9" descr="A picture containing text, measuring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measuring stick&#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6128086" cy="3361649"/>
                    </a:xfrm>
                    <a:prstGeom prst="rect">
                      <a:avLst/>
                    </a:prstGeom>
                  </pic:spPr>
                </pic:pic>
              </a:graphicData>
            </a:graphic>
            <wp14:sizeRelH relativeFrom="page">
              <wp14:pctWidth>0</wp14:pctWidth>
            </wp14:sizeRelH>
            <wp14:sizeRelV relativeFrom="page">
              <wp14:pctHeight>0</wp14:pctHeight>
            </wp14:sizeRelV>
          </wp:anchor>
        </w:drawing>
      </w:r>
    </w:p>
    <w:p w14:paraId="703490DB" w14:textId="77777777" w:rsidR="00403127" w:rsidRPr="00903DE3" w:rsidRDefault="00403127" w:rsidP="00403127">
      <w:pPr>
        <w:autoSpaceDE w:val="0"/>
        <w:autoSpaceDN w:val="0"/>
        <w:adjustRightInd w:val="0"/>
        <w:spacing w:after="0" w:line="240" w:lineRule="auto"/>
        <w:ind w:firstLine="708"/>
        <w:jc w:val="both"/>
        <w:rPr>
          <w:rFonts w:ascii="Times New Roman" w:hAnsi="Times New Roman"/>
          <w:sz w:val="28"/>
          <w:szCs w:val="28"/>
        </w:rPr>
      </w:pPr>
    </w:p>
    <w:p w14:paraId="2BA62642"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r w:rsidRPr="00903DE3">
        <w:rPr>
          <w:rFonts w:ascii="Times New Roman" w:hAnsi="Times New Roman"/>
          <w:sz w:val="28"/>
          <w:szCs w:val="28"/>
        </w:rPr>
        <w:t xml:space="preserve">Рисунок 6 – Распределение выявленных случаев рака ободочной кишки по стадиям заболевания на момент постановки диагноза </w:t>
      </w:r>
    </w:p>
    <w:p w14:paraId="20167FD4" w14:textId="77777777" w:rsidR="00403127" w:rsidRPr="00903DE3" w:rsidRDefault="00403127" w:rsidP="00403127">
      <w:pPr>
        <w:autoSpaceDE w:val="0"/>
        <w:autoSpaceDN w:val="0"/>
        <w:adjustRightInd w:val="0"/>
        <w:spacing w:after="0" w:line="240" w:lineRule="auto"/>
        <w:ind w:firstLine="708"/>
        <w:jc w:val="center"/>
        <w:rPr>
          <w:rFonts w:ascii="Times New Roman" w:hAnsi="Times New Roman"/>
          <w:sz w:val="28"/>
          <w:szCs w:val="28"/>
        </w:rPr>
      </w:pPr>
      <w:proofErr w:type="gramStart"/>
      <w:r w:rsidRPr="00903DE3">
        <w:rPr>
          <w:rFonts w:ascii="Times New Roman" w:hAnsi="Times New Roman"/>
          <w:sz w:val="28"/>
          <w:szCs w:val="28"/>
        </w:rPr>
        <w:t>за</w:t>
      </w:r>
      <w:proofErr w:type="gramEnd"/>
      <w:r w:rsidRPr="00903DE3">
        <w:rPr>
          <w:rFonts w:ascii="Times New Roman" w:hAnsi="Times New Roman"/>
          <w:sz w:val="28"/>
          <w:szCs w:val="28"/>
        </w:rPr>
        <w:t xml:space="preserve"> период 2004–2017 гг. (%) [2]</w:t>
      </w:r>
    </w:p>
    <w:p w14:paraId="1A32B74B" w14:textId="77777777" w:rsidR="00403127" w:rsidRPr="00903DE3" w:rsidRDefault="00403127" w:rsidP="00403127">
      <w:pPr>
        <w:autoSpaceDE w:val="0"/>
        <w:autoSpaceDN w:val="0"/>
        <w:adjustRightInd w:val="0"/>
        <w:spacing w:after="0" w:line="240" w:lineRule="auto"/>
        <w:ind w:firstLine="708"/>
        <w:jc w:val="both"/>
        <w:rPr>
          <w:rFonts w:ascii="Times New Roman" w:hAnsi="Times New Roman"/>
          <w:sz w:val="28"/>
          <w:szCs w:val="28"/>
        </w:rPr>
      </w:pPr>
    </w:p>
    <w:p w14:paraId="26AE7278" w14:textId="77777777" w:rsidR="00403127" w:rsidRPr="00903DE3" w:rsidRDefault="00403127" w:rsidP="00403127">
      <w:pPr>
        <w:autoSpaceDE w:val="0"/>
        <w:autoSpaceDN w:val="0"/>
        <w:adjustRightInd w:val="0"/>
        <w:spacing w:after="0" w:line="240" w:lineRule="auto"/>
        <w:ind w:firstLine="708"/>
        <w:jc w:val="both"/>
        <w:rPr>
          <w:rFonts w:ascii="Times New Roman" w:hAnsi="Times New Roman"/>
          <w:sz w:val="28"/>
          <w:szCs w:val="28"/>
        </w:rPr>
      </w:pPr>
    </w:p>
    <w:p w14:paraId="0D6A1E3E"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Рост заболеваемости раком ободочной кишки в Казахстане может быть связан с внедрением популяционного скрининга, который стартовал в 2011 году, с началом программ реформирования здравоохранения. Данный скрининг проводится в 2 этапа и включает в себя иммунохимическое исследование кала на скрытую кровь – гемокульт-тест и тотальную колоноскопию, а при выявлении патологических изменений проводится и третий этап – гистологическое исследование полученного материала биопсии кишечника. Популяционный скрининг проводится 1 раз в 2 года и охватывает целевые группы населения, которые включают в себя людей в возрасте от 50 до 70 лет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wdu5O1zI","properties":{"formattedCitation":"[45]","plainCitation":"[45]","noteIndex":0},"citationItems":[{"id":301,"uris":["http://zotero.org/users/7388323/items/C9GWA54L"],"uri":["http://zotero.org/users/7388323/items/C9GWA54L"],"itemData":{"id":301,"type":"webpage","title":"Злокачественные новообразования ободочной кишки &gt; Клинические протоколы МЗ РК - 2018 &gt; MedElement","URL":"https://diseases.medelement.com/disease/%D0%B7%D0%BB%D0%BE%D0%BA%D0%B0%D1%87%D0%B5%D1%81%D1%82%D0%B2%D0%B5%D0%BD%D0%BD%D1%8B%D0%B5-%D0%BD%D0%BE%D0%B2%D0%BE%D0%BE%D0%B1%D1%80%D0%B0%D0%B7%D0%BE%D0%B2%D0%B0%D0%BD%D0%B8%D1%8F-%D0%BE%D0%B1%D0%BE%D0%B4%D0%BE%D1%87%D0%BD%D0%BE%D0%B9-%D0%BA%D0%B8%D1%88%D0%BA%D0%B8-2018/16171","accessed":{"date-parts":[["2020",7,4]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[43]</w:t>
      </w:r>
      <w:r w:rsidRPr="00903DE3">
        <w:rPr>
          <w:rFonts w:ascii="Times New Roman" w:hAnsi="Times New Roman"/>
          <w:sz w:val="28"/>
          <w:szCs w:val="28"/>
        </w:rPr>
        <w:fldChar w:fldCharType="end"/>
      </w:r>
      <w:r w:rsidRPr="00903DE3">
        <w:rPr>
          <w:rFonts w:ascii="Times New Roman" w:hAnsi="Times New Roman"/>
          <w:sz w:val="28"/>
          <w:szCs w:val="28"/>
        </w:rPr>
        <w:t xml:space="preserve">. Во многих странах были проведены исследования, доказывающие эффективность программ скрининга в снижении смертности от колоректального рака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FRdiSfV5","properties":{"formattedCitation":"[46]","plainCitation":"[46]","noteIndex":0},"citationItems":[{"id":300,"uris":["http://zotero.org/users/7388323/items/JBA83S2X"],"uri":["http://zotero.org/users/7388323/items/JBA83S2X"],"itemData":{"id":300,"type":"webpage","title":"Возрастно-половые, этнические и морфологические особенности колоректального рака в Семейском регионе","URL":"http://www.medzdrav.kz/index.php/%D0%B6%D1%83%D1%80%D0%BD%D0%B0%D0%BB-%D0%BC%D0%B5%D0%B4%D0%B8%D1%86%D0%B8%D0%BD%D0%B0/95-2016/%E2%84%96-10-172-2016/1211-%D0%B2%D0%BE%D0%B7%D1%80%D0%B0%D1%81%D1%82%D0%BD%D0%BE-%D0%BF%D0%BE%D0%BB%D0%BE%D0%B2%D1%8B%D0%B5,-%D1%8D%D1%82%D0%BD%D0%B8%D1%87%D0%B5%D1%81%D0%BA%D0%B8%D0%B5-%D0%B8-%D0%BC%D0%BE%D1%80%D1%84%D0%BE%D0%BB%D0%BE%D0%B3%D0%B8%D1%87%D0%B5%D1%81%D0%BA%D0%B8%D0%B5-%D0%BE%D1%81%D0%BE%D0%B1%D0%B5%D0%BD%D0%BD%D0%BE%D1%81%D1%82%D0%B8-%D0%BA%D0%BE%D0%BB%D0%BE%D1%80%D0%B5%D0%BA%D1%82%D0%B0%D0%BB%D1%8C%D0%BD%D0%BE%D0%B3%D0%BE-%D1%80%D0%B0%D0%BA%D0%B0-%D0%B2-%D1%81%D0%B5%D0%BC%D0%B5%D0%B9%D1%81%D0%BA%D0%BE%D0%BC-%D1%80%D0%B5%D0%B3%D0%B8%D0%BE%D0%BD%D0%B5","accessed":{"date-parts":[["2020",7,4]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[51]</w:t>
      </w:r>
      <w:r w:rsidRPr="00903DE3">
        <w:rPr>
          <w:rFonts w:ascii="Times New Roman" w:hAnsi="Times New Roman"/>
          <w:sz w:val="28"/>
          <w:szCs w:val="28"/>
        </w:rPr>
        <w:fldChar w:fldCharType="end"/>
      </w:r>
      <w:r w:rsidRPr="00903DE3">
        <w:rPr>
          <w:rFonts w:ascii="Times New Roman" w:hAnsi="Times New Roman"/>
          <w:sz w:val="28"/>
          <w:szCs w:val="28"/>
        </w:rPr>
        <w:t xml:space="preserve">. Также, немаловажное значение имеет и выявление других факторов риска, таких как генетические изменения, курение и употребление алкоголя. В частности, считается, что длительное курение является важным связующим звеном между метаболическим синдромом и раком ободочной кишки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penqe1n8m","properties":{"formattedCitation":"[47]","plainCitation":"[47]","noteIndex":0},"citationItems":[{"id":67,"uris":["http://zotero.org/users/7388323/items/NMVRLUQR"],"uri":["http://zotero.org/users/7388323/items/NMVRLUQR"],"itemData":{"id":67,"type":"article-journal","abstract":"PURPOSE: The purpose of this study was to identify the impact of cigarette smoking and alcohol consumption on the incidence of colon cancer in adults with metabolic syndrome.\nMETHODS: This study employed a longitudinal study design and utilized secondary data drawn from the Korean Genome and Epidemiology Study (KoGES). The data of a sample of 2,327 adults with metabolic syndrome tracked every two years from 2001 to 2014 were used in this study. Statistical data analyses of the frequency, number of cases per 100,000 person-years, log-rank test, Kaplan-Meier curve, and Cox's proportional hazards regression were performed using IBM SPSS statistics version 24.\nRESULTS: During the observation period, the number of colon cancer cases was 46, and the total person-years were 252,444. The incidence of colon cancer was higher in current, over 10 pack-year smokers when compared to non-smokers (hazard ratio=3.38, 95% confidence interval=1.09~8.42).\nCONCLUSION: Excessive and long-term smoking should be avoided to prevent colon cancer, especially in adults with metabolic syndrome, since it might exacerbate the risk factors of colon cancer. Particularly, health professionals need to provide individualized smoking cessation interventions to those at high risk of colon cancer.","container-title":"Journal of Korean Academy of Nursing","DOI":"10.4040/jkan.2019.49.6.713","ISSN":"2093-758X","issue":"6","journalAbbreviation":"J Korean Acad Nurs","language":"kor","note":"PMID: 31932566","page":"713-723","source":"PubMed","title":"[Incidence of Colon Cancer Related to Cigarette Smoking and Alcohol Consumption in Adults with Metabolic Syndrome: Prospective Cohort Study]","title-short":"[Incidence of Colon Cancer Related to Cigarette Smoking and Alcohol Consumption in Adults with Metabolic Syndrome","volume":"49","author":[{"family":"Jo","given":"Ahra"},{"family":"Oh","given":"Heeyoung"}],"issued":{"date-parts":[["2019",12]]}}}],"schema":"https://github.com/citation-style-language/schema/raw/master/csl-citation.json"}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[52, 53]</w:t>
      </w:r>
      <w:r w:rsidRPr="00903DE3">
        <w:rPr>
          <w:rFonts w:ascii="Times New Roman" w:hAnsi="Times New Roman"/>
          <w:sz w:val="28"/>
          <w:szCs w:val="28"/>
        </w:rPr>
        <w:fldChar w:fldCharType="end"/>
      </w:r>
      <w:r w:rsidRPr="00903DE3">
        <w:rPr>
          <w:rFonts w:ascii="Times New Roman" w:hAnsi="Times New Roman"/>
          <w:sz w:val="28"/>
          <w:szCs w:val="28"/>
        </w:rPr>
        <w:t>.</w:t>
      </w:r>
    </w:p>
    <w:p w14:paraId="3B16F04A"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lastRenderedPageBreak/>
        <w:t xml:space="preserve">Продолжающиеся демографические изменения приведут к росту числа смертей в год от рака ободочной кишки в подавляющем большинстве стран, и, по данным Международного агентства по исследованию рака, в 2040 году ожидается, что от этой патологии в мире умрет около 1,02 миллиона человек, в том числе в Казахстане это число составит около 1,74 </w:t>
      </w:r>
      <w:proofErr w:type="spellStart"/>
      <w:r w:rsidRPr="00903DE3">
        <w:rPr>
          <w:rFonts w:ascii="Times New Roman" w:hAnsi="Times New Roman"/>
          <w:sz w:val="28"/>
          <w:szCs w:val="28"/>
        </w:rPr>
        <w:t>тыс</w:t>
      </w:r>
      <w:proofErr w:type="spellEnd"/>
      <w:r w:rsidRPr="00903DE3">
        <w:rPr>
          <w:rFonts w:ascii="Times New Roman" w:hAnsi="Times New Roman"/>
          <w:sz w:val="28"/>
          <w:szCs w:val="28"/>
        </w:rPr>
        <w:t xml:space="preserve"> человек [54]. Таким образом, динамический рост заболеваемости раком ободочной кишки со стабильной лидирующей позицией в общей структуре онкопатологии, свидетельствует об актуальности проблемы для РК и необходимости совершенствования методов диагностики, лечения, реабилитации и профилактики.</w:t>
      </w:r>
    </w:p>
    <w:p w14:paraId="7A0D1076" w14:textId="77777777" w:rsidR="00403127" w:rsidRPr="00903DE3" w:rsidRDefault="00403127" w:rsidP="00403127">
      <w:pPr>
        <w:spacing w:after="0" w:line="240" w:lineRule="auto"/>
        <w:ind w:firstLine="567"/>
        <w:jc w:val="both"/>
        <w:rPr>
          <w:rFonts w:ascii="Times New Roman" w:hAnsi="Times New Roman"/>
          <w:sz w:val="28"/>
          <w:szCs w:val="28"/>
        </w:rPr>
      </w:pPr>
    </w:p>
    <w:p w14:paraId="623D66F1" w14:textId="77777777" w:rsidR="00403127" w:rsidRPr="00903DE3" w:rsidRDefault="00403127" w:rsidP="00403127">
      <w:pPr>
        <w:spacing w:after="0" w:line="240" w:lineRule="auto"/>
        <w:ind w:firstLine="567"/>
        <w:jc w:val="both"/>
        <w:rPr>
          <w:rFonts w:ascii="Times New Roman" w:hAnsi="Times New Roman"/>
          <w:b/>
          <w:bCs/>
          <w:sz w:val="28"/>
          <w:szCs w:val="28"/>
        </w:rPr>
      </w:pPr>
      <w:r w:rsidRPr="00903DE3">
        <w:rPr>
          <w:rFonts w:ascii="Times New Roman" w:hAnsi="Times New Roman"/>
          <w:b/>
          <w:bCs/>
          <w:sz w:val="28"/>
          <w:szCs w:val="28"/>
        </w:rPr>
        <w:t xml:space="preserve">1.2 </w:t>
      </w:r>
      <w:r w:rsidRPr="00903DE3">
        <w:rPr>
          <w:rFonts w:ascii="Times New Roman" w:hAnsi="Times New Roman"/>
          <w:b/>
          <w:bCs/>
          <w:sz w:val="28"/>
          <w:szCs w:val="28"/>
          <w:lang w:bidi="kn-IN"/>
        </w:rPr>
        <w:t>Радикальное хирургическое лечение злокачественных новообразований ободочной кишки</w:t>
      </w:r>
    </w:p>
    <w:p w14:paraId="68A310ED"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В последнее время хирургическое лечение рака толстой кишки стало более индивидуализированным благодаря новым предоперационным, хирургическим и онкологическим стратегиям. Краеугольным камнем лечения больных локальным раком толстой и прямой кишки является хирургическое вмешательство. Согласно Клиническим рекомендациям по лечению злокачественных новообразований ободочной кишки основным методом лечения рака данной локализации является хирургическое вмешательство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cujn0g34j","properties":{"formattedCitation":"[3\\uc0\\u8211{}6,49]","plainCitation":"[3–6,49]","noteIndex":0},"citationItems":[{"id":63,"uris":["http://zotero.org/users/7388323/items/BJU2AUJR"],"uri":["http://zotero.org/users/7388323/items/BJU2AUJR"],"itemData":{"id":63,"type":"article","title":"rak_obodochnoy_kishki_pr2018.pdf"},"label":"page"},{"id":61,"uris":["http://zotero.org/users/7388323/items/HYGZ26ED"],"uri":["http://zotero.org/users/7388323/items/HYGZ26ED"],"itemData":{"id":61,"type":"book","abstract":"Written by clinicians from the National Cancer Institute and other leading institutions, this comprehensive, clear, concise oncology handbook is designed specifically for quick bedside consultation. It covers all malignancies and offers busy clinicians practical guidelines on daily patient management, including commonly used treatment regimens and chemotherapy dosing and schedules. The user-friendly format features tables, charts, bullet points, and algorithms. The thoroughly updated Third Edition places an increased emphasis on practical clinical information, and includes new chemotherapeutic agents, dosages, and treatment regimens and the latest clinical trials data. New chapters focus on basic genomics for practicing oncologists and basic principles of radiation. The succinct yet detailed presentation is ideal for board review as well as clinical reference.","ISBN":"978-1-4511-4776-6","language":"en","note":"Google-Books-ID: jJmQU1He1IIC","number-of-pages":"682","publisher":"Lippincott Williams &amp; Wilkins","source":"Google Books","title":"The Bethesda Handbook of Clinical Oncology","author":[{"family":"Abraham","given":"Jame"},{"family":"Gulley","given":"James L."},{"family":"Allegra","given":"Carmen J."}],"issued":{"date-parts":[["2012",3,28]]}},"label":"page"},{"id":60,"uris":["http://zotero.org/users/7388323/items/TEJEC8CC"],"uri":["http://zotero.org/users/7388323/items/TEJEC8CC"],"itemData":{"id":60,"type":"webpage","title":"Oxford Handbook of Oncology (Oxford Handbooks Series) by Jim Cassidy Donald Bissett Roy A.J. Spence Miranda Payne(2010-07-08): Amazon.co.uk: Jim Cassidy Donald Bissett Roy A.J. Spence Miranda Payne: Books","URL":"https://www.amazon.co.uk/Handbook-Oncology-Handbooks-Cassidy-2010-07-08/dp/B01JXYFT54","accessed":{"date-parts":[["2021",1,9]]}},"label":"page"},{"id":58,"uris":["http://zotero.org/users/7388323/items/JPNQMRQ6"],"uri":["http://zotero.org/users/7388323/items/JPNQMRQ6"],"itemData":{"id":58,"type":"article","title":"ESMO-ACF-Colorectal-Cancer-Guide-for-Patients-Russian.pdf"},"label":"page"},{"id":57,"uris":["http://zotero.org/users/7388323/items/KKHVRZZQ"],"uri":["http://zotero.org/users/7388323/items/KKHVRZZQ"],"itemData":{"id":57,"type":"article","title":"NCCN Clinical Practice Guidelines in Oncology. Colon Cancer. Version 2.2015 Oxford Handbook of Oncology"},"label":"page"}],"schema":"https://github.com/citation-style-language/schema/raw/master/csl-citation.json"}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[3, 4, 5, 6, 55, 56]</w:t>
      </w:r>
      <w:r w:rsidRPr="00903DE3">
        <w:rPr>
          <w:rFonts w:ascii="Times New Roman" w:hAnsi="Times New Roman"/>
          <w:sz w:val="28"/>
          <w:szCs w:val="28"/>
        </w:rPr>
        <w:fldChar w:fldCharType="end"/>
      </w:r>
      <w:r w:rsidRPr="00903DE3">
        <w:rPr>
          <w:rFonts w:ascii="Times New Roman" w:hAnsi="Times New Roman"/>
          <w:sz w:val="28"/>
          <w:szCs w:val="28"/>
        </w:rPr>
        <w:t xml:space="preserve">. За последние три десятилетия хирургические методы значительно улучшились. </w:t>
      </w:r>
      <w:proofErr w:type="spellStart"/>
      <w:r w:rsidRPr="00903DE3">
        <w:rPr>
          <w:rFonts w:ascii="Times New Roman" w:hAnsi="Times New Roman"/>
          <w:sz w:val="28"/>
          <w:szCs w:val="28"/>
        </w:rPr>
        <w:t>Лапароскопическая</w:t>
      </w:r>
      <w:proofErr w:type="spellEnd"/>
      <w:r w:rsidRPr="00903DE3">
        <w:rPr>
          <w:rFonts w:ascii="Times New Roman" w:hAnsi="Times New Roman"/>
          <w:sz w:val="28"/>
          <w:szCs w:val="28"/>
        </w:rPr>
        <w:t xml:space="preserve"> хирургия является важным методом, которая может быть использована регулярно и безопасно при радикальном лечении рака толстой кишки. </w:t>
      </w:r>
      <w:proofErr w:type="spellStart"/>
      <w:r w:rsidRPr="00903DE3">
        <w:rPr>
          <w:rFonts w:ascii="Times New Roman" w:hAnsi="Times New Roman"/>
          <w:sz w:val="28"/>
          <w:szCs w:val="28"/>
        </w:rPr>
        <w:t>Лапароскопическая</w:t>
      </w:r>
      <w:proofErr w:type="spellEnd"/>
      <w:r w:rsidRPr="00903DE3">
        <w:rPr>
          <w:rFonts w:ascii="Times New Roman" w:hAnsi="Times New Roman"/>
          <w:sz w:val="28"/>
          <w:szCs w:val="28"/>
        </w:rPr>
        <w:t xml:space="preserve"> хирургия имеет преимущества перед открытой хирургией, которые включают более короткое пребывание в больнице, снижение частоты инфицирования места операции, более раннее возвращение дефекации и меньшее подавление иммунитета [57, 58, 59]. </w:t>
      </w:r>
      <w:proofErr w:type="spellStart"/>
      <w:r w:rsidRPr="00903DE3">
        <w:rPr>
          <w:rFonts w:ascii="Times New Roman" w:hAnsi="Times New Roman"/>
          <w:sz w:val="28"/>
          <w:szCs w:val="28"/>
        </w:rPr>
        <w:t>Лапароскопическая</w:t>
      </w:r>
      <w:proofErr w:type="spellEnd"/>
      <w:r w:rsidRPr="00903DE3">
        <w:rPr>
          <w:rFonts w:ascii="Times New Roman" w:hAnsi="Times New Roman"/>
          <w:sz w:val="28"/>
          <w:szCs w:val="28"/>
        </w:rPr>
        <w:t xml:space="preserve"> хирургия включает в себя отделение, рассечение и перевязку сосудов толстой кишки, а также создание анастомозов в соответствии с </w:t>
      </w:r>
      <w:proofErr w:type="spellStart"/>
      <w:r w:rsidRPr="00903DE3">
        <w:rPr>
          <w:rFonts w:ascii="Times New Roman" w:hAnsi="Times New Roman"/>
          <w:sz w:val="28"/>
          <w:szCs w:val="28"/>
        </w:rPr>
        <w:t>рисуноком</w:t>
      </w:r>
      <w:proofErr w:type="spellEnd"/>
      <w:r w:rsidRPr="00903DE3">
        <w:rPr>
          <w:rFonts w:ascii="Times New Roman" w:hAnsi="Times New Roman"/>
          <w:sz w:val="28"/>
          <w:szCs w:val="28"/>
        </w:rPr>
        <w:t xml:space="preserve"> 7 [60].</w:t>
      </w:r>
    </w:p>
    <w:p w14:paraId="52CD4B15"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Целью операции является широкая резекция пораженного сегмента кишки вместе с удалением его </w:t>
      </w:r>
      <w:proofErr w:type="spellStart"/>
      <w:r w:rsidRPr="00903DE3">
        <w:rPr>
          <w:rFonts w:ascii="Times New Roman" w:hAnsi="Times New Roman"/>
          <w:sz w:val="28"/>
          <w:szCs w:val="28"/>
        </w:rPr>
        <w:t>лимфодренажа</w:t>
      </w:r>
      <w:proofErr w:type="spellEnd"/>
      <w:r w:rsidRPr="00903DE3">
        <w:rPr>
          <w:rFonts w:ascii="Times New Roman" w:hAnsi="Times New Roman"/>
          <w:sz w:val="28"/>
          <w:szCs w:val="28"/>
        </w:rPr>
        <w:t xml:space="preserve"> [39]. </w:t>
      </w:r>
      <w:proofErr w:type="spellStart"/>
      <w:r w:rsidRPr="00903DE3">
        <w:rPr>
          <w:rFonts w:ascii="Times New Roman" w:hAnsi="Times New Roman"/>
          <w:sz w:val="28"/>
          <w:szCs w:val="28"/>
        </w:rPr>
        <w:t>Лимфаденэктомия</w:t>
      </w:r>
      <w:proofErr w:type="spellEnd"/>
      <w:r w:rsidRPr="00903DE3">
        <w:rPr>
          <w:rFonts w:ascii="Times New Roman" w:hAnsi="Times New Roman"/>
          <w:sz w:val="28"/>
          <w:szCs w:val="28"/>
        </w:rPr>
        <w:t xml:space="preserve"> D2 выполняется для удаления всей передней и задней части </w:t>
      </w:r>
      <w:proofErr w:type="spellStart"/>
      <w:r w:rsidRPr="00903DE3">
        <w:rPr>
          <w:rFonts w:ascii="Times New Roman" w:hAnsi="Times New Roman"/>
          <w:sz w:val="28"/>
          <w:szCs w:val="28"/>
        </w:rPr>
        <w:t>мезоколона</w:t>
      </w:r>
      <w:proofErr w:type="spellEnd"/>
      <w:r w:rsidRPr="00903DE3">
        <w:rPr>
          <w:rFonts w:ascii="Times New Roman" w:hAnsi="Times New Roman"/>
          <w:sz w:val="28"/>
          <w:szCs w:val="28"/>
        </w:rPr>
        <w:t xml:space="preserve"> и </w:t>
      </w:r>
      <w:proofErr w:type="spellStart"/>
      <w:r w:rsidRPr="00903DE3">
        <w:rPr>
          <w:rFonts w:ascii="Times New Roman" w:hAnsi="Times New Roman"/>
          <w:sz w:val="28"/>
          <w:szCs w:val="28"/>
        </w:rPr>
        <w:t>лимфоадипозных</w:t>
      </w:r>
      <w:proofErr w:type="spellEnd"/>
      <w:r w:rsidRPr="00903DE3">
        <w:rPr>
          <w:rFonts w:ascii="Times New Roman" w:hAnsi="Times New Roman"/>
          <w:sz w:val="28"/>
          <w:szCs w:val="28"/>
        </w:rPr>
        <w:t xml:space="preserve"> тканей, покрывающих переднюю поверхность головки и шейки поджелудочной железы, которые представляют собой брыжеечные корни восходящей ободочной кишки и правую треть поперечной ободочной кишки в соответствии с </w:t>
      </w:r>
      <w:proofErr w:type="spellStart"/>
      <w:r w:rsidRPr="00903DE3">
        <w:rPr>
          <w:rFonts w:ascii="Times New Roman" w:hAnsi="Times New Roman"/>
          <w:sz w:val="28"/>
          <w:szCs w:val="28"/>
        </w:rPr>
        <w:t>рисуноком</w:t>
      </w:r>
      <w:proofErr w:type="spellEnd"/>
      <w:r w:rsidRPr="00903DE3">
        <w:rPr>
          <w:rFonts w:ascii="Times New Roman" w:hAnsi="Times New Roman"/>
          <w:sz w:val="28"/>
          <w:szCs w:val="28"/>
        </w:rPr>
        <w:t xml:space="preserve"> 8. Эта процедура делается вдоль анатомических плоскостей (эмбриональных плоскостей) и сопровождается перевязкой сосудов, снабжающих толстую кишку, справа от верхней брыжеечной вены и очисткой окружающей </w:t>
      </w:r>
      <w:proofErr w:type="spellStart"/>
      <w:r w:rsidRPr="00903DE3">
        <w:rPr>
          <w:rFonts w:ascii="Times New Roman" w:hAnsi="Times New Roman"/>
          <w:sz w:val="28"/>
          <w:szCs w:val="28"/>
        </w:rPr>
        <w:t>лимфоадипозной</w:t>
      </w:r>
      <w:proofErr w:type="spellEnd"/>
      <w:r w:rsidRPr="00903DE3">
        <w:rPr>
          <w:rFonts w:ascii="Times New Roman" w:hAnsi="Times New Roman"/>
          <w:sz w:val="28"/>
          <w:szCs w:val="28"/>
        </w:rPr>
        <w:t xml:space="preserve"> ткани в соответствии с </w:t>
      </w:r>
      <w:proofErr w:type="spellStart"/>
      <w:r w:rsidRPr="00903DE3">
        <w:rPr>
          <w:rFonts w:ascii="Times New Roman" w:hAnsi="Times New Roman"/>
          <w:sz w:val="28"/>
          <w:szCs w:val="28"/>
        </w:rPr>
        <w:t>рисуноком</w:t>
      </w:r>
      <w:proofErr w:type="spellEnd"/>
      <w:r w:rsidRPr="00903DE3">
        <w:rPr>
          <w:rFonts w:ascii="Times New Roman" w:hAnsi="Times New Roman"/>
          <w:sz w:val="28"/>
          <w:szCs w:val="28"/>
        </w:rPr>
        <w:t xml:space="preserve"> 9 [61]. Полное </w:t>
      </w:r>
      <w:proofErr w:type="spellStart"/>
      <w:r w:rsidRPr="00903DE3">
        <w:rPr>
          <w:rFonts w:ascii="Times New Roman" w:hAnsi="Times New Roman"/>
          <w:sz w:val="28"/>
          <w:szCs w:val="28"/>
        </w:rPr>
        <w:t>мезокололическое</w:t>
      </w:r>
      <w:proofErr w:type="spellEnd"/>
      <w:r w:rsidRPr="00903DE3">
        <w:rPr>
          <w:rFonts w:ascii="Times New Roman" w:hAnsi="Times New Roman"/>
          <w:sz w:val="28"/>
          <w:szCs w:val="28"/>
        </w:rPr>
        <w:t xml:space="preserve"> иссечение включает удаление </w:t>
      </w:r>
      <w:proofErr w:type="spellStart"/>
      <w:r w:rsidRPr="00903DE3">
        <w:rPr>
          <w:rFonts w:ascii="Times New Roman" w:hAnsi="Times New Roman"/>
          <w:sz w:val="28"/>
          <w:szCs w:val="28"/>
        </w:rPr>
        <w:t>интактной</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мезоколона</w:t>
      </w:r>
      <w:proofErr w:type="spellEnd"/>
      <w:r w:rsidRPr="00903DE3">
        <w:rPr>
          <w:rFonts w:ascii="Times New Roman" w:hAnsi="Times New Roman"/>
          <w:sz w:val="28"/>
          <w:szCs w:val="28"/>
        </w:rPr>
        <w:t xml:space="preserve"> путем рассечения в аваскулярной плоскости между забрюшинной и </w:t>
      </w:r>
      <w:proofErr w:type="spellStart"/>
      <w:r w:rsidRPr="00903DE3">
        <w:rPr>
          <w:rFonts w:ascii="Times New Roman" w:hAnsi="Times New Roman"/>
          <w:sz w:val="28"/>
          <w:szCs w:val="28"/>
        </w:rPr>
        <w:t>мезокололической</w:t>
      </w:r>
      <w:proofErr w:type="spellEnd"/>
      <w:r w:rsidRPr="00903DE3">
        <w:rPr>
          <w:rFonts w:ascii="Times New Roman" w:hAnsi="Times New Roman"/>
          <w:sz w:val="28"/>
          <w:szCs w:val="28"/>
        </w:rPr>
        <w:t xml:space="preserve"> фасцией, перевязку центрального сосуда, резекцию достаточной длины кишки и адекватное удаление апикальных лимфатических узлов в соответствии с </w:t>
      </w:r>
      <w:proofErr w:type="spellStart"/>
      <w:r w:rsidRPr="00903DE3">
        <w:rPr>
          <w:rFonts w:ascii="Times New Roman" w:hAnsi="Times New Roman"/>
          <w:sz w:val="28"/>
          <w:szCs w:val="28"/>
        </w:rPr>
        <w:t>рисуноком</w:t>
      </w:r>
      <w:proofErr w:type="spellEnd"/>
      <w:r w:rsidRPr="00903DE3">
        <w:rPr>
          <w:rFonts w:ascii="Times New Roman" w:hAnsi="Times New Roman"/>
          <w:sz w:val="28"/>
          <w:szCs w:val="28"/>
        </w:rPr>
        <w:t xml:space="preserve"> 10 [62].</w:t>
      </w:r>
    </w:p>
    <w:p w14:paraId="28C64F8E" w14:textId="77777777" w:rsidR="00403127" w:rsidRPr="00903DE3" w:rsidRDefault="00403127" w:rsidP="00403127">
      <w:pPr>
        <w:spacing w:after="0" w:line="240" w:lineRule="auto"/>
        <w:ind w:firstLine="708"/>
        <w:jc w:val="both"/>
        <w:rPr>
          <w:rFonts w:ascii="Times New Roman" w:hAnsi="Times New Roman"/>
          <w:sz w:val="28"/>
          <w:szCs w:val="28"/>
        </w:rPr>
      </w:pPr>
    </w:p>
    <w:p w14:paraId="5AE6B5C7" w14:textId="77777777" w:rsidR="00403127" w:rsidRPr="00903DE3" w:rsidRDefault="00403127" w:rsidP="00403127">
      <w:pPr>
        <w:spacing w:after="0" w:line="240" w:lineRule="auto"/>
        <w:ind w:firstLine="708"/>
        <w:jc w:val="both"/>
        <w:rPr>
          <w:rFonts w:ascii="Times New Roman" w:hAnsi="Times New Roman"/>
          <w:sz w:val="28"/>
          <w:szCs w:val="28"/>
        </w:rPr>
      </w:pPr>
    </w:p>
    <w:p w14:paraId="5FD8802A" w14:textId="77777777" w:rsidR="00403127" w:rsidRPr="00903DE3" w:rsidRDefault="00403127" w:rsidP="00403127">
      <w:pPr>
        <w:spacing w:after="0" w:line="240" w:lineRule="auto"/>
        <w:jc w:val="center"/>
        <w:rPr>
          <w:rFonts w:ascii="Times New Roman" w:hAnsi="Times New Roman"/>
          <w:sz w:val="28"/>
          <w:szCs w:val="28"/>
        </w:rPr>
      </w:pPr>
      <w:r w:rsidRPr="00903DE3">
        <w:rPr>
          <w:noProof/>
        </w:rPr>
        <w:drawing>
          <wp:anchor distT="0" distB="0" distL="114300" distR="114300" simplePos="0" relativeHeight="251660288" behindDoc="0" locked="0" layoutInCell="1" allowOverlap="1" wp14:anchorId="22EAED59" wp14:editId="29A044E6">
            <wp:simplePos x="0" y="0"/>
            <wp:positionH relativeFrom="margin">
              <wp:align>center</wp:align>
            </wp:positionH>
            <wp:positionV relativeFrom="paragraph">
              <wp:posOffset>0</wp:posOffset>
            </wp:positionV>
            <wp:extent cx="5782316" cy="4320000"/>
            <wp:effectExtent l="0" t="0" r="8890" b="4445"/>
            <wp:wrapSquare wrapText="bothSides"/>
            <wp:docPr id="3" name="Picture 3" descr="A picture containing food, dish, barbec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food, dish, barbecu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2316" cy="43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B9A22E" w14:textId="77777777" w:rsidR="00403127" w:rsidRPr="00903DE3" w:rsidRDefault="00403127" w:rsidP="00403127">
      <w:pPr>
        <w:spacing w:after="0" w:line="240" w:lineRule="auto"/>
        <w:ind w:firstLine="708"/>
        <w:jc w:val="center"/>
        <w:rPr>
          <w:rFonts w:ascii="Times New Roman" w:hAnsi="Times New Roman"/>
          <w:sz w:val="28"/>
          <w:szCs w:val="28"/>
        </w:rPr>
      </w:pPr>
      <w:r w:rsidRPr="00903DE3">
        <w:rPr>
          <w:rFonts w:ascii="Times New Roman" w:hAnsi="Times New Roman"/>
          <w:sz w:val="28"/>
          <w:szCs w:val="28"/>
        </w:rPr>
        <w:t>Рисунок 7 – Образец субтотальной колэктомии у пациента с инвазивной опухолью правой ободочной кишки [63]</w:t>
      </w:r>
    </w:p>
    <w:p w14:paraId="5F8F66CC" w14:textId="77777777" w:rsidR="00403127" w:rsidRPr="00903DE3" w:rsidRDefault="00403127" w:rsidP="00403127">
      <w:pPr>
        <w:spacing w:after="0" w:line="240" w:lineRule="auto"/>
        <w:ind w:firstLine="708"/>
        <w:jc w:val="both"/>
        <w:rPr>
          <w:rFonts w:ascii="Times New Roman" w:hAnsi="Times New Roman"/>
          <w:sz w:val="28"/>
          <w:szCs w:val="28"/>
        </w:rPr>
      </w:pPr>
    </w:p>
    <w:p w14:paraId="1B6780C5" w14:textId="77777777" w:rsidR="00403127" w:rsidRPr="00903DE3" w:rsidRDefault="00403127" w:rsidP="00403127">
      <w:pPr>
        <w:spacing w:after="0" w:line="240" w:lineRule="auto"/>
        <w:ind w:firstLine="708"/>
        <w:jc w:val="both"/>
        <w:rPr>
          <w:rFonts w:ascii="Times New Roman" w:hAnsi="Times New Roman"/>
          <w:sz w:val="28"/>
          <w:szCs w:val="28"/>
        </w:rPr>
      </w:pPr>
    </w:p>
    <w:p w14:paraId="6CC3C52E"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Японское общество по борьбе с раком толстой и прямой кишки (JSCCR) определяет </w:t>
      </w:r>
      <w:proofErr w:type="spellStart"/>
      <w:r w:rsidRPr="00903DE3">
        <w:rPr>
          <w:rFonts w:ascii="Times New Roman" w:hAnsi="Times New Roman"/>
          <w:sz w:val="28"/>
          <w:szCs w:val="28"/>
        </w:rPr>
        <w:t>лимфаденэктомию</w:t>
      </w:r>
      <w:proofErr w:type="spellEnd"/>
      <w:r w:rsidRPr="00903DE3">
        <w:rPr>
          <w:rFonts w:ascii="Times New Roman" w:hAnsi="Times New Roman"/>
          <w:sz w:val="28"/>
          <w:szCs w:val="28"/>
        </w:rPr>
        <w:t xml:space="preserve"> D3 как рассечение основных, промежуточных и </w:t>
      </w:r>
      <w:proofErr w:type="spellStart"/>
      <w:r w:rsidRPr="00903DE3">
        <w:rPr>
          <w:rFonts w:ascii="Times New Roman" w:hAnsi="Times New Roman"/>
          <w:sz w:val="28"/>
          <w:szCs w:val="28"/>
        </w:rPr>
        <w:t>периколических</w:t>
      </w:r>
      <w:proofErr w:type="spellEnd"/>
      <w:r w:rsidRPr="00903DE3">
        <w:rPr>
          <w:rFonts w:ascii="Times New Roman" w:hAnsi="Times New Roman"/>
          <w:sz w:val="28"/>
          <w:szCs w:val="28"/>
        </w:rPr>
        <w:t xml:space="preserve"> лимфатических узлов [64]. Это очень похоже на полное </w:t>
      </w:r>
      <w:proofErr w:type="spellStart"/>
      <w:r w:rsidRPr="00903DE3">
        <w:rPr>
          <w:rFonts w:ascii="Times New Roman" w:hAnsi="Times New Roman"/>
          <w:sz w:val="28"/>
          <w:szCs w:val="28"/>
        </w:rPr>
        <w:t>мезоколическое</w:t>
      </w:r>
      <w:proofErr w:type="spellEnd"/>
      <w:r w:rsidRPr="00903DE3">
        <w:rPr>
          <w:rFonts w:ascii="Times New Roman" w:hAnsi="Times New Roman"/>
          <w:sz w:val="28"/>
          <w:szCs w:val="28"/>
        </w:rPr>
        <w:t xml:space="preserve"> иссечение, при котором вся лимфатическая, сосудистая и нервная ткань в области дренажа опухоли толстой кишки иссекается как полный образец </w:t>
      </w:r>
      <w:proofErr w:type="spellStart"/>
      <w:r w:rsidRPr="00903DE3">
        <w:rPr>
          <w:rFonts w:ascii="Times New Roman" w:hAnsi="Times New Roman"/>
          <w:sz w:val="28"/>
          <w:szCs w:val="28"/>
        </w:rPr>
        <w:t>мезоколической</w:t>
      </w:r>
      <w:proofErr w:type="spellEnd"/>
      <w:r w:rsidRPr="00903DE3">
        <w:rPr>
          <w:rFonts w:ascii="Times New Roman" w:hAnsi="Times New Roman"/>
          <w:sz w:val="28"/>
          <w:szCs w:val="28"/>
        </w:rPr>
        <w:t xml:space="preserve"> ткани в соответствии с </w:t>
      </w:r>
      <w:proofErr w:type="spellStart"/>
      <w:r w:rsidRPr="00903DE3">
        <w:rPr>
          <w:rFonts w:ascii="Times New Roman" w:hAnsi="Times New Roman"/>
          <w:sz w:val="28"/>
          <w:szCs w:val="28"/>
        </w:rPr>
        <w:t>рисуноком</w:t>
      </w:r>
      <w:proofErr w:type="spellEnd"/>
      <w:r w:rsidRPr="00903DE3">
        <w:rPr>
          <w:rFonts w:ascii="Times New Roman" w:hAnsi="Times New Roman"/>
          <w:sz w:val="28"/>
          <w:szCs w:val="28"/>
        </w:rPr>
        <w:t xml:space="preserve"> 11. По сравнению с обычной </w:t>
      </w:r>
      <w:proofErr w:type="spellStart"/>
      <w:r w:rsidRPr="00903DE3">
        <w:rPr>
          <w:rFonts w:ascii="Times New Roman" w:hAnsi="Times New Roman"/>
          <w:sz w:val="28"/>
          <w:szCs w:val="28"/>
        </w:rPr>
        <w:t>лимфаденэктомией</w:t>
      </w:r>
      <w:proofErr w:type="spellEnd"/>
      <w:r w:rsidRPr="00903DE3">
        <w:rPr>
          <w:rFonts w:ascii="Times New Roman" w:hAnsi="Times New Roman"/>
          <w:sz w:val="28"/>
          <w:szCs w:val="28"/>
        </w:rPr>
        <w:t xml:space="preserve"> D2, </w:t>
      </w:r>
      <w:proofErr w:type="spellStart"/>
      <w:r w:rsidRPr="00903DE3">
        <w:rPr>
          <w:rFonts w:ascii="Times New Roman" w:hAnsi="Times New Roman"/>
          <w:sz w:val="28"/>
          <w:szCs w:val="28"/>
        </w:rPr>
        <w:t>лимфаденэктомию</w:t>
      </w:r>
      <w:proofErr w:type="spellEnd"/>
      <w:r w:rsidRPr="00903DE3">
        <w:rPr>
          <w:rFonts w:ascii="Times New Roman" w:hAnsi="Times New Roman"/>
          <w:sz w:val="28"/>
          <w:szCs w:val="28"/>
        </w:rPr>
        <w:t xml:space="preserve"> D3 уменьшает рецидив заболевания и улучшает общую выживаемость пациентов с cT3/4 или узловым поражением [65].</w:t>
      </w:r>
    </w:p>
    <w:p w14:paraId="2D7057B8"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При локализации рака в слепой кишке, восходящей ободочной кишке, проксимальной части поперечно-ободочной кишки рекомендуется выполнять правостороннюю гемиколэктомию или расширенную правостороннюю гемиколэктомию с </w:t>
      </w:r>
      <w:proofErr w:type="spellStart"/>
      <w:r w:rsidRPr="00903DE3">
        <w:rPr>
          <w:rFonts w:ascii="Times New Roman" w:hAnsi="Times New Roman"/>
          <w:sz w:val="28"/>
          <w:szCs w:val="28"/>
        </w:rPr>
        <w:t>лигированием</w:t>
      </w:r>
      <w:proofErr w:type="spellEnd"/>
      <w:r w:rsidRPr="00903DE3">
        <w:rPr>
          <w:rFonts w:ascii="Times New Roman" w:hAnsi="Times New Roman"/>
          <w:sz w:val="28"/>
          <w:szCs w:val="28"/>
        </w:rPr>
        <w:t xml:space="preserve"> у </w:t>
      </w:r>
      <w:proofErr w:type="spellStart"/>
      <w:r w:rsidRPr="00903DE3">
        <w:rPr>
          <w:rFonts w:ascii="Times New Roman" w:hAnsi="Times New Roman"/>
          <w:sz w:val="28"/>
          <w:szCs w:val="28"/>
        </w:rPr>
        <w:t>a.ileocolica</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a.colica</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dextra</w:t>
      </w:r>
      <w:proofErr w:type="spellEnd"/>
      <w:r w:rsidRPr="00903DE3">
        <w:rPr>
          <w:rFonts w:ascii="Times New Roman" w:hAnsi="Times New Roman"/>
          <w:sz w:val="28"/>
          <w:szCs w:val="28"/>
        </w:rPr>
        <w:t xml:space="preserve">, правой ветви </w:t>
      </w:r>
      <w:proofErr w:type="spellStart"/>
      <w:r w:rsidRPr="00903DE3">
        <w:rPr>
          <w:rFonts w:ascii="Times New Roman" w:hAnsi="Times New Roman"/>
          <w:sz w:val="28"/>
          <w:szCs w:val="28"/>
        </w:rPr>
        <w:t>a.colica</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media</w:t>
      </w:r>
      <w:proofErr w:type="spellEnd"/>
      <w:r w:rsidRPr="00903DE3">
        <w:rPr>
          <w:rFonts w:ascii="Times New Roman" w:hAnsi="Times New Roman"/>
          <w:sz w:val="28"/>
          <w:szCs w:val="28"/>
        </w:rPr>
        <w:t xml:space="preserve">. При локализации рака в слепой кишке, восходящей ободочной кишке, печёночном изгибе ободочной кишки, проксимальной трети поперечно-ободочной кишки рекомендуется формирование первичного анастомоза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ablpuoa2u","properties":{"formattedCitation":"[50]","plainCitation":"[50]","noteIndex":0},"citationItems":[{"id":66,"uris":["http://zotero.org/users/7388323/items/EJPGS8MH"],"uri":["http://zotero.org/users/7388323/items/EJPGS8MH"],"itemData":{"id":66,"type":"article-journal","abstract":"Background In 8 to 29% of patients with colorectal carcinoma, obstruction is the main symptom at diagnosis, and 85% of patients undergoing emergency colorectal surgery have obstruction from colorectal carcinoma. The prognosis of patients who undergo emergency surgery for obstruction is often poor. So far, two types of surgical approach have been used for this condition: primary resection (primary anastomosis or Hartmann’s procedure) with simultaneous treatment of carcinoma and obstruction, or staged resection (treatment of the obstruction prior to resection).","container-title":"Cochrane Database of Systematic Reviews","DOI":"10.1002/14651858.CD002101.pub2","ISSN":"14651858","language":"en","source":"DOI.org (Crossref)","title":"Curative surgery for obstruction from primary left colorectal carcinoma: Primary or staged resection?","title-short":"Curative surgery for obstruction from primary left colorectal carcinoma","URL":"http://doi.wiley.com/10.1002/14651858.CD002101.pub2","author":[{"family":"De Salvo","given":"Gian Luca"},{"family":"Gava","given":"Cecilia"},{"family":"Lise","given":"Mario"},{"family":"Pucciarelli","given":"S"}],"editor":[{"literal":"Cochrane Colorectal Cancer Group"}],"accessed":{"date-parts":[["2021",1,9]]},"issued":{"date-parts":[["2004",4,19]]}}}],"schema":"https://github.com/citation-style-language/schema/raw/master/csl-citation.json"}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[66]</w:t>
      </w:r>
      <w:r w:rsidRPr="00903DE3">
        <w:rPr>
          <w:rFonts w:ascii="Times New Roman" w:hAnsi="Times New Roman"/>
          <w:sz w:val="28"/>
          <w:szCs w:val="28"/>
        </w:rPr>
        <w:fldChar w:fldCharType="end"/>
      </w:r>
      <w:r w:rsidRPr="00903DE3">
        <w:rPr>
          <w:rFonts w:ascii="Times New Roman" w:hAnsi="Times New Roman"/>
          <w:sz w:val="28"/>
          <w:szCs w:val="28"/>
        </w:rPr>
        <w:t xml:space="preserve">. </w:t>
      </w:r>
      <w:proofErr w:type="spellStart"/>
      <w:r w:rsidRPr="00903DE3">
        <w:rPr>
          <w:rFonts w:ascii="Times New Roman" w:hAnsi="Times New Roman"/>
          <w:sz w:val="28"/>
          <w:szCs w:val="28"/>
        </w:rPr>
        <w:t>Лапароскопическая</w:t>
      </w:r>
      <w:proofErr w:type="spellEnd"/>
      <w:r w:rsidRPr="00903DE3">
        <w:rPr>
          <w:rFonts w:ascii="Times New Roman" w:hAnsi="Times New Roman"/>
          <w:sz w:val="28"/>
          <w:szCs w:val="28"/>
        </w:rPr>
        <w:t xml:space="preserve"> радикальная резекция стала методом первого выбора для лечения рака правой толстой кишки II и некоторых III стадий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ablpuoa2u","properties":{"formattedCitation":"[50]","plainCitation":"[50]","noteIndex":0},"citationItems":[{"id":66,"uris":["http://zotero.org/users/7388323/items/EJPGS8MH"],"uri":["http://zotero.org/users/7388323/items/EJPGS8MH"],"itemData":{"id":66,"type":"article-journal","abstract":"Background In 8 to 29% of patients with colorectal carcinoma, obstruction is the main symptom at diagnosis, and 85% of patients undergoing emergency colorectal surgery have obstruction from colorectal carcinoma. The prognosis of patients who undergo emergency surgery for obstruction is often poor. So far, two types of surgical approach have been used for this condition: primary resection (primary anastomosis or Hartmann’s procedure) with simultaneous treatment of carcinoma and obstruction, or staged resection (treatment of the obstruction prior to resection).","container-title":"Cochrane Database of Systematic Reviews","DOI":"10.1002/14651858.CD002101.pub2","ISSN":"14651858","language":"en","source":"DOI.org (Crossref)","title":"Curative surgery for obstruction from primary left colorectal carcinoma: Primary or staged resection?","title-short":"Curative surgery for obstruction from primary left colorectal carcinoma","URL":"http://doi.wiley.com/10.1002/14651858.CD002101.pub2","author":[{"family":"De Salvo","given":"Gian Luca"},{"family":"Gava","given":"Cecilia"},{"family":"Lise","given":"Mario"},{"family":"Pucciarelli","given":"S"}],"editor":[{"literal":"Cochrane Colorectal Cancer Group"}],"accessed":{"date-parts":[["2021",1,9]]},"issued":{"date-parts":[["2004",4,19]]}}}],"schema":"https://github.com/citation-style-language/schema/raw/master/csl-citation.json"}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[67]</w:t>
      </w:r>
      <w:r w:rsidRPr="00903DE3">
        <w:rPr>
          <w:rFonts w:ascii="Times New Roman" w:hAnsi="Times New Roman"/>
          <w:sz w:val="28"/>
          <w:szCs w:val="28"/>
        </w:rPr>
        <w:fldChar w:fldCharType="end"/>
      </w:r>
      <w:r w:rsidRPr="00903DE3">
        <w:rPr>
          <w:rFonts w:ascii="Times New Roman" w:hAnsi="Times New Roman"/>
          <w:sz w:val="28"/>
          <w:szCs w:val="28"/>
        </w:rPr>
        <w:t>.</w:t>
      </w:r>
    </w:p>
    <w:p w14:paraId="49E1F7CC" w14:textId="77777777" w:rsidR="00403127" w:rsidRPr="00903DE3" w:rsidRDefault="00403127" w:rsidP="00403127">
      <w:pPr>
        <w:spacing w:after="0" w:line="240" w:lineRule="auto"/>
        <w:ind w:firstLine="708"/>
        <w:jc w:val="both"/>
        <w:rPr>
          <w:rFonts w:ascii="Times New Roman" w:hAnsi="Times New Roman"/>
          <w:sz w:val="28"/>
          <w:szCs w:val="28"/>
        </w:rPr>
      </w:pPr>
      <w:r w:rsidRPr="00903DE3">
        <w:rPr>
          <w:noProof/>
        </w:rPr>
        <w:lastRenderedPageBreak/>
        <w:drawing>
          <wp:anchor distT="0" distB="0" distL="114300" distR="114300" simplePos="0" relativeHeight="251661312" behindDoc="1" locked="0" layoutInCell="1" allowOverlap="1" wp14:anchorId="047FE807" wp14:editId="39F4F80F">
            <wp:simplePos x="0" y="0"/>
            <wp:positionH relativeFrom="margin">
              <wp:align>right</wp:align>
            </wp:positionH>
            <wp:positionV relativeFrom="paragraph">
              <wp:posOffset>209550</wp:posOffset>
            </wp:positionV>
            <wp:extent cx="5958000" cy="3790800"/>
            <wp:effectExtent l="0" t="0" r="5080" b="635"/>
            <wp:wrapTight wrapText="bothSides">
              <wp:wrapPolygon edited="0">
                <wp:start x="0" y="0"/>
                <wp:lineTo x="0" y="21495"/>
                <wp:lineTo x="21549" y="21495"/>
                <wp:lineTo x="21549" y="0"/>
                <wp:lineTo x="0" y="0"/>
              </wp:wrapPolygon>
            </wp:wrapTight>
            <wp:docPr id="10" name="Picture 10" descr="A close-up of a person's ch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lose-up of a person's chest&#10;&#10;Description automatically generated with low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8000" cy="379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EC31A9" w14:textId="77777777" w:rsidR="00403127" w:rsidRPr="00903DE3" w:rsidRDefault="00403127" w:rsidP="00403127">
      <w:pPr>
        <w:spacing w:after="0" w:line="240" w:lineRule="auto"/>
        <w:ind w:firstLine="708"/>
        <w:jc w:val="center"/>
        <w:rPr>
          <w:rFonts w:ascii="Times New Roman" w:hAnsi="Times New Roman"/>
          <w:sz w:val="28"/>
          <w:szCs w:val="28"/>
        </w:rPr>
      </w:pPr>
    </w:p>
    <w:p w14:paraId="0C3A1776" w14:textId="77777777" w:rsidR="00403127" w:rsidRPr="00903DE3" w:rsidRDefault="00403127" w:rsidP="00403127">
      <w:pPr>
        <w:spacing w:after="0" w:line="240" w:lineRule="auto"/>
        <w:ind w:firstLine="708"/>
        <w:jc w:val="center"/>
        <w:rPr>
          <w:rFonts w:ascii="Times New Roman" w:hAnsi="Times New Roman"/>
          <w:sz w:val="28"/>
          <w:szCs w:val="28"/>
        </w:rPr>
      </w:pPr>
      <w:proofErr w:type="gramStart"/>
      <w:r w:rsidRPr="00903DE3">
        <w:rPr>
          <w:rFonts w:ascii="Times New Roman" w:hAnsi="Times New Roman"/>
          <w:sz w:val="28"/>
          <w:szCs w:val="28"/>
        </w:rPr>
        <w:t>а</w:t>
      </w:r>
      <w:proofErr w:type="gramEnd"/>
      <w:r w:rsidRPr="00903DE3">
        <w:rPr>
          <w:rFonts w:ascii="Times New Roman" w:hAnsi="Times New Roman"/>
          <w:sz w:val="28"/>
          <w:szCs w:val="28"/>
        </w:rPr>
        <w:t xml:space="preserve"> правая ободочная вена. b Шейка поджелудочной железы. с сундук </w:t>
      </w:r>
      <w:proofErr w:type="spellStart"/>
      <w:r w:rsidRPr="00903DE3">
        <w:rPr>
          <w:rFonts w:ascii="Times New Roman" w:hAnsi="Times New Roman"/>
          <w:sz w:val="28"/>
          <w:szCs w:val="28"/>
        </w:rPr>
        <w:t>Генле</w:t>
      </w:r>
      <w:proofErr w:type="spellEnd"/>
      <w:r w:rsidRPr="00903DE3">
        <w:rPr>
          <w:rFonts w:ascii="Times New Roman" w:hAnsi="Times New Roman"/>
          <w:sz w:val="28"/>
          <w:szCs w:val="28"/>
        </w:rPr>
        <w:t xml:space="preserve">. d Нижняя </w:t>
      </w:r>
      <w:proofErr w:type="spellStart"/>
      <w:r w:rsidRPr="00903DE3">
        <w:rPr>
          <w:rFonts w:ascii="Times New Roman" w:hAnsi="Times New Roman"/>
          <w:sz w:val="28"/>
          <w:szCs w:val="28"/>
        </w:rPr>
        <w:t>панкреатодуоденальная</w:t>
      </w:r>
      <w:proofErr w:type="spellEnd"/>
      <w:r w:rsidRPr="00903DE3">
        <w:rPr>
          <w:rFonts w:ascii="Times New Roman" w:hAnsi="Times New Roman"/>
          <w:sz w:val="28"/>
          <w:szCs w:val="28"/>
        </w:rPr>
        <w:t xml:space="preserve"> вена. e Головка поджелудочной железы. f Двенадцатиперстная кишка. g Неотделенная ВБВ</w:t>
      </w:r>
    </w:p>
    <w:p w14:paraId="2BA2AF1C" w14:textId="77777777" w:rsidR="00403127" w:rsidRPr="00903DE3" w:rsidRDefault="00403127" w:rsidP="00403127">
      <w:pPr>
        <w:spacing w:after="0" w:line="240" w:lineRule="auto"/>
        <w:ind w:firstLine="708"/>
        <w:jc w:val="both"/>
        <w:rPr>
          <w:rFonts w:ascii="Times New Roman" w:hAnsi="Times New Roman"/>
          <w:sz w:val="28"/>
          <w:szCs w:val="28"/>
        </w:rPr>
      </w:pPr>
    </w:p>
    <w:p w14:paraId="1B248337" w14:textId="77777777" w:rsidR="00403127" w:rsidRPr="00903DE3" w:rsidRDefault="00403127" w:rsidP="00403127">
      <w:pPr>
        <w:spacing w:after="0" w:line="240" w:lineRule="auto"/>
        <w:ind w:firstLine="708"/>
        <w:jc w:val="center"/>
        <w:rPr>
          <w:rFonts w:ascii="Times New Roman" w:hAnsi="Times New Roman"/>
          <w:sz w:val="28"/>
          <w:szCs w:val="28"/>
        </w:rPr>
      </w:pPr>
      <w:r w:rsidRPr="00903DE3">
        <w:rPr>
          <w:rFonts w:ascii="Times New Roman" w:hAnsi="Times New Roman"/>
          <w:sz w:val="28"/>
          <w:szCs w:val="28"/>
        </w:rPr>
        <w:t xml:space="preserve">Рисунок 8 – </w:t>
      </w:r>
      <w:proofErr w:type="spellStart"/>
      <w:r w:rsidRPr="00903DE3">
        <w:rPr>
          <w:rFonts w:ascii="Times New Roman" w:hAnsi="Times New Roman"/>
          <w:sz w:val="28"/>
          <w:szCs w:val="28"/>
        </w:rPr>
        <w:t>Лимфаденэктомия</w:t>
      </w:r>
      <w:proofErr w:type="spellEnd"/>
      <w:r w:rsidRPr="00903DE3">
        <w:rPr>
          <w:rFonts w:ascii="Times New Roman" w:hAnsi="Times New Roman"/>
          <w:sz w:val="28"/>
          <w:szCs w:val="28"/>
        </w:rPr>
        <w:t xml:space="preserve"> D2 требует рассечения </w:t>
      </w:r>
      <w:proofErr w:type="spellStart"/>
      <w:r w:rsidRPr="00903DE3">
        <w:rPr>
          <w:rFonts w:ascii="Times New Roman" w:hAnsi="Times New Roman"/>
          <w:sz w:val="28"/>
          <w:szCs w:val="28"/>
        </w:rPr>
        <w:t>кровоснабжающих</w:t>
      </w:r>
      <w:proofErr w:type="spellEnd"/>
      <w:r w:rsidRPr="00903DE3">
        <w:rPr>
          <w:rFonts w:ascii="Times New Roman" w:hAnsi="Times New Roman"/>
          <w:sz w:val="28"/>
          <w:szCs w:val="28"/>
        </w:rPr>
        <w:t xml:space="preserve"> сосудов справа от верхней брыжеечной вены (ВБВ) и сохранения покрывающей </w:t>
      </w:r>
      <w:proofErr w:type="spellStart"/>
      <w:r w:rsidRPr="00903DE3">
        <w:rPr>
          <w:rFonts w:ascii="Times New Roman" w:hAnsi="Times New Roman"/>
          <w:sz w:val="28"/>
          <w:szCs w:val="28"/>
        </w:rPr>
        <w:t>лимфоадипозной</w:t>
      </w:r>
      <w:proofErr w:type="spellEnd"/>
      <w:r w:rsidRPr="00903DE3">
        <w:rPr>
          <w:rFonts w:ascii="Times New Roman" w:hAnsi="Times New Roman"/>
          <w:sz w:val="28"/>
          <w:szCs w:val="28"/>
        </w:rPr>
        <w:t xml:space="preserve"> ткани ВБВ неповрежденной [61]</w:t>
      </w:r>
    </w:p>
    <w:p w14:paraId="62CA97BD" w14:textId="77777777" w:rsidR="00403127" w:rsidRPr="00903DE3" w:rsidRDefault="00403127" w:rsidP="00403127">
      <w:pPr>
        <w:spacing w:after="0" w:line="240" w:lineRule="auto"/>
        <w:ind w:firstLine="708"/>
        <w:jc w:val="both"/>
        <w:rPr>
          <w:rFonts w:ascii="Times New Roman" w:hAnsi="Times New Roman"/>
          <w:sz w:val="28"/>
          <w:szCs w:val="28"/>
        </w:rPr>
      </w:pPr>
    </w:p>
    <w:p w14:paraId="112C27CC" w14:textId="77777777" w:rsidR="00403127" w:rsidRPr="00903DE3" w:rsidRDefault="00403127" w:rsidP="00403127">
      <w:pPr>
        <w:spacing w:after="0" w:line="240" w:lineRule="auto"/>
        <w:ind w:firstLine="708"/>
        <w:jc w:val="both"/>
        <w:rPr>
          <w:rFonts w:ascii="Times New Roman" w:hAnsi="Times New Roman"/>
          <w:sz w:val="28"/>
          <w:szCs w:val="28"/>
        </w:rPr>
      </w:pPr>
    </w:p>
    <w:p w14:paraId="65FF736E"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При локализации рака в средней трети поперечно-ободочной кишки объём оперативного вмешательства зависит от возраста, сопутствующих заболеваний, размеров и распространённости опухоли. Возможно выполнение резекции поперечно-ободочной кишки или субтотальной колэктомии.</w:t>
      </w:r>
    </w:p>
    <w:p w14:paraId="13FC3741" w14:textId="77777777" w:rsidR="00403127" w:rsidRPr="00903DE3" w:rsidRDefault="00403127" w:rsidP="00403127">
      <w:pPr>
        <w:spacing w:after="0" w:line="240" w:lineRule="auto"/>
        <w:jc w:val="both"/>
        <w:rPr>
          <w:rFonts w:ascii="Times New Roman" w:hAnsi="Times New Roman"/>
          <w:sz w:val="28"/>
          <w:szCs w:val="28"/>
        </w:rPr>
      </w:pPr>
    </w:p>
    <w:p w14:paraId="4DE0687E" w14:textId="77777777" w:rsidR="00403127" w:rsidRPr="00903DE3" w:rsidRDefault="00403127" w:rsidP="00403127">
      <w:pPr>
        <w:spacing w:after="0" w:line="240" w:lineRule="auto"/>
        <w:ind w:firstLine="708"/>
        <w:jc w:val="center"/>
        <w:rPr>
          <w:rFonts w:ascii="Times New Roman" w:hAnsi="Times New Roman"/>
          <w:sz w:val="28"/>
          <w:szCs w:val="28"/>
        </w:rPr>
      </w:pPr>
      <w:r w:rsidRPr="00903DE3">
        <w:rPr>
          <w:noProof/>
        </w:rPr>
        <w:lastRenderedPageBreak/>
        <w:drawing>
          <wp:anchor distT="0" distB="0" distL="114300" distR="114300" simplePos="0" relativeHeight="251662336" behindDoc="1" locked="0" layoutInCell="1" allowOverlap="1" wp14:anchorId="05DD350A" wp14:editId="12486F17">
            <wp:simplePos x="0" y="0"/>
            <wp:positionH relativeFrom="margin">
              <wp:posOffset>-5715</wp:posOffset>
            </wp:positionH>
            <wp:positionV relativeFrom="paragraph">
              <wp:posOffset>0</wp:posOffset>
            </wp:positionV>
            <wp:extent cx="6118860" cy="3543300"/>
            <wp:effectExtent l="0" t="0" r="0" b="7620"/>
            <wp:wrapSquare wrapText="bothSides"/>
            <wp:docPr id="11" name="Picture 11" descr="A picture containing food, dish,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food, dish, close&#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8860"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15863C" w14:textId="77777777" w:rsidR="00403127" w:rsidRPr="00903DE3" w:rsidRDefault="00403127" w:rsidP="00403127">
      <w:pPr>
        <w:spacing w:after="0" w:line="240" w:lineRule="auto"/>
        <w:ind w:firstLine="708"/>
        <w:jc w:val="center"/>
        <w:rPr>
          <w:rFonts w:ascii="Times New Roman" w:hAnsi="Times New Roman"/>
          <w:sz w:val="28"/>
          <w:szCs w:val="28"/>
        </w:rPr>
      </w:pPr>
      <w:r w:rsidRPr="00903DE3">
        <w:rPr>
          <w:rFonts w:ascii="Times New Roman" w:hAnsi="Times New Roman"/>
          <w:sz w:val="28"/>
          <w:szCs w:val="28"/>
        </w:rPr>
        <w:t xml:space="preserve">Рисунок 9 – </w:t>
      </w:r>
      <w:proofErr w:type="spellStart"/>
      <w:r w:rsidRPr="00903DE3">
        <w:rPr>
          <w:rFonts w:ascii="Times New Roman" w:hAnsi="Times New Roman"/>
          <w:sz w:val="28"/>
          <w:szCs w:val="28"/>
        </w:rPr>
        <w:t>Лимфаденэктомия</w:t>
      </w:r>
      <w:proofErr w:type="spellEnd"/>
      <w:r w:rsidRPr="00903DE3">
        <w:rPr>
          <w:rFonts w:ascii="Times New Roman" w:hAnsi="Times New Roman"/>
          <w:sz w:val="28"/>
          <w:szCs w:val="28"/>
        </w:rPr>
        <w:t xml:space="preserve"> D2 [61]</w:t>
      </w:r>
    </w:p>
    <w:p w14:paraId="15CB8B2F" w14:textId="77777777" w:rsidR="00403127" w:rsidRPr="00903DE3" w:rsidRDefault="00403127" w:rsidP="00403127">
      <w:pPr>
        <w:spacing w:after="0" w:line="240" w:lineRule="auto"/>
        <w:rPr>
          <w:rFonts w:ascii="Times New Roman" w:hAnsi="Times New Roman"/>
          <w:sz w:val="28"/>
          <w:szCs w:val="28"/>
        </w:rPr>
      </w:pPr>
    </w:p>
    <w:p w14:paraId="3CA74651" w14:textId="77777777" w:rsidR="00403127" w:rsidRPr="00903DE3" w:rsidRDefault="00403127" w:rsidP="00403127">
      <w:pPr>
        <w:spacing w:after="0" w:line="240" w:lineRule="auto"/>
        <w:rPr>
          <w:rFonts w:ascii="Times New Roman" w:hAnsi="Times New Roman"/>
          <w:sz w:val="28"/>
          <w:szCs w:val="28"/>
        </w:rPr>
      </w:pPr>
    </w:p>
    <w:p w14:paraId="78416CC3" w14:textId="77777777" w:rsidR="00403127" w:rsidRPr="00903DE3" w:rsidRDefault="00403127" w:rsidP="00403127">
      <w:pPr>
        <w:spacing w:after="0" w:line="240" w:lineRule="auto"/>
        <w:jc w:val="center"/>
        <w:rPr>
          <w:rFonts w:ascii="Times New Roman" w:hAnsi="Times New Roman"/>
          <w:sz w:val="28"/>
          <w:szCs w:val="28"/>
        </w:rPr>
      </w:pPr>
      <w:r w:rsidRPr="00903DE3">
        <w:rPr>
          <w:noProof/>
        </w:rPr>
        <w:drawing>
          <wp:inline distT="0" distB="0" distL="0" distR="0" wp14:anchorId="7FDA9081" wp14:editId="7EE6AC2E">
            <wp:extent cx="6118860" cy="3771900"/>
            <wp:effectExtent l="0" t="0" r="0" b="0"/>
            <wp:docPr id="12" name="Picture 12" descr="A picture containing text, d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dish&#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8860" cy="3771900"/>
                    </a:xfrm>
                    <a:prstGeom prst="rect">
                      <a:avLst/>
                    </a:prstGeom>
                    <a:noFill/>
                    <a:ln>
                      <a:noFill/>
                    </a:ln>
                  </pic:spPr>
                </pic:pic>
              </a:graphicData>
            </a:graphic>
          </wp:inline>
        </w:drawing>
      </w:r>
    </w:p>
    <w:p w14:paraId="00F65ECB" w14:textId="77777777" w:rsidR="00403127" w:rsidRPr="00903DE3" w:rsidRDefault="00403127" w:rsidP="00403127">
      <w:pPr>
        <w:spacing w:after="0" w:line="240" w:lineRule="auto"/>
        <w:jc w:val="center"/>
        <w:rPr>
          <w:rFonts w:ascii="Times New Roman" w:hAnsi="Times New Roman"/>
          <w:sz w:val="28"/>
          <w:szCs w:val="28"/>
        </w:rPr>
      </w:pPr>
    </w:p>
    <w:p w14:paraId="069F3F3B" w14:textId="77777777" w:rsidR="00403127" w:rsidRPr="00903DE3" w:rsidRDefault="00403127" w:rsidP="00403127">
      <w:pPr>
        <w:spacing w:after="0" w:line="240" w:lineRule="auto"/>
        <w:jc w:val="center"/>
        <w:rPr>
          <w:rFonts w:ascii="Times New Roman" w:hAnsi="Times New Roman"/>
          <w:sz w:val="28"/>
          <w:szCs w:val="28"/>
        </w:rPr>
      </w:pPr>
      <w:proofErr w:type="gramStart"/>
      <w:r w:rsidRPr="00903DE3">
        <w:rPr>
          <w:rFonts w:ascii="Times New Roman" w:hAnsi="Times New Roman"/>
          <w:sz w:val="28"/>
          <w:szCs w:val="28"/>
        </w:rPr>
        <w:t>а</w:t>
      </w:r>
      <w:proofErr w:type="gramEnd"/>
      <w:r w:rsidRPr="00903DE3">
        <w:rPr>
          <w:rFonts w:ascii="Times New Roman" w:hAnsi="Times New Roman"/>
          <w:sz w:val="28"/>
          <w:szCs w:val="28"/>
        </w:rPr>
        <w:t xml:space="preserve"> Правая ободочная артерия. b Верхняя брыжеечная вена. c </w:t>
      </w:r>
      <w:proofErr w:type="spellStart"/>
      <w:r w:rsidRPr="00903DE3">
        <w:rPr>
          <w:rFonts w:ascii="Times New Roman" w:hAnsi="Times New Roman"/>
          <w:sz w:val="28"/>
          <w:szCs w:val="28"/>
        </w:rPr>
        <w:t>Илеоцекальная</w:t>
      </w:r>
      <w:proofErr w:type="spellEnd"/>
      <w:r w:rsidRPr="00903DE3">
        <w:rPr>
          <w:rFonts w:ascii="Times New Roman" w:hAnsi="Times New Roman"/>
          <w:sz w:val="28"/>
          <w:szCs w:val="28"/>
        </w:rPr>
        <w:t xml:space="preserve"> артерия и вена</w:t>
      </w:r>
    </w:p>
    <w:p w14:paraId="264977BA" w14:textId="77777777" w:rsidR="00403127" w:rsidRPr="00903DE3" w:rsidRDefault="00403127" w:rsidP="00403127">
      <w:pPr>
        <w:spacing w:after="0" w:line="240" w:lineRule="auto"/>
        <w:jc w:val="center"/>
        <w:rPr>
          <w:rFonts w:ascii="Times New Roman" w:hAnsi="Times New Roman"/>
          <w:sz w:val="28"/>
          <w:szCs w:val="28"/>
        </w:rPr>
      </w:pPr>
    </w:p>
    <w:p w14:paraId="6B82EFDF" w14:textId="77777777" w:rsidR="00403127" w:rsidRPr="00903DE3" w:rsidRDefault="00403127" w:rsidP="00403127">
      <w:pPr>
        <w:spacing w:after="0" w:line="240" w:lineRule="auto"/>
        <w:jc w:val="center"/>
        <w:rPr>
          <w:rFonts w:ascii="Times New Roman" w:hAnsi="Times New Roman"/>
          <w:sz w:val="28"/>
          <w:szCs w:val="28"/>
        </w:rPr>
      </w:pPr>
      <w:r w:rsidRPr="00903DE3">
        <w:rPr>
          <w:rFonts w:ascii="Times New Roman" w:hAnsi="Times New Roman"/>
          <w:sz w:val="28"/>
          <w:szCs w:val="28"/>
        </w:rPr>
        <w:t xml:space="preserve">Рисунок 10 – Процедура полного </w:t>
      </w:r>
      <w:proofErr w:type="spellStart"/>
      <w:r w:rsidRPr="00903DE3">
        <w:rPr>
          <w:rFonts w:ascii="Times New Roman" w:hAnsi="Times New Roman"/>
          <w:sz w:val="28"/>
          <w:szCs w:val="28"/>
        </w:rPr>
        <w:t>мезокололического</w:t>
      </w:r>
      <w:proofErr w:type="spellEnd"/>
      <w:r w:rsidRPr="00903DE3">
        <w:rPr>
          <w:rFonts w:ascii="Times New Roman" w:hAnsi="Times New Roman"/>
          <w:sz w:val="28"/>
          <w:szCs w:val="28"/>
        </w:rPr>
        <w:t xml:space="preserve"> иссечения [61]</w:t>
      </w:r>
    </w:p>
    <w:p w14:paraId="19391BA3" w14:textId="77777777" w:rsidR="00403127" w:rsidRPr="00903DE3" w:rsidRDefault="00403127" w:rsidP="00403127">
      <w:pPr>
        <w:spacing w:after="0" w:line="240" w:lineRule="auto"/>
        <w:jc w:val="center"/>
        <w:rPr>
          <w:rFonts w:ascii="Times New Roman" w:hAnsi="Times New Roman"/>
          <w:sz w:val="28"/>
          <w:szCs w:val="28"/>
        </w:rPr>
      </w:pPr>
    </w:p>
    <w:p w14:paraId="3EE60160" w14:textId="77777777" w:rsidR="00403127" w:rsidRPr="00903DE3" w:rsidRDefault="00403127" w:rsidP="00403127">
      <w:pPr>
        <w:spacing w:after="0" w:line="240" w:lineRule="auto"/>
        <w:jc w:val="center"/>
        <w:rPr>
          <w:rFonts w:ascii="Times New Roman" w:hAnsi="Times New Roman"/>
          <w:sz w:val="28"/>
          <w:szCs w:val="28"/>
        </w:rPr>
      </w:pPr>
      <w:r w:rsidRPr="00903DE3">
        <w:rPr>
          <w:noProof/>
        </w:rPr>
        <w:drawing>
          <wp:inline distT="0" distB="0" distL="0" distR="0" wp14:anchorId="726862B5" wp14:editId="299FBFA7">
            <wp:extent cx="6118860" cy="3718560"/>
            <wp:effectExtent l="0" t="0" r="0" b="0"/>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8860" cy="3718560"/>
                    </a:xfrm>
                    <a:prstGeom prst="rect">
                      <a:avLst/>
                    </a:prstGeom>
                    <a:noFill/>
                    <a:ln>
                      <a:noFill/>
                    </a:ln>
                  </pic:spPr>
                </pic:pic>
              </a:graphicData>
            </a:graphic>
          </wp:inline>
        </w:drawing>
      </w:r>
    </w:p>
    <w:p w14:paraId="18CF8C74" w14:textId="77777777" w:rsidR="00403127" w:rsidRPr="00903DE3" w:rsidRDefault="00403127" w:rsidP="00403127">
      <w:pPr>
        <w:spacing w:after="0" w:line="240" w:lineRule="auto"/>
        <w:jc w:val="center"/>
        <w:rPr>
          <w:rFonts w:ascii="Times New Roman" w:hAnsi="Times New Roman"/>
          <w:sz w:val="28"/>
          <w:szCs w:val="28"/>
        </w:rPr>
      </w:pPr>
    </w:p>
    <w:p w14:paraId="6D4C0A0A" w14:textId="77777777" w:rsidR="00403127" w:rsidRPr="00903DE3" w:rsidRDefault="00403127" w:rsidP="00403127">
      <w:pPr>
        <w:spacing w:after="0" w:line="240" w:lineRule="auto"/>
        <w:jc w:val="center"/>
        <w:rPr>
          <w:rFonts w:ascii="Times New Roman" w:hAnsi="Times New Roman"/>
          <w:sz w:val="28"/>
          <w:szCs w:val="28"/>
        </w:rPr>
      </w:pPr>
      <w:proofErr w:type="gramStart"/>
      <w:r w:rsidRPr="00903DE3">
        <w:rPr>
          <w:rFonts w:ascii="Times New Roman" w:hAnsi="Times New Roman"/>
          <w:sz w:val="28"/>
          <w:szCs w:val="28"/>
        </w:rPr>
        <w:t>а</w:t>
      </w:r>
      <w:proofErr w:type="gramEnd"/>
      <w:r w:rsidRPr="00903DE3">
        <w:rPr>
          <w:rFonts w:ascii="Times New Roman" w:hAnsi="Times New Roman"/>
          <w:sz w:val="28"/>
          <w:szCs w:val="28"/>
        </w:rPr>
        <w:t xml:space="preserve"> шейка поджелудочной железы. b сундук </w:t>
      </w:r>
      <w:proofErr w:type="spellStart"/>
      <w:r w:rsidRPr="00903DE3">
        <w:rPr>
          <w:rFonts w:ascii="Times New Roman" w:hAnsi="Times New Roman"/>
          <w:sz w:val="28"/>
          <w:szCs w:val="28"/>
        </w:rPr>
        <w:t>Генле</w:t>
      </w:r>
      <w:proofErr w:type="spellEnd"/>
      <w:r w:rsidRPr="00903DE3">
        <w:rPr>
          <w:rFonts w:ascii="Times New Roman" w:hAnsi="Times New Roman"/>
          <w:sz w:val="28"/>
          <w:szCs w:val="28"/>
        </w:rPr>
        <w:t xml:space="preserve">. c Перевязана правая ободочная артерия. d Головка поджелудочной железы. e Верхняя брыжеечная вена (хирургический ствол). f Перевязанные </w:t>
      </w:r>
      <w:proofErr w:type="spellStart"/>
      <w:r w:rsidRPr="00903DE3">
        <w:rPr>
          <w:rFonts w:ascii="Times New Roman" w:hAnsi="Times New Roman"/>
          <w:sz w:val="28"/>
          <w:szCs w:val="28"/>
        </w:rPr>
        <w:t>илеоцекальные</w:t>
      </w:r>
      <w:proofErr w:type="spellEnd"/>
      <w:r w:rsidRPr="00903DE3">
        <w:rPr>
          <w:rFonts w:ascii="Times New Roman" w:hAnsi="Times New Roman"/>
          <w:sz w:val="28"/>
          <w:szCs w:val="28"/>
        </w:rPr>
        <w:t xml:space="preserve"> сосуды. g Двенадцатиперстная кишка</w:t>
      </w:r>
    </w:p>
    <w:p w14:paraId="192A21EA" w14:textId="77777777" w:rsidR="00403127" w:rsidRPr="00903DE3" w:rsidRDefault="00403127" w:rsidP="00403127">
      <w:pPr>
        <w:spacing w:after="0" w:line="240" w:lineRule="auto"/>
        <w:jc w:val="center"/>
        <w:rPr>
          <w:rFonts w:ascii="Times New Roman" w:hAnsi="Times New Roman"/>
          <w:sz w:val="28"/>
          <w:szCs w:val="28"/>
        </w:rPr>
      </w:pPr>
    </w:p>
    <w:p w14:paraId="0063C04A" w14:textId="77777777" w:rsidR="00403127" w:rsidRPr="00903DE3" w:rsidRDefault="00403127" w:rsidP="00403127">
      <w:pPr>
        <w:spacing w:after="0" w:line="240" w:lineRule="auto"/>
        <w:jc w:val="center"/>
        <w:rPr>
          <w:rFonts w:ascii="Times New Roman" w:hAnsi="Times New Roman"/>
          <w:sz w:val="28"/>
          <w:szCs w:val="28"/>
        </w:rPr>
      </w:pPr>
      <w:r w:rsidRPr="00903DE3">
        <w:rPr>
          <w:rFonts w:ascii="Times New Roman" w:hAnsi="Times New Roman"/>
          <w:sz w:val="28"/>
          <w:szCs w:val="28"/>
        </w:rPr>
        <w:t xml:space="preserve">Рисунок 11 – После полного удаления восходящей и поперечной ободочной кишки от корней головка и шейка поджелудочной железы четко обнажаются во время процедуры полного </w:t>
      </w:r>
      <w:proofErr w:type="spellStart"/>
      <w:r w:rsidRPr="00903DE3">
        <w:rPr>
          <w:rFonts w:ascii="Times New Roman" w:hAnsi="Times New Roman"/>
          <w:sz w:val="28"/>
          <w:szCs w:val="28"/>
        </w:rPr>
        <w:t>мезокололического</w:t>
      </w:r>
      <w:proofErr w:type="spellEnd"/>
      <w:r w:rsidRPr="00903DE3">
        <w:rPr>
          <w:rFonts w:ascii="Times New Roman" w:hAnsi="Times New Roman"/>
          <w:sz w:val="28"/>
          <w:szCs w:val="28"/>
        </w:rPr>
        <w:t xml:space="preserve"> иссечения [61]</w:t>
      </w:r>
    </w:p>
    <w:p w14:paraId="0DD485CB" w14:textId="77777777" w:rsidR="00403127" w:rsidRPr="00903DE3" w:rsidRDefault="00403127" w:rsidP="00403127">
      <w:pPr>
        <w:spacing w:after="0" w:line="240" w:lineRule="auto"/>
        <w:jc w:val="center"/>
        <w:rPr>
          <w:rFonts w:ascii="Times New Roman" w:hAnsi="Times New Roman"/>
          <w:sz w:val="28"/>
          <w:szCs w:val="28"/>
        </w:rPr>
      </w:pPr>
    </w:p>
    <w:p w14:paraId="2D1D64FC" w14:textId="77777777" w:rsidR="00403127" w:rsidRPr="00903DE3" w:rsidRDefault="00403127" w:rsidP="00403127">
      <w:pPr>
        <w:spacing w:after="0" w:line="240" w:lineRule="auto"/>
        <w:jc w:val="center"/>
        <w:rPr>
          <w:rFonts w:ascii="Times New Roman" w:hAnsi="Times New Roman"/>
          <w:sz w:val="28"/>
          <w:szCs w:val="28"/>
        </w:rPr>
      </w:pPr>
    </w:p>
    <w:p w14:paraId="5BB7EE25"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Радикальная резекция при </w:t>
      </w:r>
      <w:proofErr w:type="spellStart"/>
      <w:r w:rsidRPr="00903DE3">
        <w:rPr>
          <w:rFonts w:ascii="Times New Roman" w:hAnsi="Times New Roman"/>
          <w:sz w:val="28"/>
          <w:szCs w:val="28"/>
        </w:rPr>
        <w:t>колоректальном</w:t>
      </w:r>
      <w:proofErr w:type="spellEnd"/>
      <w:r w:rsidRPr="00903DE3">
        <w:rPr>
          <w:rFonts w:ascii="Times New Roman" w:hAnsi="Times New Roman"/>
          <w:sz w:val="28"/>
          <w:szCs w:val="28"/>
        </w:rPr>
        <w:t xml:space="preserve"> раке в настоящее время признана стандартной хирургической процедурой. Это объясняется лучшим доступом к лимфатическим узлам, точной стадией, более низкой частотой местных рецидивов и улучшенными показателями выживаемости. Тем не менее, процедура при ранних стадиях рака не является общепринятой, поскольку нет рекомендаций относительно необходимости радикальной резекции [68].</w:t>
      </w:r>
    </w:p>
    <w:p w14:paraId="3A37E240" w14:textId="77777777" w:rsidR="00403127" w:rsidRPr="00903DE3" w:rsidRDefault="00403127" w:rsidP="00403127">
      <w:pPr>
        <w:spacing w:after="0" w:line="240" w:lineRule="auto"/>
        <w:ind w:firstLine="708"/>
        <w:jc w:val="both"/>
        <w:rPr>
          <w:rFonts w:ascii="Times New Roman" w:hAnsi="Times New Roman"/>
          <w:b/>
          <w:sz w:val="28"/>
          <w:szCs w:val="28"/>
        </w:rPr>
      </w:pPr>
    </w:p>
    <w:p w14:paraId="0CEF7ECE" w14:textId="77777777" w:rsidR="00403127" w:rsidRPr="00903DE3" w:rsidRDefault="00403127" w:rsidP="00403127">
      <w:pPr>
        <w:spacing w:after="0" w:line="240" w:lineRule="auto"/>
        <w:ind w:firstLine="708"/>
        <w:jc w:val="both"/>
        <w:rPr>
          <w:rFonts w:ascii="Times New Roman" w:hAnsi="Times New Roman"/>
          <w:b/>
          <w:sz w:val="28"/>
          <w:szCs w:val="28"/>
        </w:rPr>
      </w:pPr>
      <w:r w:rsidRPr="00903DE3">
        <w:rPr>
          <w:rFonts w:ascii="Times New Roman" w:hAnsi="Times New Roman"/>
          <w:b/>
          <w:sz w:val="28"/>
          <w:szCs w:val="28"/>
        </w:rPr>
        <w:t xml:space="preserve">1.3 </w:t>
      </w:r>
      <w:r w:rsidRPr="00903DE3">
        <w:rPr>
          <w:rFonts w:ascii="Times New Roman" w:hAnsi="Times New Roman"/>
          <w:b/>
          <w:sz w:val="28"/>
          <w:szCs w:val="28"/>
          <w:lang w:bidi="kn-IN"/>
        </w:rPr>
        <w:t xml:space="preserve">Прогностические факторы исходов после радикального хирургического лечения </w:t>
      </w:r>
      <w:r w:rsidRPr="00903DE3">
        <w:rPr>
          <w:rFonts w:ascii="Times New Roman" w:hAnsi="Times New Roman"/>
          <w:b/>
          <w:bCs/>
          <w:sz w:val="28"/>
          <w:szCs w:val="28"/>
          <w:lang w:bidi="kn-IN"/>
        </w:rPr>
        <w:t>злокачественных новообразований</w:t>
      </w:r>
      <w:r w:rsidRPr="00903DE3">
        <w:rPr>
          <w:rFonts w:ascii="Times New Roman" w:hAnsi="Times New Roman"/>
          <w:b/>
          <w:sz w:val="28"/>
          <w:szCs w:val="28"/>
          <w:lang w:bidi="kn-IN"/>
        </w:rPr>
        <w:t xml:space="preserve"> ободочной кишки</w:t>
      </w:r>
    </w:p>
    <w:p w14:paraId="5AE0583C"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Благодаря радикальному хирургическому лечению ободочной кишки пятилетняя общая выживаемость (90,8% и 88,6%, </w:t>
      </w:r>
      <w:proofErr w:type="spellStart"/>
      <w:r w:rsidRPr="00903DE3">
        <w:rPr>
          <w:rFonts w:ascii="Times New Roman" w:hAnsi="Times New Roman"/>
          <w:sz w:val="28"/>
          <w:szCs w:val="28"/>
        </w:rPr>
        <w:t>соответсвенно</w:t>
      </w:r>
      <w:proofErr w:type="spellEnd"/>
      <w:r w:rsidRPr="00903DE3">
        <w:rPr>
          <w:rFonts w:ascii="Times New Roman" w:hAnsi="Times New Roman"/>
          <w:sz w:val="28"/>
          <w:szCs w:val="28"/>
        </w:rPr>
        <w:t xml:space="preserve">) и безрецидивная выживаемость (86,1% и 78,9%, </w:t>
      </w:r>
      <w:proofErr w:type="spellStart"/>
      <w:r w:rsidRPr="00903DE3">
        <w:rPr>
          <w:rFonts w:ascii="Times New Roman" w:hAnsi="Times New Roman"/>
          <w:sz w:val="28"/>
          <w:szCs w:val="28"/>
        </w:rPr>
        <w:t>соответсвенно</w:t>
      </w:r>
      <w:proofErr w:type="spellEnd"/>
      <w:r w:rsidRPr="00903DE3">
        <w:rPr>
          <w:rFonts w:ascii="Times New Roman" w:hAnsi="Times New Roman"/>
          <w:sz w:val="28"/>
          <w:szCs w:val="28"/>
        </w:rPr>
        <w:t xml:space="preserve">) пациентов как после </w:t>
      </w:r>
      <w:proofErr w:type="spellStart"/>
      <w:r w:rsidRPr="00903DE3">
        <w:rPr>
          <w:rFonts w:ascii="Times New Roman" w:hAnsi="Times New Roman"/>
          <w:sz w:val="28"/>
          <w:szCs w:val="28"/>
        </w:rPr>
        <w:t>лапораскопического</w:t>
      </w:r>
      <w:proofErr w:type="spellEnd"/>
      <w:r w:rsidRPr="00903DE3">
        <w:rPr>
          <w:rFonts w:ascii="Times New Roman" w:hAnsi="Times New Roman"/>
          <w:sz w:val="28"/>
          <w:szCs w:val="28"/>
        </w:rPr>
        <w:t xml:space="preserve"> метода, также после открытой операции является высокой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91t8nd60t","properties":{"formattedCitation":"[53]","plainCitation":"[53]","noteIndex":0},"citationItems":[{"id":56,"uris":["http://zotero.org/users/7388323/items/AW4GEH9C"],"uri":["http://zotero.org/users/7388323/items/AW4GEH9C"],"itemData":{"id":56,"type":"article-journal","abstract":"Purpose The main cause of death of colorectal cancer patients is metastatic disease. Approximately 20–25 % of the patients present with metastases at time of diagnosis. The clinical course of patients who develop metachronous metastases, however, is less clear. The aims of this study were to describe the incidence, treatment and survival of patients with metachronous metastases from colorectal cancer and to determine risk factors for developing metachronous metastases.","container-title":"International Journal of Colorectal Disease","DOI":"10.1007/s00384-014-2085-6","ISSN":"0179-1958, 1432-1262","issue":"2","journalAbbreviation":"Int J Colorectal Dis","language":"en","page":"205-212","source":"DOI.org (Crossref)","title":"Metachronous metastases from colorectal cancer: a population-based study in North-East Netherlands","title-short":"Metachronous metastases from colorectal cancer","URL":"http://link.springer.com/10.1007/s00384-014-2085-6","volume":"30","author":[{"family":"Elferink","given":"Marloes A. G."},{"family":"Jong","given":"Koert P.","non-dropping-particle":"de"},{"family":"Klaase","given":"Joost M."},{"family":"Siemerink","given":"Esther J."},{"family":"Wilt","given":"Johannes H. W.","non-dropping-particle":"de"}],"accessed":{"date-parts":[["2021",1,9]]},"issued":{"date-parts":[["2015",2]]}}}],"schema":"https://github.com/citation-style-language/schema/raw/master/csl-citation.json"}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[69]</w:t>
      </w:r>
      <w:r w:rsidRPr="00903DE3">
        <w:rPr>
          <w:rFonts w:ascii="Times New Roman" w:hAnsi="Times New Roman"/>
          <w:sz w:val="28"/>
          <w:szCs w:val="28"/>
        </w:rPr>
        <w:fldChar w:fldCharType="end"/>
      </w:r>
      <w:r w:rsidRPr="00903DE3">
        <w:rPr>
          <w:rFonts w:ascii="Times New Roman" w:hAnsi="Times New Roman"/>
          <w:sz w:val="28"/>
          <w:szCs w:val="28"/>
        </w:rPr>
        <w:t xml:space="preserve">. При </w:t>
      </w:r>
      <w:proofErr w:type="spellStart"/>
      <w:r w:rsidRPr="00903DE3">
        <w:rPr>
          <w:rFonts w:ascii="Times New Roman" w:hAnsi="Times New Roman"/>
          <w:sz w:val="28"/>
          <w:szCs w:val="28"/>
        </w:rPr>
        <w:t>лапароскопической</w:t>
      </w:r>
      <w:proofErr w:type="spellEnd"/>
      <w:r w:rsidRPr="00903DE3">
        <w:rPr>
          <w:rFonts w:ascii="Times New Roman" w:hAnsi="Times New Roman"/>
          <w:sz w:val="28"/>
          <w:szCs w:val="28"/>
        </w:rPr>
        <w:t xml:space="preserve"> радикальной операции не </w:t>
      </w:r>
      <w:r w:rsidRPr="00903DE3">
        <w:rPr>
          <w:rFonts w:ascii="Times New Roman" w:hAnsi="Times New Roman"/>
          <w:sz w:val="28"/>
          <w:szCs w:val="28"/>
        </w:rPr>
        <w:lastRenderedPageBreak/>
        <w:t xml:space="preserve">стратифицированная 5-летняя общая, безрецидивная и специфическая для заболевания выживаемость составляет 83%, 78,3% и 79,5% соответственно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qao3e4iph","properties":{"formattedCitation":"[54]","plainCitation":"[54]","noteIndex":0},"citationItems":[{"id":90,"uris":["http://zotero.org/users/7388323/items/E9U6PVDX"],"uri":["http://zotero.org/users/7388323/items/E9U6PVDX"],"itemData":{"id":90,"type":"article-journal","abstract":"Background. The purpose of this study was to identify the ten most frequent complications after surgery for stage I–III colon cancer and to assess the association between these complications and overall survival, conditional overall survival, and recurrences.","container-title":"Annals of Surgical Oncology","DOI":"10.1245/s10434-016-5226-z","ISSN":"1068-9265, 1534-4681","issue":"9","journalAbbreviation":"Ann Surg Oncol","language":"en","page":"2858-2865","source":"DOI.org (Crossref)","title":"Association Between the Most Frequent Complications After Surgery for Stage I–III Colon Cancer and Short-Term Survival, Long-Term Survival, and Recurrences","URL":"http://link.springer.com/10.1245/s10434-016-5226-z","volume":"23","author":[{"family":"Breugom","given":"A. J."},{"family":"Dongen","given":"D. T.","non-dropping-particle":"van"},{"family":"Bastiaannet","given":"E."},{"family":"Dekker","given":"F. W."},{"family":"Geest","given":"L. G. M.","non-dropping-particle":"van der"},{"family":"Liefers","given":"G. J."},{"family":"Marinelli","given":"A. W. K. S."},{"family":"Mesker","given":"W. E."},{"family":"Portielje","given":"J. E. A."},{"family":"Steup","given":"W. H."},{"family":"Tseng","given":"L. N. L."},{"family":"Velde","given":"C. J. H.","non-dropping-particle":"van de"},{"family":"Dekker","given":"J. W. T."}],"accessed":{"date-parts":[["2020",8,5]]},"issued":{"date-parts":[["2016",9]]}}}],"schema":"https://github.com/citation-style-language/schema/raw/master/csl-citation.json"}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[70]</w:t>
      </w:r>
      <w:r w:rsidRPr="00903DE3">
        <w:rPr>
          <w:rFonts w:ascii="Times New Roman" w:hAnsi="Times New Roman"/>
          <w:sz w:val="28"/>
          <w:szCs w:val="28"/>
        </w:rPr>
        <w:fldChar w:fldCharType="end"/>
      </w:r>
      <w:r w:rsidRPr="00903DE3">
        <w:rPr>
          <w:rFonts w:ascii="Times New Roman" w:hAnsi="Times New Roman"/>
          <w:sz w:val="28"/>
          <w:szCs w:val="28"/>
        </w:rPr>
        <w:t xml:space="preserve">. После полной резекции рецидив возникает в 30–40% случаев, при этом поражение лимфатических узлов является наиболее важным прогностическим фактором [71]. Большинство авторов отмечают, что несмотря на увеличение продолжительности жизни, больные страдают от множества различных осложнений после хирургического лечения колоректального рака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mmtcnetc8","properties":{"formattedCitation":"[7\\uc0\\u8211{}11]","plainCitation":"[7–11]","noteIndex":0},"citationItems":[{"id":55,"uris":["http://zotero.org/users/7388323/items/VSEJ2MCT"],"uri":["http://zotero.org/users/7388323/items/VSEJ2MCT"],"itemData":{"id":55,"type":"article-journal","abstract":"Introduction: In 2009, the nationwide Dutch Surgical Colorectal Audit (DSCA) was initiated by the Association of Surgeons of the Netherlands (ASN) to monitor, evaluate and improve colorectal cancer care. The DSCA is currently widely used as a blueprint for the initiation of other audits, coordinated by the Dutch Institute for Clinical Auditing (DICA). This article illustrates key elements of the DSCA and results of three years of auditing.","container-title":"European Journal of Surgical Oncology (EJSO)","DOI":"10.1016/j.ejso.2013.05.008","ISSN":"07487983","issue":"10","journalAbbreviation":"European Journal of Surgical Oncology (EJSO)","language":"en","page":"1063-1070","source":"DOI.org (Crossref)","title":"The Dutch Surgical Colorectal Audit","URL":"https://linkinghub.elsevier.com/retrieve/pii/S074879831300379X","volume":"39","author":[{"family":"Van Leersum","given":"N.J."},{"family":"Snijders","given":"H.S."},{"family":"Henneman","given":"D."},{"family":"Kolfschoten","given":"N.E."},{"family":"Gooiker","given":"G.A."},{"family":"Berge","given":"M.G.","non-dropping-particle":"ten"},{"family":"Eddes","given":"E.H."},{"family":"Wouters","given":"M.W.J.M."},{"family":"Tollenaar","given":"R.A.E.M."},{"family":"Bemelman","given":"W.A."},{"family":"Dam","given":"R.M.","non-dropping-particle":"van"},{"family":"Elferink","given":"M.A."},{"family":"Karsten","given":"Th.M."},{"family":"Krieken","given":"J.H.J.M.","non-dropping-particle":"van"},{"family":"Lemmens","given":"V.E.P.P."},{"family":"Rutten","given":"H.J.T."},{"family":"Manusama","given":"E.R."},{"family":"Velde","given":"C.J.H.","non-dropping-particle":"van de"},{"family":"Meijerink","given":"W.J.H.J."},{"family":"Wiggers","given":"Th."},{"family":"Harst","given":"E.","non-dropping-particle":"van der"},{"family":"Dekker","given":"J.W.T."},{"family":"Boerma","given":"D."}],"accessed":{"date-parts":[["2021",1,9]]},"issued":{"date-parts":[["2013",10]]}}},{"id":54,"uris":["http://zotero.org/users/7388323/items/473XHC3R"],"uri":["http://zotero.org/users/7388323/items/473XHC3R"],"itemData":{"id":54,"type":"article-journal","abstract":"Background: The optimal technique for curative resection of colonic cancer includes high ligation of the mesenteric vessels, wide excision of the colonic mesentery and prevention of tumour cell spillage. This article reports results from the authors’ institution for patients in whom complete mesocolic excision was performed long before the term was coined.\nMethods: Patients operated on for cure for primary adenocarcinoma of the colon between January 1994 and December 2004 were identified from a prospectively maintained, institutional review board-approved, colorectal cancer registry. Medical records and operation notes were reviewed. The primary outcomes were recurrence (local and distal) and age-adjusted 5-year survival.\nResults: Some 1013 patients (560 men and 453 women) were identified, with a median age of 69 (range 21–96) years. The most common location of the cancer was the sigmoid colon (32</w:instrText>
      </w:r>
      <w:r w:rsidRPr="00903DE3">
        <w:rPr>
          <w:rFonts w:ascii="Cambria Math" w:hAnsi="Cambria Math" w:cs="Cambria Math"/>
          <w:sz w:val="28"/>
          <w:szCs w:val="28"/>
        </w:rPr>
        <w:instrText>⋅</w:instrText>
      </w:r>
      <w:r w:rsidRPr="00903DE3">
        <w:rPr>
          <w:rFonts w:ascii="Times New Roman" w:hAnsi="Times New Roman"/>
          <w:sz w:val="28"/>
          <w:szCs w:val="28"/>
        </w:rPr>
        <w:instrText>9 per cent), followed by the caecum (26</w:instrText>
      </w:r>
      <w:r w:rsidRPr="00903DE3">
        <w:rPr>
          <w:rFonts w:ascii="Cambria Math" w:hAnsi="Cambria Math" w:cs="Cambria Math"/>
          <w:sz w:val="28"/>
          <w:szCs w:val="28"/>
        </w:rPr>
        <w:instrText>⋅</w:instrText>
      </w:r>
      <w:r w:rsidRPr="00903DE3">
        <w:rPr>
          <w:rFonts w:ascii="Times New Roman" w:hAnsi="Times New Roman"/>
          <w:sz w:val="28"/>
          <w:szCs w:val="28"/>
        </w:rPr>
        <w:instrText>7 per cent) and ascending colon (17</w:instrText>
      </w:r>
      <w:r w:rsidRPr="00903DE3">
        <w:rPr>
          <w:rFonts w:ascii="Cambria Math" w:hAnsi="Cambria Math" w:cs="Cambria Math"/>
          <w:sz w:val="28"/>
          <w:szCs w:val="28"/>
        </w:rPr>
        <w:instrText>⋅</w:instrText>
      </w:r>
      <w:r w:rsidRPr="00903DE3">
        <w:rPr>
          <w:rFonts w:ascii="Times New Roman" w:hAnsi="Times New Roman"/>
          <w:sz w:val="28"/>
          <w:szCs w:val="28"/>
        </w:rPr>
        <w:instrText>0 per cent). Operations were performed laparoscopically in 134 patients (13</w:instrText>
      </w:r>
      <w:r w:rsidRPr="00903DE3">
        <w:rPr>
          <w:rFonts w:ascii="Cambria Math" w:hAnsi="Cambria Math" w:cs="Cambria Math"/>
          <w:sz w:val="28"/>
          <w:szCs w:val="28"/>
        </w:rPr>
        <w:instrText>⋅</w:instrText>
      </w:r>
      <w:r w:rsidRPr="00903DE3">
        <w:rPr>
          <w:rFonts w:ascii="Times New Roman" w:hAnsi="Times New Roman"/>
          <w:sz w:val="28"/>
          <w:szCs w:val="28"/>
        </w:rPr>
        <w:instrText>2 per cent). Median duration of hospital stay was 7 (range 1–64, mean 8</w:instrText>
      </w:r>
      <w:r w:rsidRPr="00903DE3">
        <w:rPr>
          <w:rFonts w:ascii="Cambria Math" w:hAnsi="Cambria Math" w:cs="Cambria Math"/>
          <w:sz w:val="28"/>
          <w:szCs w:val="28"/>
        </w:rPr>
        <w:instrText>⋅</w:instrText>
      </w:r>
      <w:r w:rsidRPr="00903DE3">
        <w:rPr>
          <w:rFonts w:ascii="Times New Roman" w:hAnsi="Times New Roman"/>
          <w:sz w:val="28"/>
          <w:szCs w:val="28"/>
        </w:rPr>
        <w:instrText>2) days. Overall morbidity and mortality rates were 13</w:instrText>
      </w:r>
      <w:r w:rsidRPr="00903DE3">
        <w:rPr>
          <w:rFonts w:ascii="Cambria Math" w:hAnsi="Cambria Math" w:cs="Cambria Math"/>
          <w:sz w:val="28"/>
          <w:szCs w:val="28"/>
        </w:rPr>
        <w:instrText>⋅</w:instrText>
      </w:r>
      <w:r w:rsidRPr="00903DE3">
        <w:rPr>
          <w:rFonts w:ascii="Times New Roman" w:hAnsi="Times New Roman"/>
          <w:sz w:val="28"/>
          <w:szCs w:val="28"/>
        </w:rPr>
        <w:instrText>5 and 2</w:instrText>
      </w:r>
      <w:r w:rsidRPr="00903DE3">
        <w:rPr>
          <w:rFonts w:ascii="Cambria Math" w:hAnsi="Cambria Math" w:cs="Cambria Math"/>
          <w:sz w:val="28"/>
          <w:szCs w:val="28"/>
        </w:rPr>
        <w:instrText>⋅</w:instrText>
      </w:r>
      <w:r w:rsidRPr="00903DE3">
        <w:rPr>
          <w:rFonts w:ascii="Times New Roman" w:hAnsi="Times New Roman"/>
          <w:sz w:val="28"/>
          <w:szCs w:val="28"/>
        </w:rPr>
        <w:instrText>2 per cent respectively; there were 20 anastomotic leaks (2</w:instrText>
      </w:r>
      <w:r w:rsidRPr="00903DE3">
        <w:rPr>
          <w:rFonts w:ascii="Cambria Math" w:hAnsi="Cambria Math" w:cs="Cambria Math"/>
          <w:sz w:val="28"/>
          <w:szCs w:val="28"/>
        </w:rPr>
        <w:instrText>⋅</w:instrText>
      </w:r>
      <w:r w:rsidRPr="00903DE3">
        <w:rPr>
          <w:rFonts w:ascii="Times New Roman" w:hAnsi="Times New Roman"/>
          <w:sz w:val="28"/>
          <w:szCs w:val="28"/>
        </w:rPr>
        <w:instrText>0 per cent). Some 282 patients (27</w:instrText>
      </w:r>
      <w:r w:rsidRPr="00903DE3">
        <w:rPr>
          <w:rFonts w:ascii="Cambria Math" w:hAnsi="Cambria Math" w:cs="Cambria Math"/>
          <w:sz w:val="28"/>
          <w:szCs w:val="28"/>
        </w:rPr>
        <w:instrText>⋅</w:instrText>
      </w:r>
      <w:r w:rsidRPr="00903DE3">
        <w:rPr>
          <w:rFonts w:ascii="Times New Roman" w:hAnsi="Times New Roman"/>
          <w:sz w:val="28"/>
          <w:szCs w:val="28"/>
        </w:rPr>
        <w:instrText>8 per cent) had stage I, 386 (38</w:instrText>
      </w:r>
      <w:r w:rsidRPr="00903DE3">
        <w:rPr>
          <w:rFonts w:ascii="Cambria Math" w:hAnsi="Cambria Math" w:cs="Cambria Math"/>
          <w:sz w:val="28"/>
          <w:szCs w:val="28"/>
        </w:rPr>
        <w:instrText>⋅</w:instrText>
      </w:r>
      <w:r w:rsidRPr="00903DE3">
        <w:rPr>
          <w:rFonts w:ascii="Times New Roman" w:hAnsi="Times New Roman"/>
          <w:sz w:val="28"/>
          <w:szCs w:val="28"/>
        </w:rPr>
        <w:instrText>1 per cent) stage II and 345 (34</w:instrText>
      </w:r>
      <w:r w:rsidRPr="00903DE3">
        <w:rPr>
          <w:rFonts w:ascii="Cambria Math" w:hAnsi="Cambria Math" w:cs="Cambria Math"/>
          <w:sz w:val="28"/>
          <w:szCs w:val="28"/>
        </w:rPr>
        <w:instrText>⋅</w:instrText>
      </w:r>
      <w:r w:rsidRPr="00903DE3">
        <w:rPr>
          <w:rFonts w:ascii="Times New Roman" w:hAnsi="Times New Roman"/>
          <w:sz w:val="28"/>
          <w:szCs w:val="28"/>
        </w:rPr>
        <w:instrText>1 per cent) stage III disease. Median lymph node yield was 28</w:instrText>
      </w:r>
      <w:r w:rsidRPr="00903DE3">
        <w:rPr>
          <w:rFonts w:ascii="Cambria Math" w:hAnsi="Cambria Math" w:cs="Cambria Math"/>
          <w:sz w:val="28"/>
          <w:szCs w:val="28"/>
        </w:rPr>
        <w:instrText>⋅</w:instrText>
      </w:r>
      <w:r w:rsidRPr="00903DE3">
        <w:rPr>
          <w:rFonts w:ascii="Times New Roman" w:hAnsi="Times New Roman"/>
          <w:sz w:val="28"/>
          <w:szCs w:val="28"/>
        </w:rPr>
        <w:instrText>3 (range 0–241, mean 28</w:instrText>
      </w:r>
      <w:r w:rsidRPr="00903DE3">
        <w:rPr>
          <w:rFonts w:ascii="Cambria Math" w:hAnsi="Cambria Math" w:cs="Cambria Math"/>
          <w:sz w:val="28"/>
          <w:szCs w:val="28"/>
        </w:rPr>
        <w:instrText>⋅</w:instrText>
      </w:r>
      <w:r w:rsidRPr="00903DE3">
        <w:rPr>
          <w:rFonts w:ascii="Times New Roman" w:hAnsi="Times New Roman"/>
          <w:sz w:val="28"/>
          <w:szCs w:val="28"/>
        </w:rPr>
        <w:instrText>3), and 12 or more nodes were examined in 88</w:instrText>
      </w:r>
      <w:r w:rsidRPr="00903DE3">
        <w:rPr>
          <w:rFonts w:ascii="Cambria Math" w:hAnsi="Cambria Math" w:cs="Cambria Math"/>
          <w:sz w:val="28"/>
          <w:szCs w:val="28"/>
        </w:rPr>
        <w:instrText>⋅</w:instrText>
      </w:r>
      <w:r w:rsidRPr="00903DE3">
        <w:rPr>
          <w:rFonts w:ascii="Times New Roman" w:hAnsi="Times New Roman"/>
          <w:sz w:val="28"/>
          <w:szCs w:val="28"/>
        </w:rPr>
        <w:instrText>1 per cent of patients. Adjuvant chemotherapy was administered to 277 patients (80</w:instrText>
      </w:r>
      <w:r w:rsidRPr="00903DE3">
        <w:rPr>
          <w:rFonts w:ascii="Cambria Math" w:hAnsi="Cambria Math" w:cs="Cambria Math"/>
          <w:sz w:val="28"/>
          <w:szCs w:val="28"/>
        </w:rPr>
        <w:instrText>⋅</w:instrText>
      </w:r>
      <w:r w:rsidRPr="00903DE3">
        <w:rPr>
          <w:rFonts w:ascii="Times New Roman" w:hAnsi="Times New Roman"/>
          <w:sz w:val="28"/>
          <w:szCs w:val="28"/>
        </w:rPr>
        <w:instrText>3 per cent) with stage III disease. Overall local and distant recurrence rates at 5 years were 5</w:instrText>
      </w:r>
      <w:r w:rsidRPr="00903DE3">
        <w:rPr>
          <w:rFonts w:ascii="Cambria Math" w:hAnsi="Cambria Math" w:cs="Cambria Math"/>
          <w:sz w:val="28"/>
          <w:szCs w:val="28"/>
        </w:rPr>
        <w:instrText>⋅</w:instrText>
      </w:r>
      <w:r w:rsidRPr="00903DE3">
        <w:rPr>
          <w:rFonts w:ascii="Times New Roman" w:hAnsi="Times New Roman"/>
          <w:sz w:val="28"/>
          <w:szCs w:val="28"/>
        </w:rPr>
        <w:instrText>1 and 17</w:instrText>
      </w:r>
      <w:r w:rsidRPr="00903DE3">
        <w:rPr>
          <w:rFonts w:ascii="Cambria Math" w:hAnsi="Cambria Math" w:cs="Cambria Math"/>
          <w:sz w:val="28"/>
          <w:szCs w:val="28"/>
        </w:rPr>
        <w:instrText>⋅</w:instrText>
      </w:r>
      <w:r w:rsidRPr="00903DE3">
        <w:rPr>
          <w:rFonts w:ascii="Times New Roman" w:hAnsi="Times New Roman"/>
          <w:sz w:val="28"/>
          <w:szCs w:val="28"/>
        </w:rPr>
        <w:instrText>1 per cent respectively. The 5-year local recurrence rate was 2</w:instrText>
      </w:r>
      <w:r w:rsidRPr="00903DE3">
        <w:rPr>
          <w:rFonts w:ascii="Cambria Math" w:hAnsi="Cambria Math" w:cs="Cambria Math"/>
          <w:sz w:val="28"/>
          <w:szCs w:val="28"/>
        </w:rPr>
        <w:instrText>⋅</w:instrText>
      </w:r>
      <w:r w:rsidRPr="00903DE3">
        <w:rPr>
          <w:rFonts w:ascii="Times New Roman" w:hAnsi="Times New Roman"/>
          <w:sz w:val="28"/>
          <w:szCs w:val="28"/>
        </w:rPr>
        <w:instrText>2, 5</w:instrText>
      </w:r>
      <w:r w:rsidRPr="00903DE3">
        <w:rPr>
          <w:rFonts w:ascii="Cambria Math" w:hAnsi="Cambria Math" w:cs="Cambria Math"/>
          <w:sz w:val="28"/>
          <w:szCs w:val="28"/>
        </w:rPr>
        <w:instrText>⋅</w:instrText>
      </w:r>
      <w:r w:rsidRPr="00903DE3">
        <w:rPr>
          <w:rFonts w:ascii="Times New Roman" w:hAnsi="Times New Roman"/>
          <w:sz w:val="28"/>
          <w:szCs w:val="28"/>
        </w:rPr>
        <w:instrText>3 and 7</w:instrText>
      </w:r>
      <w:r w:rsidRPr="00903DE3">
        <w:rPr>
          <w:rFonts w:ascii="Cambria Math" w:hAnsi="Cambria Math" w:cs="Cambria Math"/>
          <w:sz w:val="28"/>
          <w:szCs w:val="28"/>
        </w:rPr>
        <w:instrText>⋅</w:instrText>
      </w:r>
      <w:r w:rsidRPr="00903DE3">
        <w:rPr>
          <w:rFonts w:ascii="Times New Roman" w:hAnsi="Times New Roman"/>
          <w:sz w:val="28"/>
          <w:szCs w:val="28"/>
        </w:rPr>
        <w:instrText>7 per cent for American Joint Committee on Cancer stages I, II and III respectively. Corresponding distant recurrence rates were 4</w:instrText>
      </w:r>
      <w:r w:rsidRPr="00903DE3">
        <w:rPr>
          <w:rFonts w:ascii="Cambria Math" w:hAnsi="Cambria Math" w:cs="Cambria Math"/>
          <w:sz w:val="28"/>
          <w:szCs w:val="28"/>
        </w:rPr>
        <w:instrText>⋅</w:instrText>
      </w:r>
      <w:r w:rsidRPr="00903DE3">
        <w:rPr>
          <w:rFonts w:ascii="Times New Roman" w:hAnsi="Times New Roman"/>
          <w:sz w:val="28"/>
          <w:szCs w:val="28"/>
        </w:rPr>
        <w:instrText>0, 14</w:instrText>
      </w:r>
      <w:r w:rsidRPr="00903DE3">
        <w:rPr>
          <w:rFonts w:ascii="Cambria Math" w:hAnsi="Cambria Math" w:cs="Cambria Math"/>
          <w:sz w:val="28"/>
          <w:szCs w:val="28"/>
        </w:rPr>
        <w:instrText>⋅</w:instrText>
      </w:r>
      <w:r w:rsidRPr="00903DE3">
        <w:rPr>
          <w:rFonts w:ascii="Times New Roman" w:hAnsi="Times New Roman"/>
          <w:sz w:val="28"/>
          <w:szCs w:val="28"/>
        </w:rPr>
        <w:instrText>7 and 30</w:instrText>
      </w:r>
      <w:r w:rsidRPr="00903DE3">
        <w:rPr>
          <w:rFonts w:ascii="Cambria Math" w:hAnsi="Cambria Math" w:cs="Cambria Math"/>
          <w:sz w:val="28"/>
          <w:szCs w:val="28"/>
        </w:rPr>
        <w:instrText>⋅</w:instrText>
      </w:r>
      <w:r w:rsidRPr="00903DE3">
        <w:rPr>
          <w:rFonts w:ascii="Times New Roman" w:hAnsi="Times New Roman"/>
          <w:sz w:val="28"/>
          <w:szCs w:val="28"/>
        </w:rPr>
        <w:instrText>5 per cent. The 5-year overall cancer-free age-standardized survival rate was 85</w:instrText>
      </w:r>
      <w:r w:rsidRPr="00903DE3">
        <w:rPr>
          <w:rFonts w:ascii="Cambria Math" w:hAnsi="Cambria Math" w:cs="Cambria Math"/>
          <w:sz w:val="28"/>
          <w:szCs w:val="28"/>
        </w:rPr>
        <w:instrText>⋅</w:instrText>
      </w:r>
      <w:r w:rsidRPr="00903DE3">
        <w:rPr>
          <w:rFonts w:ascii="Times New Roman" w:hAnsi="Times New Roman"/>
          <w:sz w:val="28"/>
          <w:szCs w:val="28"/>
        </w:rPr>
        <w:instrText>3 per cent. Five-year age standardized survival rates for patients with disease stages I, II and III were 97</w:instrText>
      </w:r>
      <w:r w:rsidRPr="00903DE3">
        <w:rPr>
          <w:rFonts w:ascii="Cambria Math" w:hAnsi="Cambria Math" w:cs="Cambria Math"/>
          <w:sz w:val="28"/>
          <w:szCs w:val="28"/>
        </w:rPr>
        <w:instrText>⋅</w:instrText>
      </w:r>
      <w:r w:rsidRPr="00903DE3">
        <w:rPr>
          <w:rFonts w:ascii="Times New Roman" w:hAnsi="Times New Roman"/>
          <w:sz w:val="28"/>
          <w:szCs w:val="28"/>
        </w:rPr>
        <w:instrText>7, 90</w:instrText>
      </w:r>
      <w:r w:rsidRPr="00903DE3">
        <w:rPr>
          <w:rFonts w:ascii="Cambria Math" w:hAnsi="Cambria Math" w:cs="Cambria Math"/>
          <w:sz w:val="28"/>
          <w:szCs w:val="28"/>
        </w:rPr>
        <w:instrText>⋅</w:instrText>
      </w:r>
      <w:r w:rsidRPr="00903DE3">
        <w:rPr>
          <w:rFonts w:ascii="Times New Roman" w:hAnsi="Times New Roman"/>
          <w:sz w:val="28"/>
          <w:szCs w:val="28"/>
        </w:rPr>
        <w:instrText>8 and 69</w:instrText>
      </w:r>
      <w:r w:rsidRPr="00903DE3">
        <w:rPr>
          <w:rFonts w:ascii="Cambria Math" w:hAnsi="Cambria Math" w:cs="Cambria Math"/>
          <w:sz w:val="28"/>
          <w:szCs w:val="28"/>
        </w:rPr>
        <w:instrText>⋅</w:instrText>
      </w:r>
      <w:r w:rsidRPr="00903DE3">
        <w:rPr>
          <w:rFonts w:ascii="Times New Roman" w:hAnsi="Times New Roman"/>
          <w:sz w:val="28"/>
          <w:szCs w:val="28"/>
        </w:rPr>
        <w:instrText xml:space="preserve">8 per cent respectively.\nConclusion: These data define modern results of surgery for colonic cancer with conservative use of chemotherapy.","container-title":"British Journal of Surgery","DOI":"10.1002/bjs.9805","ISSN":"00071323","issue":"7","journalAbbreviation":"Br J Surg","language":"en","page":"847-852","source":"DOI.org (Crossref)","title":"Primacy of surgery for colorectal cancer","URL":"http://doi.wiley.com/10.1002/bjs.9805","volume":"102","author":[{"family":"Liang","given":"J."},{"family":"Fazio","given":"V."},{"family":"Lavery","given":"I."},{"family":"Remzi","given":"F."},{"family":"Hull","given":"T."},{"family":"Strong","given":"S."},{"family":"Church","given":"J."}],"accessed":{"date-parts":[["2021",1,9]]},"issued":{"date-parts":[["2015",6]]}}},{"id":52,"uris":["http://zotero.org/users/7388323/items/YGZTTWBL"],"uri":["http://zotero.org/users/7388323/items/YGZTTWBL"],"itemData":{"id":52,"type":"article-journal","abstract":"Background. Perioperative treatment of patients with colorectal cancer according to the Enhanced Recovery After Surgery (ERAS) protocol has proven to reduce complications and duration of stay. However, strict adherence remains a challenge and the beneﬁts may decrease with lower adherence. In this study, we report on 8 years of adherence to the ERAS protocol and its effect on postoperative outcome in patients with colon cancer.\nMethods. In 2006, the ERAS protocol was introduced for treatment of colon cancer patients in the Medical Center Alkmaar, a large teaching hospital. Patients scheduled for elective colon cancer resection were included in this study. Adherence to ERAS items was monitored and along with clinical data prospectively gathered in a database. In 2011, several measures to improve adherence were implemented.\nResults. In total, 816 patients were included. Mean adherence rate was 73% in 2006 and 2007, 66% in 2008 and 2009, 63% in 2010 and 2011, and 82% in 2012 and 2013. There was a shorter duration of stay in the years with high adherence (5.7 days) compared with the years with low adherence (7.3 days; P &lt; .001). The ERAS items that were the strongest predictors for a shorter duration of stay were no nasogastric tube, early mobilization, early oral nutrition, early removal of epidural, early removal of catheter, and nonopioid oral analgesia.\nConclusion. It is possible to improve adherence to the ERAS protocol and related outcomes with speciﬁc measures. Adherence to the ERAS protocol was related inversely to duration of stay. Only postoperative items of the ERAS protocol were predictive for a shorter duration of stay. Keeping adherence optimal remains an ongoing challenge that requires repeated training and dedicated personnel. (Surgery 2015;j:j-j.)","container-title":"Surgery","DOI":"10.1016/j.surg.2015.01.016","ISSN":"00396060","issue":"6","journalAbbreviation":"Surgery","language":"en","page":"1130-1136","source":"DOI.org (Crossref)","title":"Eight years of experience with Enhanced Recovery After Surgery in patients with colon cancer: Impact of measures to improve adherence","title-short":"Eight years of experience with Enhanced Recovery After Surgery in patients with colon cancer","URL":"https://linkinghub.elsevier.com/retrieve/pii/S0039606015000628","volume":"157","author":[{"family":"Bakker","given":"Nathalie"},{"family":"Cakir","given":"Hamit"},{"family":"Doodeman","given":"H.J."},{"family":"Houdijk","given":"A.P.J."}],"accessed":{"date-parts":[["2021",1,9]]},"issued":{"date-parts":[["2015",6]]}}},{"id":51,"uris":["http://zotero.org/users/7388323/items/2398EYZF"],"uri":["http://zotero.org/users/7388323/items/2398EYZF"],"itemData":{"id":51,"type":"article-journal","abstract":"Aim The study included investigation of factors determining suboptimal adjuvant chemotherapy of patients diagnosed with Stage III colon cancer.","container-title":"Colorectal Disease","DOI":"10.1111/codi.12288","ISSN":"14628910","issue":"10","journalAbbreviation":"Colorectal Dis","language":"en","page":"e582-e591","source":"DOI.org (Crossref)","title":"Complicated postoperative recovery increases omission, delay and discontinuation of adjuvant chemotherapy in patients with Stage III colon cancer","URL":"http://doi.wiley.com/10.1111/codi.12288","volume":"15","author":[{"family":"Geest","given":"L. G. M.","non-dropping-particle":"van der"},{"family":"Portielje","given":"J. E. A."},{"family":"Wouters","given":"M. W. J. M."},{"family":"Weijl","given":"N. I."},{"family":"Tanis","given":"B. C."},{"family":"Tollenaar","given":"R. A. E. M."},{"family":"Struikmans","given":"H."},{"family":"Nortier","given":"J. W. R."},{"literal":"all nine hospitals in the Leiden region of the Comprehensive Cancer Centre The Netherlands (CCCNL)"}],"accessed":{"date-parts":[["2021",1,9]]},"issued":{"date-parts":[["2013",10]]}}},{"id":50,"uris":["http://zotero.org/users/7388323/items/VA6WWCZC"],"uri":["http://zotero.org/users/7388323/items/VA6WWCZC"],"itemData":{"id":50,"type":"article-journal","abstract":"Purpose: Surgery for colorectal malignancy is increasingly being performed in the elderly. Little is known about the impact of complications on late mortality. This study aimed to analyze whether a complicated postoperative course affects the 1-year survival in elderly patients.\nMethods: All consecutive patients older than 75 years of age who underwent colorectal cancer surgery between January 2009 and April 2013 were included in this study. The main outcome was mortality at 1 year after surgery. Logistic regression analyses were performed to determine risk factors for a poor outcome (mortality) after survival of the early postoperative course of surgery at 1-year follow-up. Patients who died within 30 days postoperatively were excluded from analysis.\nResults: The early mortality rate was 6.3% (n = 15), and 2 patients died during follow-up as a result of complications after a second surgery. A total of 223 patients survived the perioperative period and were included in this study. Twenty-two patients (9.9%) died during the first year of follow-up. Stage IV disease (P = 0.002), complications of primary surgery (P = 0.016), and comorbidity (P = 0.050) were risk factors for 1-year mortality. Intensive care unit stay, reoperation and readmission were not associated with a worse 1-year outcome.\nConclusion: Elderly patients with stage IV disease at the time of surgery, comorbidity, and postoperative complications are at risk for mortality during the first year after surgery. A patient-tailored approach with special attention to perioperative care should be considered in the elderly.","container-title":"Annals of Coloproctology","DOI":"10.3393/ac.2017.33.4.134","ISSN":"2287-9714, 2287-9722","issue":"4","journalAbbreviation":"Ann Coloproctol","language":"en","page":"134-138","source":"DOI.org (Crossref)","title":"The First Year After Colorectal Surgery in the Elderly","URL":"http://coloproctol.org/journal/view.php?doi=10.3393/ac.2017.33.4.134","volume":"33","author":[{"family":"Kornmann","given":"Verena N.N."},{"family":"Vugt","given":"Jeroen L.A.","non-dropping-particle":"van"},{"family":"Smits","given":"Anke B."},{"family":"Ramshorst","given":"Bert","non-dropping-particle":"van"},{"family":"Boerma","given":"Djamila"}],"accessed":{"date-parts":[["2021",1,10]]},"issued":{"date-parts":[["2017",8,31]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[7, 8, 9, 10, 11, 15]</w:t>
      </w:r>
      <w:r w:rsidRPr="00903DE3">
        <w:rPr>
          <w:rFonts w:ascii="Times New Roman" w:hAnsi="Times New Roman"/>
          <w:sz w:val="28"/>
          <w:szCs w:val="28"/>
        </w:rPr>
        <w:fldChar w:fldCharType="end"/>
      </w:r>
      <w:r w:rsidRPr="00903DE3">
        <w:rPr>
          <w:rFonts w:ascii="Times New Roman" w:hAnsi="Times New Roman"/>
          <w:sz w:val="28"/>
          <w:szCs w:val="28"/>
        </w:rPr>
        <w:t xml:space="preserve">. Ряд исследований показали, что 30-40% больных с I-III стадией ободочной кишки страдали по крайней мере от одного осложнения в реабилитационном периоде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ok4qhug2m","properties":{"formattedCitation":"[7\\uc0\\u8211{}10]","plainCitation":"[7–10]","noteIndex":0},"citationItems":[{"id":55,"uris":["http://zotero.org/users/7388323/items/VSEJ2MCT"],"uri":["http://zotero.org/users/7388323/items/VSEJ2MCT"],"itemData":{"id":55,"type":"article-journal","abstract":"Introduction: In 2009, the nationwide Dutch Surgical Colorectal Audit (DSCA) was initiated by the Association of Surgeons of the Netherlands (ASN) to monitor, evaluate and improve colorectal cancer care. The DSCA is currently widely used as a blueprint for the initiation of other audits, coordinated by the Dutch Institute for Clinical Auditing (DICA). This article illustrates key elements of the DSCA and results of three years of auditing.","container-title":"European Journal of Surgical Oncology (EJSO)","DOI":"10.1016/j.ejso.2013.05.008","ISSN":"07487983","issue":"10","journalAbbreviation":"European Journal of Surgical Oncology (EJSO)","language":"en","page":"1063-1070","source":"DOI.org (Crossref)","title":"The Dutch Surgical Colorectal Audit","URL":"https://linkinghub.elsevier.com/retrieve/pii/S074879831300379X","volume":"39","author":[{"family":"Van Leersum","given":"N.J."},{"family":"Snijders","given":"H.S."},{"family":"Henneman","given":"D."},{"family":"Kolfschoten","given":"N.E."},{"family":"Gooiker","given":"G.A."},{"family":"Berge","given":"M.G.","non-dropping-particle":"ten"},{"family":"Eddes","given":"E.H."},{"family":"Wouters","given":"M.W.J.M."},{"family":"Tollenaar","given":"R.A.E.M."},{"family":"Bemelman","given":"W.A."},{"family":"Dam","given":"R.M.","non-dropping-particle":"van"},{"family":"Elferink","given":"M.A."},{"family":"Karsten","given":"Th.M."},{"family":"Krieken","given":"J.H.J.M.","non-dropping-particle":"van"},{"family":"Lemmens","given":"V.E.P.P."},{"family":"Rutten","given":"H.J.T."},{"family":"Manusama","given":"E.R."},{"family":"Velde","given":"C.J.H.","non-dropping-particle":"van de"},{"family":"Meijerink","given":"W.J.H.J."},{"family":"Wiggers","given":"Th."},{"family":"Harst","given":"E.","non-dropping-particle":"van der"},{"family":"Dekker","given":"J.W.T."},{"family":"Boerma","given":"D."}],"accessed":{"date-parts":[["2021",1,9]]},"issued":{"date-parts":[["2013",10]]}}},{"id":54,"uris":["http://zotero.org/users/7388323/items/473XHC3R"],"uri":["http://zotero.org/users/7388323/items/473XHC3R"],"itemData":{"id":54,"type":"article-journal","abstract":"Background: The optimal technique for curative resection of colonic cancer includes high ligation of the mesenteric vessels, wide excision of the colonic mesentery and prevention of tumour cell spillage. This article reports results from the authors’ institution for patients in whom complete mesocolic excision was performed long before the term was coined.\nMethods: Patients operated on for cure for primary adenocarcinoma of the colon between January 1994 and December 2004 were identified from a prospectively maintained, institutional review board-approved, colorectal cancer registry. Medical records and operation notes were reviewed. The primary outcomes were recurrence (local and distal) and age-adjusted 5-year survival.\nResults: Some 1013 patients (560 men and 453 women) were identified, with a median age of 69 (range 21–96) years. The most common location of the cancer was the sigmoid colon (32</w:instrText>
      </w:r>
      <w:r w:rsidRPr="00903DE3">
        <w:rPr>
          <w:rFonts w:ascii="Cambria Math" w:hAnsi="Cambria Math" w:cs="Cambria Math"/>
          <w:sz w:val="28"/>
          <w:szCs w:val="28"/>
        </w:rPr>
        <w:instrText>⋅</w:instrText>
      </w:r>
      <w:r w:rsidRPr="00903DE3">
        <w:rPr>
          <w:rFonts w:ascii="Times New Roman" w:hAnsi="Times New Roman"/>
          <w:sz w:val="28"/>
          <w:szCs w:val="28"/>
        </w:rPr>
        <w:instrText>9 per cent), followed by the caecum (26</w:instrText>
      </w:r>
      <w:r w:rsidRPr="00903DE3">
        <w:rPr>
          <w:rFonts w:ascii="Cambria Math" w:hAnsi="Cambria Math" w:cs="Cambria Math"/>
          <w:sz w:val="28"/>
          <w:szCs w:val="28"/>
        </w:rPr>
        <w:instrText>⋅</w:instrText>
      </w:r>
      <w:r w:rsidRPr="00903DE3">
        <w:rPr>
          <w:rFonts w:ascii="Times New Roman" w:hAnsi="Times New Roman"/>
          <w:sz w:val="28"/>
          <w:szCs w:val="28"/>
        </w:rPr>
        <w:instrText>7 per cent) and ascending colon (17</w:instrText>
      </w:r>
      <w:r w:rsidRPr="00903DE3">
        <w:rPr>
          <w:rFonts w:ascii="Cambria Math" w:hAnsi="Cambria Math" w:cs="Cambria Math"/>
          <w:sz w:val="28"/>
          <w:szCs w:val="28"/>
        </w:rPr>
        <w:instrText>⋅</w:instrText>
      </w:r>
      <w:r w:rsidRPr="00903DE3">
        <w:rPr>
          <w:rFonts w:ascii="Times New Roman" w:hAnsi="Times New Roman"/>
          <w:sz w:val="28"/>
          <w:szCs w:val="28"/>
        </w:rPr>
        <w:instrText>0 per cent). Operations were performed laparoscopically in 134 patients (13</w:instrText>
      </w:r>
      <w:r w:rsidRPr="00903DE3">
        <w:rPr>
          <w:rFonts w:ascii="Cambria Math" w:hAnsi="Cambria Math" w:cs="Cambria Math"/>
          <w:sz w:val="28"/>
          <w:szCs w:val="28"/>
        </w:rPr>
        <w:instrText>⋅</w:instrText>
      </w:r>
      <w:r w:rsidRPr="00903DE3">
        <w:rPr>
          <w:rFonts w:ascii="Times New Roman" w:hAnsi="Times New Roman"/>
          <w:sz w:val="28"/>
          <w:szCs w:val="28"/>
        </w:rPr>
        <w:instrText>2 per cent). Median duration of hospital stay was 7 (range 1–64, mean 8</w:instrText>
      </w:r>
      <w:r w:rsidRPr="00903DE3">
        <w:rPr>
          <w:rFonts w:ascii="Cambria Math" w:hAnsi="Cambria Math" w:cs="Cambria Math"/>
          <w:sz w:val="28"/>
          <w:szCs w:val="28"/>
        </w:rPr>
        <w:instrText>⋅</w:instrText>
      </w:r>
      <w:r w:rsidRPr="00903DE3">
        <w:rPr>
          <w:rFonts w:ascii="Times New Roman" w:hAnsi="Times New Roman"/>
          <w:sz w:val="28"/>
          <w:szCs w:val="28"/>
        </w:rPr>
        <w:instrText>2) days. Overall morbidity and mortality rates were 13</w:instrText>
      </w:r>
      <w:r w:rsidRPr="00903DE3">
        <w:rPr>
          <w:rFonts w:ascii="Cambria Math" w:hAnsi="Cambria Math" w:cs="Cambria Math"/>
          <w:sz w:val="28"/>
          <w:szCs w:val="28"/>
        </w:rPr>
        <w:instrText>⋅</w:instrText>
      </w:r>
      <w:r w:rsidRPr="00903DE3">
        <w:rPr>
          <w:rFonts w:ascii="Times New Roman" w:hAnsi="Times New Roman"/>
          <w:sz w:val="28"/>
          <w:szCs w:val="28"/>
        </w:rPr>
        <w:instrText>5 and 2</w:instrText>
      </w:r>
      <w:r w:rsidRPr="00903DE3">
        <w:rPr>
          <w:rFonts w:ascii="Cambria Math" w:hAnsi="Cambria Math" w:cs="Cambria Math"/>
          <w:sz w:val="28"/>
          <w:szCs w:val="28"/>
        </w:rPr>
        <w:instrText>⋅</w:instrText>
      </w:r>
      <w:r w:rsidRPr="00903DE3">
        <w:rPr>
          <w:rFonts w:ascii="Times New Roman" w:hAnsi="Times New Roman"/>
          <w:sz w:val="28"/>
          <w:szCs w:val="28"/>
        </w:rPr>
        <w:instrText>2 per cent respectively; there were 20 anastomotic leaks (2</w:instrText>
      </w:r>
      <w:r w:rsidRPr="00903DE3">
        <w:rPr>
          <w:rFonts w:ascii="Cambria Math" w:hAnsi="Cambria Math" w:cs="Cambria Math"/>
          <w:sz w:val="28"/>
          <w:szCs w:val="28"/>
        </w:rPr>
        <w:instrText>⋅</w:instrText>
      </w:r>
      <w:r w:rsidRPr="00903DE3">
        <w:rPr>
          <w:rFonts w:ascii="Times New Roman" w:hAnsi="Times New Roman"/>
          <w:sz w:val="28"/>
          <w:szCs w:val="28"/>
        </w:rPr>
        <w:instrText>0 per cent). Some 282 patients (27</w:instrText>
      </w:r>
      <w:r w:rsidRPr="00903DE3">
        <w:rPr>
          <w:rFonts w:ascii="Cambria Math" w:hAnsi="Cambria Math" w:cs="Cambria Math"/>
          <w:sz w:val="28"/>
          <w:szCs w:val="28"/>
        </w:rPr>
        <w:instrText>⋅</w:instrText>
      </w:r>
      <w:r w:rsidRPr="00903DE3">
        <w:rPr>
          <w:rFonts w:ascii="Times New Roman" w:hAnsi="Times New Roman"/>
          <w:sz w:val="28"/>
          <w:szCs w:val="28"/>
        </w:rPr>
        <w:instrText>8 per cent) had stage I, 386 (38</w:instrText>
      </w:r>
      <w:r w:rsidRPr="00903DE3">
        <w:rPr>
          <w:rFonts w:ascii="Cambria Math" w:hAnsi="Cambria Math" w:cs="Cambria Math"/>
          <w:sz w:val="28"/>
          <w:szCs w:val="28"/>
        </w:rPr>
        <w:instrText>⋅</w:instrText>
      </w:r>
      <w:r w:rsidRPr="00903DE3">
        <w:rPr>
          <w:rFonts w:ascii="Times New Roman" w:hAnsi="Times New Roman"/>
          <w:sz w:val="28"/>
          <w:szCs w:val="28"/>
        </w:rPr>
        <w:instrText>1 per cent) stage II and 345 (34</w:instrText>
      </w:r>
      <w:r w:rsidRPr="00903DE3">
        <w:rPr>
          <w:rFonts w:ascii="Cambria Math" w:hAnsi="Cambria Math" w:cs="Cambria Math"/>
          <w:sz w:val="28"/>
          <w:szCs w:val="28"/>
        </w:rPr>
        <w:instrText>⋅</w:instrText>
      </w:r>
      <w:r w:rsidRPr="00903DE3">
        <w:rPr>
          <w:rFonts w:ascii="Times New Roman" w:hAnsi="Times New Roman"/>
          <w:sz w:val="28"/>
          <w:szCs w:val="28"/>
        </w:rPr>
        <w:instrText>1 per cent) stage III disease. Median lymph node yield was 28</w:instrText>
      </w:r>
      <w:r w:rsidRPr="00903DE3">
        <w:rPr>
          <w:rFonts w:ascii="Cambria Math" w:hAnsi="Cambria Math" w:cs="Cambria Math"/>
          <w:sz w:val="28"/>
          <w:szCs w:val="28"/>
        </w:rPr>
        <w:instrText>⋅</w:instrText>
      </w:r>
      <w:r w:rsidRPr="00903DE3">
        <w:rPr>
          <w:rFonts w:ascii="Times New Roman" w:hAnsi="Times New Roman"/>
          <w:sz w:val="28"/>
          <w:szCs w:val="28"/>
        </w:rPr>
        <w:instrText>3 (range 0–241, mean 28</w:instrText>
      </w:r>
      <w:r w:rsidRPr="00903DE3">
        <w:rPr>
          <w:rFonts w:ascii="Cambria Math" w:hAnsi="Cambria Math" w:cs="Cambria Math"/>
          <w:sz w:val="28"/>
          <w:szCs w:val="28"/>
        </w:rPr>
        <w:instrText>⋅</w:instrText>
      </w:r>
      <w:r w:rsidRPr="00903DE3">
        <w:rPr>
          <w:rFonts w:ascii="Times New Roman" w:hAnsi="Times New Roman"/>
          <w:sz w:val="28"/>
          <w:szCs w:val="28"/>
        </w:rPr>
        <w:instrText>3), and 12 or more nodes were examined in 88</w:instrText>
      </w:r>
      <w:r w:rsidRPr="00903DE3">
        <w:rPr>
          <w:rFonts w:ascii="Cambria Math" w:hAnsi="Cambria Math" w:cs="Cambria Math"/>
          <w:sz w:val="28"/>
          <w:szCs w:val="28"/>
        </w:rPr>
        <w:instrText>⋅</w:instrText>
      </w:r>
      <w:r w:rsidRPr="00903DE3">
        <w:rPr>
          <w:rFonts w:ascii="Times New Roman" w:hAnsi="Times New Roman"/>
          <w:sz w:val="28"/>
          <w:szCs w:val="28"/>
        </w:rPr>
        <w:instrText>1 per cent of patients. Adjuvant chemotherapy was administered to 277 patients (80</w:instrText>
      </w:r>
      <w:r w:rsidRPr="00903DE3">
        <w:rPr>
          <w:rFonts w:ascii="Cambria Math" w:hAnsi="Cambria Math" w:cs="Cambria Math"/>
          <w:sz w:val="28"/>
          <w:szCs w:val="28"/>
        </w:rPr>
        <w:instrText>⋅</w:instrText>
      </w:r>
      <w:r w:rsidRPr="00903DE3">
        <w:rPr>
          <w:rFonts w:ascii="Times New Roman" w:hAnsi="Times New Roman"/>
          <w:sz w:val="28"/>
          <w:szCs w:val="28"/>
        </w:rPr>
        <w:instrText>3 per cent) with stage III disease. Overall local and distant recurrence rates at 5 years were 5</w:instrText>
      </w:r>
      <w:r w:rsidRPr="00903DE3">
        <w:rPr>
          <w:rFonts w:ascii="Cambria Math" w:hAnsi="Cambria Math" w:cs="Cambria Math"/>
          <w:sz w:val="28"/>
          <w:szCs w:val="28"/>
        </w:rPr>
        <w:instrText>⋅</w:instrText>
      </w:r>
      <w:r w:rsidRPr="00903DE3">
        <w:rPr>
          <w:rFonts w:ascii="Times New Roman" w:hAnsi="Times New Roman"/>
          <w:sz w:val="28"/>
          <w:szCs w:val="28"/>
        </w:rPr>
        <w:instrText>1 and 17</w:instrText>
      </w:r>
      <w:r w:rsidRPr="00903DE3">
        <w:rPr>
          <w:rFonts w:ascii="Cambria Math" w:hAnsi="Cambria Math" w:cs="Cambria Math"/>
          <w:sz w:val="28"/>
          <w:szCs w:val="28"/>
        </w:rPr>
        <w:instrText>⋅</w:instrText>
      </w:r>
      <w:r w:rsidRPr="00903DE3">
        <w:rPr>
          <w:rFonts w:ascii="Times New Roman" w:hAnsi="Times New Roman"/>
          <w:sz w:val="28"/>
          <w:szCs w:val="28"/>
        </w:rPr>
        <w:instrText>1 per cent respectively. The 5-year local recurrence rate was 2</w:instrText>
      </w:r>
      <w:r w:rsidRPr="00903DE3">
        <w:rPr>
          <w:rFonts w:ascii="Cambria Math" w:hAnsi="Cambria Math" w:cs="Cambria Math"/>
          <w:sz w:val="28"/>
          <w:szCs w:val="28"/>
        </w:rPr>
        <w:instrText>⋅</w:instrText>
      </w:r>
      <w:r w:rsidRPr="00903DE3">
        <w:rPr>
          <w:rFonts w:ascii="Times New Roman" w:hAnsi="Times New Roman"/>
          <w:sz w:val="28"/>
          <w:szCs w:val="28"/>
        </w:rPr>
        <w:instrText>2, 5</w:instrText>
      </w:r>
      <w:r w:rsidRPr="00903DE3">
        <w:rPr>
          <w:rFonts w:ascii="Cambria Math" w:hAnsi="Cambria Math" w:cs="Cambria Math"/>
          <w:sz w:val="28"/>
          <w:szCs w:val="28"/>
        </w:rPr>
        <w:instrText>⋅</w:instrText>
      </w:r>
      <w:r w:rsidRPr="00903DE3">
        <w:rPr>
          <w:rFonts w:ascii="Times New Roman" w:hAnsi="Times New Roman"/>
          <w:sz w:val="28"/>
          <w:szCs w:val="28"/>
        </w:rPr>
        <w:instrText>3 and 7</w:instrText>
      </w:r>
      <w:r w:rsidRPr="00903DE3">
        <w:rPr>
          <w:rFonts w:ascii="Cambria Math" w:hAnsi="Cambria Math" w:cs="Cambria Math"/>
          <w:sz w:val="28"/>
          <w:szCs w:val="28"/>
        </w:rPr>
        <w:instrText>⋅</w:instrText>
      </w:r>
      <w:r w:rsidRPr="00903DE3">
        <w:rPr>
          <w:rFonts w:ascii="Times New Roman" w:hAnsi="Times New Roman"/>
          <w:sz w:val="28"/>
          <w:szCs w:val="28"/>
        </w:rPr>
        <w:instrText>7 per cent for American Joint Committee on Cancer stages I, II and III respectively. Corresponding distant recurrence rates were 4</w:instrText>
      </w:r>
      <w:r w:rsidRPr="00903DE3">
        <w:rPr>
          <w:rFonts w:ascii="Cambria Math" w:hAnsi="Cambria Math" w:cs="Cambria Math"/>
          <w:sz w:val="28"/>
          <w:szCs w:val="28"/>
        </w:rPr>
        <w:instrText>⋅</w:instrText>
      </w:r>
      <w:r w:rsidRPr="00903DE3">
        <w:rPr>
          <w:rFonts w:ascii="Times New Roman" w:hAnsi="Times New Roman"/>
          <w:sz w:val="28"/>
          <w:szCs w:val="28"/>
        </w:rPr>
        <w:instrText>0, 14</w:instrText>
      </w:r>
      <w:r w:rsidRPr="00903DE3">
        <w:rPr>
          <w:rFonts w:ascii="Cambria Math" w:hAnsi="Cambria Math" w:cs="Cambria Math"/>
          <w:sz w:val="28"/>
          <w:szCs w:val="28"/>
        </w:rPr>
        <w:instrText>⋅</w:instrText>
      </w:r>
      <w:r w:rsidRPr="00903DE3">
        <w:rPr>
          <w:rFonts w:ascii="Times New Roman" w:hAnsi="Times New Roman"/>
          <w:sz w:val="28"/>
          <w:szCs w:val="28"/>
        </w:rPr>
        <w:instrText>7 and 30</w:instrText>
      </w:r>
      <w:r w:rsidRPr="00903DE3">
        <w:rPr>
          <w:rFonts w:ascii="Cambria Math" w:hAnsi="Cambria Math" w:cs="Cambria Math"/>
          <w:sz w:val="28"/>
          <w:szCs w:val="28"/>
        </w:rPr>
        <w:instrText>⋅</w:instrText>
      </w:r>
      <w:r w:rsidRPr="00903DE3">
        <w:rPr>
          <w:rFonts w:ascii="Times New Roman" w:hAnsi="Times New Roman"/>
          <w:sz w:val="28"/>
          <w:szCs w:val="28"/>
        </w:rPr>
        <w:instrText>5 per cent. The 5-year overall cancer-free age-standardized survival rate was 85</w:instrText>
      </w:r>
      <w:r w:rsidRPr="00903DE3">
        <w:rPr>
          <w:rFonts w:ascii="Cambria Math" w:hAnsi="Cambria Math" w:cs="Cambria Math"/>
          <w:sz w:val="28"/>
          <w:szCs w:val="28"/>
        </w:rPr>
        <w:instrText>⋅</w:instrText>
      </w:r>
      <w:r w:rsidRPr="00903DE3">
        <w:rPr>
          <w:rFonts w:ascii="Times New Roman" w:hAnsi="Times New Roman"/>
          <w:sz w:val="28"/>
          <w:szCs w:val="28"/>
        </w:rPr>
        <w:instrText>3 per cent. Five-year age standardized survival rates for patients with disease stages I, II and III were 97</w:instrText>
      </w:r>
      <w:r w:rsidRPr="00903DE3">
        <w:rPr>
          <w:rFonts w:ascii="Cambria Math" w:hAnsi="Cambria Math" w:cs="Cambria Math"/>
          <w:sz w:val="28"/>
          <w:szCs w:val="28"/>
        </w:rPr>
        <w:instrText>⋅</w:instrText>
      </w:r>
      <w:r w:rsidRPr="00903DE3">
        <w:rPr>
          <w:rFonts w:ascii="Times New Roman" w:hAnsi="Times New Roman"/>
          <w:sz w:val="28"/>
          <w:szCs w:val="28"/>
        </w:rPr>
        <w:instrText>7, 90</w:instrText>
      </w:r>
      <w:r w:rsidRPr="00903DE3">
        <w:rPr>
          <w:rFonts w:ascii="Cambria Math" w:hAnsi="Cambria Math" w:cs="Cambria Math"/>
          <w:sz w:val="28"/>
          <w:szCs w:val="28"/>
        </w:rPr>
        <w:instrText>⋅</w:instrText>
      </w:r>
      <w:r w:rsidRPr="00903DE3">
        <w:rPr>
          <w:rFonts w:ascii="Times New Roman" w:hAnsi="Times New Roman"/>
          <w:sz w:val="28"/>
          <w:szCs w:val="28"/>
        </w:rPr>
        <w:instrText>8 and 69</w:instrText>
      </w:r>
      <w:r w:rsidRPr="00903DE3">
        <w:rPr>
          <w:rFonts w:ascii="Cambria Math" w:hAnsi="Cambria Math" w:cs="Cambria Math"/>
          <w:sz w:val="28"/>
          <w:szCs w:val="28"/>
        </w:rPr>
        <w:instrText>⋅</w:instrText>
      </w:r>
      <w:r w:rsidRPr="00903DE3">
        <w:rPr>
          <w:rFonts w:ascii="Times New Roman" w:hAnsi="Times New Roman"/>
          <w:sz w:val="28"/>
          <w:szCs w:val="28"/>
        </w:rPr>
        <w:instrText xml:space="preserve">8 per cent respectively.\nConclusion: These data define modern results of surgery for colonic cancer with conservative use of chemotherapy.","container-title":"British Journal of Surgery","DOI":"10.1002/bjs.9805","ISSN":"00071323","issue":"7","journalAbbreviation":"Br J Surg","language":"en","page":"847-852","source":"DOI.org (Crossref)","title":"Primacy of surgery for colorectal cancer","URL":"http://doi.wiley.com/10.1002/bjs.9805","volume":"102","author":[{"family":"Liang","given":"J."},{"family":"Fazio","given":"V."},{"family":"Lavery","given":"I."},{"family":"Remzi","given":"F."},{"family":"Hull","given":"T."},{"family":"Strong","given":"S."},{"family":"Church","given":"J."}],"accessed":{"date-parts":[["2021",1,9]]},"issued":{"date-parts":[["2015",6]]}}},{"id":52,"uris":["http://zotero.org/users/7388323/items/YGZTTWBL"],"uri":["http://zotero.org/users/7388323/items/YGZTTWBL"],"itemData":{"id":52,"type":"article-journal","abstract":"Background. Perioperative treatment of patients with colorectal cancer according to the Enhanced Recovery After Surgery (ERAS) protocol has proven to reduce complications and duration of stay. However, strict adherence remains a challenge and the beneﬁts may decrease with lower adherence. In this study, we report on 8 years of adherence to the ERAS protocol and its effect on postoperative outcome in patients with colon cancer.\nMethods. In 2006, the ERAS protocol was introduced for treatment of colon cancer patients in the Medical Center Alkmaar, a large teaching hospital. Patients scheduled for elective colon cancer resection were included in this study. Adherence to ERAS items was monitored and along with clinical data prospectively gathered in a database. In 2011, several measures to improve adherence were implemented.\nResults. In total, 816 patients were included. Mean adherence rate was 73% in 2006 and 2007, 66% in 2008 and 2009, 63% in 2010 and 2011, and 82% in 2012 and 2013. There was a shorter duration of stay in the years with high adherence (5.7 days) compared with the years with low adherence (7.3 days; P &lt; .001). The ERAS items that were the strongest predictors for a shorter duration of stay were no nasogastric tube, early mobilization, early oral nutrition, early removal of epidural, early removal of catheter, and nonopioid oral analgesia.\nConclusion. It is possible to improve adherence to the ERAS protocol and related outcomes with speciﬁc measures. Adherence to the ERAS protocol was related inversely to duration of stay. Only postoperative items of the ERAS protocol were predictive for a shorter duration of stay. Keeping adherence optimal remains an ongoing challenge that requires repeated training and dedicated personnel. (Surgery 2015;j:j-j.)","container-title":"Surgery","DOI":"10.1016/j.surg.2015.01.016","ISSN":"00396060","issue":"6","journalAbbreviation":"Surgery","language":"en","page":"1130-1136","source":"DOI.org (Crossref)","title":"Eight years of experience with Enhanced Recovery After Surgery in patients with colon cancer: Impact of measures to improve adherence","title-short":"Eight years of experience with Enhanced Recovery After Surgery in patients with colon cancer","URL":"https://linkinghub.elsevier.com/retrieve/pii/S0039606015000628","volume":"157","author":[{"family":"Bakker","given":"Nathalie"},{"family":"Cakir","given":"Hamit"},{"family":"Doodeman","given":"H.J."},{"family":"Houdijk","given":"A.P.J."}],"accessed":{"date-parts":[["2021",1,9]]},"issued":{"date-parts":[["2015",6]]}}},{"id":51,"uris":["http://zotero.org/users/7388323/items/2398EYZF"],"uri":["http://zotero.org/users/7388323/items/2398EYZF"],"itemData":{"id":51,"type":"article-journal","abstract":"Aim The study included investigation of factors determining suboptimal adjuvant chemotherapy of patients diagnosed with Stage III colon cancer.","container-title":"Colorectal Disease","DOI":"10.1111/codi.12288","ISSN":"14628910","issue":"10","journalAbbreviation":"Colorectal Dis","language":"en","page":"e582-e591","source":"DOI.org (Crossref)","title":"Complicated postoperative recovery increases omission, delay and discontinuation of adjuvant chemotherapy in patients with Stage III colon cancer","URL":"http://doi.wiley.com/10.1111/codi.12288","volume":"15","author":[{"family":"Geest","given":"L. G. M.","non-dropping-particle":"van der"},{"family":"Portielje","given":"J. E. A."},{"family":"Wouters","given":"M. W. J. M."},{"family":"Weijl","given":"N. I."},{"family":"Tanis","given":"B. C."},{"family":"Tollenaar","given":"R. A. E. M."},{"family":"Struikmans","given":"H."},{"family":"Nortier","given":"J. W. R."},{"literal":"all nine hospitals in the Leiden region of the Comprehensive Cancer Centre The Netherlands (CCCNL)"}],"accessed":{"date-parts":[["2021",1,9]]},"issued":{"date-parts":[["2013",10]]}}}],"schema":"https://github.com/citation-style-language/schema/raw/master/csl-citation.json"}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[7, 8, 9, 10]</w:t>
      </w:r>
      <w:r w:rsidRPr="00903DE3">
        <w:rPr>
          <w:rFonts w:ascii="Times New Roman" w:hAnsi="Times New Roman"/>
          <w:sz w:val="28"/>
          <w:szCs w:val="28"/>
        </w:rPr>
        <w:fldChar w:fldCharType="end"/>
      </w:r>
      <w:r w:rsidRPr="00903DE3">
        <w:rPr>
          <w:rFonts w:ascii="Times New Roman" w:hAnsi="Times New Roman"/>
          <w:sz w:val="28"/>
          <w:szCs w:val="28"/>
        </w:rPr>
        <w:t>.</w:t>
      </w:r>
    </w:p>
    <w:p w14:paraId="6BA5E6DC"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Опубликованы результаты исследований, где говорится о влияниях на долгосрочный прогноз, возникнувших осложнений после хирургического лечения рака ободочной кишки согласно классификации </w:t>
      </w:r>
      <w:proofErr w:type="spellStart"/>
      <w:r w:rsidRPr="00903DE3">
        <w:rPr>
          <w:rFonts w:ascii="Times New Roman" w:hAnsi="Times New Roman"/>
          <w:sz w:val="28"/>
          <w:szCs w:val="28"/>
        </w:rPr>
        <w:t>Clavien-Dindo</w:t>
      </w:r>
      <w:proofErr w:type="spellEnd"/>
      <w:r w:rsidRPr="00903DE3">
        <w:rPr>
          <w:rFonts w:ascii="Times New Roman" w:hAnsi="Times New Roman"/>
          <w:sz w:val="28"/>
          <w:szCs w:val="28"/>
        </w:rPr>
        <w:t xml:space="preserve">. Классификация </w:t>
      </w:r>
      <w:proofErr w:type="spellStart"/>
      <w:r w:rsidRPr="00903DE3">
        <w:rPr>
          <w:rFonts w:ascii="Times New Roman" w:hAnsi="Times New Roman"/>
          <w:sz w:val="28"/>
          <w:szCs w:val="28"/>
        </w:rPr>
        <w:t>Clavien-Dindo</w:t>
      </w:r>
      <w:proofErr w:type="spellEnd"/>
      <w:r w:rsidRPr="00903DE3">
        <w:rPr>
          <w:rFonts w:ascii="Times New Roman" w:hAnsi="Times New Roman"/>
          <w:sz w:val="28"/>
          <w:szCs w:val="28"/>
        </w:rPr>
        <w:t xml:space="preserve"> (Таблица 1) основана на необходимости хирургической, медикаментозной, эндоскопической или радиологической коррекции осложнений после хирургического лечения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13seqjh6l7","properties":{"formattedCitation":"[66]","plainCitation":"[66]","noteIndex":0},"citationItems":[{"id":93,"uris":["http://zotero.org/users/7388323/items/SF2M5YZ8"],"uri":["http://zotero.org/users/7388323/items/SF2M5YZ8"],"itemData":{"id":93,"type":"article-journal","abstract":"Objective: Although quality assessment is gaining increasing attention, there is still no consensus on how to deﬁne and grade postoperative complications. This shortcoming hampers comparison of outcome data among different centers and therapies and over time. Patients and Methods: A classiﬁcation of complications published by one of the authors in 1992 was critically re-evaluated and modiﬁed to increase its accuracy and its acceptability in the surgical community. Modiﬁcations mainly focused on the manner of reporting life-threatening and permanently disabling complications. The new grading system still mostly relies on the therapy used to treat the complication. The classiﬁcation was tested in a cohort of 6336 patients who underwent elective general surgery at our institution. The reproducibility and personal judgment of the classiﬁcation were evaluated through an international survey with 2 questionnaires sent to 10 surgical centers worldwide.\nResults: The new ranking system signiﬁcantly correlated with complexity of surgery (P Ͻ 0.0001) as well as with the length of the hospital stay (P Ͻ 0.0001). A total of 144 surgeons from 10 different centers around the world and at different levels of training returned the survey. Ninety percent of the case presentations were correctly graded. The classiﬁcation was considered to be simple (92% of the respondents), reproducible (91%), logical (92%), useful (90%), and comprehensive (89%). The answers of both questionnaires were not dependent on the origin of the reply and the level of training of the surgeons.\nConclusions: The new complication classiﬁcation appears reliable and may represent a compelling tool for quality assessment in surgery in all parts of the world.","container-title":"Annals of Surgery","DOI":"10.1097/01.sla.0000133083.54934.ae","ISSN":"0003-4932","issue":"2","journalAbbreviation":"Annals of Surgery","language":"en","page":"205-213","source":"DOI.org (Crossref)","title":"Classification of Surgical Complications: A New Proposal With Evaluation in a Cohort of 6336 Patients and Results of a Survey","title-short":"Classification of Surgical Complications","URL":"http://journals.lww.com/00000658-200408000-00003","volume":"240","author":[{"family":"Dindo","given":"Daniel"},{"family":"Demartines","given":"Nicolas"},{"family":"Clavien","given":"Pierre-Alain"}],"accessed":{"date-parts":[["2020",8,5]]},"issued":{"date-parts":[["2004",8]]}}}],"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[72]</w:t>
      </w:r>
      <w:r w:rsidRPr="00903DE3">
        <w:rPr>
          <w:rFonts w:ascii="Times New Roman" w:hAnsi="Times New Roman"/>
          <w:sz w:val="28"/>
          <w:szCs w:val="28"/>
        </w:rPr>
        <w:fldChar w:fldCharType="end"/>
      </w:r>
      <w:r w:rsidRPr="00903DE3">
        <w:rPr>
          <w:rFonts w:ascii="Times New Roman" w:hAnsi="Times New Roman"/>
          <w:sz w:val="28"/>
          <w:szCs w:val="28"/>
        </w:rPr>
        <w:t xml:space="preserve">. Таким образом, </w:t>
      </w:r>
      <w:proofErr w:type="spellStart"/>
      <w:r w:rsidRPr="00903DE3">
        <w:rPr>
          <w:rFonts w:ascii="Times New Roman" w:hAnsi="Times New Roman"/>
          <w:sz w:val="28"/>
          <w:szCs w:val="28"/>
        </w:rPr>
        <w:t>Cienfuegos</w:t>
      </w:r>
      <w:proofErr w:type="spellEnd"/>
      <w:r w:rsidRPr="00903DE3">
        <w:rPr>
          <w:rFonts w:ascii="Times New Roman" w:hAnsi="Times New Roman"/>
          <w:sz w:val="28"/>
          <w:szCs w:val="28"/>
        </w:rPr>
        <w:t xml:space="preserve"> J.A. и соавт. сообщают, что развитие осложнений III по классификации </w:t>
      </w:r>
      <w:proofErr w:type="spellStart"/>
      <w:r w:rsidRPr="00903DE3">
        <w:rPr>
          <w:rFonts w:ascii="Times New Roman" w:hAnsi="Times New Roman"/>
          <w:sz w:val="28"/>
          <w:szCs w:val="28"/>
        </w:rPr>
        <w:t>Clavien-Dindo</w:t>
      </w:r>
      <w:proofErr w:type="spellEnd"/>
      <w:r w:rsidRPr="00903DE3">
        <w:rPr>
          <w:rFonts w:ascii="Times New Roman" w:hAnsi="Times New Roman"/>
          <w:sz w:val="28"/>
          <w:szCs w:val="28"/>
        </w:rPr>
        <w:t xml:space="preserve">, требующих хирургического или эндоскопического вмешательства, влияют на общую и безрецидивную выживаемость больных с раком ободочной кишки III стадии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22bffgr23j","properties":{"formattedCitation":"[67]","plainCitation":"[67]","noteIndex":0},"citationItems":[{"id":88,"uris":["http://zotero.org/users/7388323/items/5XEDWUQP"],"uri":["http://zotero.org/users/7388323/items/5XEDWUQP"],"itemData":{"id":88,"type":"article-journal","container-title":"International Journal of Surgery","DOI":"10.1016/j.ijsu.2018.03.001","ISSN":"17439191","journalAbbreviation":"International Journal of Surgery","language":"en","page":"303-308","source":"DOI.org (Crossref)","title":"The impact of major postoperative complications on long-term outcomes following curative resection of colon cancer","URL":"https://linkinghub.elsevier.com/retrieve/pii/S1743919118305880","volume":"52","author":[{"family":"Cienfuegos","given":"Javier A."},{"family":"Baixauli","given":"Jorge"},{"family":"Beorlegui","given":"Carmen"},{"family":"Ortega","given":"Patricia Martínez"},{"family":"Granero","given":"Lucía"},{"family":"Zozaya","given":"Gabriel"},{"family":"Hernández Lizoáin","given":"José Luis"}],"accessed":{"date-parts":[["2020",8,5]]},"issued":{"date-parts":[["2018",4]]}}}],"schema":"https://github.com/citation-style-language/schema/raw/master/csl-citation.json"}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w:t>
      </w:r>
      <w:r w:rsidRPr="00903DE3">
        <w:rPr>
          <w:rFonts w:ascii="Times New Roman" w:hAnsi="Times New Roman"/>
          <w:sz w:val="28"/>
          <w:szCs w:val="28"/>
        </w:rPr>
        <w:fldChar w:fldCharType="end"/>
      </w:r>
      <w:r w:rsidRPr="00903DE3">
        <w:rPr>
          <w:rFonts w:ascii="Times New Roman" w:hAnsi="Times New Roman"/>
          <w:sz w:val="28"/>
          <w:szCs w:val="28"/>
        </w:rPr>
        <w:t>73</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13seqjh6l7","properties":{"formattedCitation":"[66]","plainCitation":"[66]","noteIndex":0},"citationItems":[{"id":93,"uris":["http://zotero.org/users/7388323/items/SF2M5YZ8"],"uri":["http://zotero.org/users/7388323/items/SF2M5YZ8"],"itemData":{"id":93,"type":"article-journal","abstract":"Objective: Although quality assessment is gaining increasing attention, there is still no consensus on how to deﬁne and grade postoperative complications. This shortcoming hampers comparison of outcome data among different centers and therapies and over time. Patients and Methods: A classiﬁcation of complications published by one of the authors in 1992 was critically re-evaluated and modiﬁed to increase its accuracy and its acceptability in the surgical community. Modiﬁcations mainly focused on the manner of reporting life-threatening and permanently disabling complications. The new grading system still mostly relies on the therapy used to treat the complication. The classiﬁcation was tested in a cohort of 6336 patients who underwent elective general surgery at our institution. The reproducibility and personal judgment of the classiﬁcation were evaluated through an international survey with 2 questionnaires sent to 10 surgical centers worldwide.\nResults: The new ranking system signiﬁcantly correlated with complexity of surgery (P Ͻ 0.0001) as well as with the length of the hospital stay (P Ͻ 0.0001). A total of 144 surgeons from 10 different centers around the world and at different levels of training returned the survey. Ninety percent of the case presentations were correctly graded. The classiﬁcation was considered to be simple (92% of the respondents), reproducible (91%), logical (92%), useful (90%), and comprehensive (89%). The answers of both questionnaires were not dependent on the origin of the reply and the level of training of the surgeons.\nConclusions: The new complication classiﬁcation appears reliable and may represent a compelling tool for quality assessment in surgery in all parts of the world.","container-title":"Annals of Surgery","DOI":"10.1097/01.sla.0000133083.54934.ae","ISSN":"0003-4932","issue":"2","journalAbbreviation":"Annals of Surgery","language":"en","page":"205-213","source":"DOI.org (Crossref)","title":"Classification of Surgical Complications: A New Proposal With Evaluation in a Cohort of 6336 Patients and Results of a Survey","title-short":"Classification of Surgical Complications","URL":"http://journals.lww.com/00000658-200408000-00003","volume":"240","author":[{"family":"Dindo","given":"Daniel"},{"family":"Demartines","given":"Nicolas"},{"family":"Clavien","given":"Pierre-Alain"}],"accessed":{"date-parts":[["2020",8,5]]},"issued":{"date-parts":[["2004",8]]}}}],"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w:t>
      </w:r>
      <w:r w:rsidRPr="00903DE3">
        <w:rPr>
          <w:rFonts w:ascii="Times New Roman" w:hAnsi="Times New Roman"/>
          <w:sz w:val="28"/>
          <w:szCs w:val="28"/>
        </w:rPr>
        <w:fldChar w:fldCharType="end"/>
      </w:r>
      <w:r w:rsidRPr="00903DE3">
        <w:rPr>
          <w:rFonts w:ascii="Times New Roman" w:hAnsi="Times New Roman"/>
          <w:sz w:val="28"/>
          <w:szCs w:val="28"/>
        </w:rPr>
        <w:t>.</w:t>
      </w:r>
    </w:p>
    <w:p w14:paraId="569689CB" w14:textId="77777777" w:rsidR="00403127" w:rsidRPr="00903DE3" w:rsidRDefault="00403127" w:rsidP="00403127">
      <w:pPr>
        <w:spacing w:after="0" w:line="240" w:lineRule="auto"/>
        <w:ind w:firstLine="708"/>
        <w:jc w:val="both"/>
        <w:rPr>
          <w:rFonts w:ascii="Times New Roman" w:hAnsi="Times New Roman"/>
          <w:sz w:val="28"/>
          <w:szCs w:val="28"/>
        </w:rPr>
      </w:pPr>
    </w:p>
    <w:p w14:paraId="683124F5" w14:textId="77777777" w:rsidR="00403127" w:rsidRPr="00903DE3" w:rsidRDefault="00403127" w:rsidP="00403127">
      <w:pPr>
        <w:spacing w:after="0" w:line="240" w:lineRule="auto"/>
        <w:rPr>
          <w:rFonts w:ascii="Times New Roman" w:hAnsi="Times New Roman"/>
          <w:sz w:val="28"/>
          <w:szCs w:val="28"/>
        </w:rPr>
      </w:pPr>
      <w:r w:rsidRPr="00903DE3">
        <w:rPr>
          <w:rFonts w:ascii="Times New Roman" w:hAnsi="Times New Roman"/>
          <w:sz w:val="28"/>
          <w:szCs w:val="28"/>
        </w:rPr>
        <w:t xml:space="preserve">Таблица 1. Классификация хирургических осложнений </w:t>
      </w:r>
      <w:proofErr w:type="spellStart"/>
      <w:r w:rsidRPr="00903DE3">
        <w:rPr>
          <w:rFonts w:ascii="Times New Roman" w:hAnsi="Times New Roman"/>
          <w:sz w:val="28"/>
          <w:szCs w:val="28"/>
        </w:rPr>
        <w:t>Clavien-Dindo</w:t>
      </w:r>
      <w:proofErr w:type="spellEnd"/>
    </w:p>
    <w:p w14:paraId="4063C0A4" w14:textId="77777777" w:rsidR="00403127" w:rsidRPr="00903DE3" w:rsidRDefault="00403127" w:rsidP="00403127">
      <w:pPr>
        <w:spacing w:after="0" w:line="240" w:lineRule="auto"/>
        <w:ind w:firstLine="708"/>
        <w:jc w:val="both"/>
        <w:rPr>
          <w:rFonts w:ascii="Times New Roman" w:hAnsi="Times New Roman"/>
          <w:sz w:val="28"/>
          <w:szCs w:val="28"/>
        </w:rPr>
      </w:pPr>
    </w:p>
    <w:tbl>
      <w:tblPr>
        <w:tblStyle w:val="af1"/>
        <w:tblW w:w="0" w:type="auto"/>
        <w:tblLook w:val="04A0" w:firstRow="1" w:lastRow="0" w:firstColumn="1" w:lastColumn="0" w:noHBand="0" w:noVBand="1"/>
      </w:tblPr>
      <w:tblGrid>
        <w:gridCol w:w="988"/>
        <w:gridCol w:w="8640"/>
      </w:tblGrid>
      <w:tr w:rsidR="00403127" w:rsidRPr="00903DE3" w14:paraId="79F7E7E7" w14:textId="77777777" w:rsidTr="00094F6F">
        <w:tc>
          <w:tcPr>
            <w:tcW w:w="9628" w:type="dxa"/>
            <w:gridSpan w:val="2"/>
          </w:tcPr>
          <w:p w14:paraId="4DE23429"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Степень</w:t>
            </w:r>
          </w:p>
        </w:tc>
      </w:tr>
      <w:tr w:rsidR="00403127" w:rsidRPr="00903DE3" w14:paraId="30FF45E0" w14:textId="77777777" w:rsidTr="00094F6F">
        <w:tc>
          <w:tcPr>
            <w:tcW w:w="988" w:type="dxa"/>
          </w:tcPr>
          <w:p w14:paraId="36886F0C"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1</w:t>
            </w:r>
          </w:p>
        </w:tc>
        <w:tc>
          <w:tcPr>
            <w:tcW w:w="8640" w:type="dxa"/>
          </w:tcPr>
          <w:p w14:paraId="2B18E904"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Любое отклонение от нормального течения послеоперационного периода без необходимости фармакологического лечения или хирургических, эндоскопических и рентгенологических вмешательств</w:t>
            </w:r>
          </w:p>
          <w:p w14:paraId="75B00721"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Приемлемыми терапевтическими схемами являются: противорвотные, жаропонижающие, анальгетики, диуретики и электролиты, а также физиотерапия</w:t>
            </w:r>
          </w:p>
          <w:p w14:paraId="7D0E8488"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Эта категория также включает раневые инфекции, обнаруженные у постели больного</w:t>
            </w:r>
          </w:p>
        </w:tc>
      </w:tr>
      <w:tr w:rsidR="00403127" w:rsidRPr="00903DE3" w14:paraId="5F4C66F5" w14:textId="77777777" w:rsidTr="00094F6F">
        <w:tc>
          <w:tcPr>
            <w:tcW w:w="988" w:type="dxa"/>
          </w:tcPr>
          <w:p w14:paraId="4C286E94"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2</w:t>
            </w:r>
          </w:p>
        </w:tc>
        <w:tc>
          <w:tcPr>
            <w:tcW w:w="8640" w:type="dxa"/>
          </w:tcPr>
          <w:p w14:paraId="4626F331"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Требуется фармакологическое лечение препаратами, отличными от таковых, разрешенных для осложнений I степени. Также включены переливания крови, антибиотики и общее парентеральное питание</w:t>
            </w:r>
          </w:p>
        </w:tc>
      </w:tr>
      <w:tr w:rsidR="00403127" w:rsidRPr="00903DE3" w14:paraId="05BDC6F4" w14:textId="77777777" w:rsidTr="00094F6F">
        <w:tc>
          <w:tcPr>
            <w:tcW w:w="988" w:type="dxa"/>
          </w:tcPr>
          <w:p w14:paraId="11169BC6"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3</w:t>
            </w:r>
          </w:p>
        </w:tc>
        <w:tc>
          <w:tcPr>
            <w:tcW w:w="8640" w:type="dxa"/>
          </w:tcPr>
          <w:p w14:paraId="2B62BB72"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Требующие хирургического, эндоскопического или рентгенологического вмешательства</w:t>
            </w:r>
          </w:p>
        </w:tc>
      </w:tr>
      <w:tr w:rsidR="00403127" w:rsidRPr="00903DE3" w14:paraId="0262EBD0" w14:textId="77777777" w:rsidTr="00094F6F">
        <w:tc>
          <w:tcPr>
            <w:tcW w:w="988" w:type="dxa"/>
          </w:tcPr>
          <w:p w14:paraId="5C863D81"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3a</w:t>
            </w:r>
          </w:p>
        </w:tc>
        <w:tc>
          <w:tcPr>
            <w:tcW w:w="8640" w:type="dxa"/>
          </w:tcPr>
          <w:p w14:paraId="24F266EA"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Вмешательство под региональной/местной анестезией</w:t>
            </w:r>
          </w:p>
        </w:tc>
      </w:tr>
      <w:tr w:rsidR="00403127" w:rsidRPr="00903DE3" w14:paraId="3D82338F" w14:textId="77777777" w:rsidTr="00094F6F">
        <w:tc>
          <w:tcPr>
            <w:tcW w:w="988" w:type="dxa"/>
          </w:tcPr>
          <w:p w14:paraId="27FD4502"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3b</w:t>
            </w:r>
          </w:p>
        </w:tc>
        <w:tc>
          <w:tcPr>
            <w:tcW w:w="8640" w:type="dxa"/>
          </w:tcPr>
          <w:p w14:paraId="3A4D2B48"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Вмешательство под общим наркозом</w:t>
            </w:r>
          </w:p>
        </w:tc>
      </w:tr>
      <w:tr w:rsidR="00403127" w:rsidRPr="00903DE3" w14:paraId="52D438CF" w14:textId="77777777" w:rsidTr="00094F6F">
        <w:tc>
          <w:tcPr>
            <w:tcW w:w="988" w:type="dxa"/>
          </w:tcPr>
          <w:p w14:paraId="4700DCF3"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4</w:t>
            </w:r>
          </w:p>
        </w:tc>
        <w:tc>
          <w:tcPr>
            <w:tcW w:w="8640" w:type="dxa"/>
          </w:tcPr>
          <w:p w14:paraId="0729349E"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Опасное для жизни осложнение, требующее интенсивной терапии/ управления отделением интенсивной терапии</w:t>
            </w:r>
          </w:p>
        </w:tc>
      </w:tr>
      <w:tr w:rsidR="00403127" w:rsidRPr="00903DE3" w14:paraId="7BC32354" w14:textId="77777777" w:rsidTr="00094F6F">
        <w:tc>
          <w:tcPr>
            <w:tcW w:w="988" w:type="dxa"/>
          </w:tcPr>
          <w:p w14:paraId="32944BDF"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4а</w:t>
            </w:r>
          </w:p>
        </w:tc>
        <w:tc>
          <w:tcPr>
            <w:tcW w:w="8640" w:type="dxa"/>
          </w:tcPr>
          <w:p w14:paraId="7E2F6859" w14:textId="77777777" w:rsidR="00403127" w:rsidRPr="00903DE3" w:rsidRDefault="00403127" w:rsidP="00094F6F">
            <w:pPr>
              <w:spacing w:after="0" w:line="240" w:lineRule="auto"/>
              <w:rPr>
                <w:rFonts w:ascii="Times New Roman" w:hAnsi="Times New Roman"/>
                <w:sz w:val="24"/>
                <w:szCs w:val="24"/>
              </w:rPr>
            </w:pPr>
            <w:proofErr w:type="spellStart"/>
            <w:r w:rsidRPr="00903DE3">
              <w:rPr>
                <w:rFonts w:ascii="Times New Roman" w:hAnsi="Times New Roman"/>
                <w:sz w:val="24"/>
                <w:szCs w:val="24"/>
              </w:rPr>
              <w:t>Одноорганная</w:t>
            </w:r>
            <w:proofErr w:type="spellEnd"/>
            <w:r w:rsidRPr="00903DE3">
              <w:rPr>
                <w:rFonts w:ascii="Times New Roman" w:hAnsi="Times New Roman"/>
                <w:sz w:val="24"/>
                <w:szCs w:val="24"/>
              </w:rPr>
              <w:t xml:space="preserve"> дисфункция</w:t>
            </w:r>
          </w:p>
        </w:tc>
      </w:tr>
      <w:tr w:rsidR="00403127" w:rsidRPr="00903DE3" w14:paraId="09203305" w14:textId="77777777" w:rsidTr="00094F6F">
        <w:tc>
          <w:tcPr>
            <w:tcW w:w="988" w:type="dxa"/>
          </w:tcPr>
          <w:p w14:paraId="082F373E"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4b</w:t>
            </w:r>
          </w:p>
        </w:tc>
        <w:tc>
          <w:tcPr>
            <w:tcW w:w="8640" w:type="dxa"/>
          </w:tcPr>
          <w:p w14:paraId="16670464" w14:textId="77777777" w:rsidR="00403127" w:rsidRPr="00903DE3" w:rsidRDefault="00403127" w:rsidP="00094F6F">
            <w:pPr>
              <w:spacing w:after="0" w:line="240" w:lineRule="auto"/>
              <w:rPr>
                <w:rFonts w:ascii="Times New Roman" w:hAnsi="Times New Roman"/>
                <w:sz w:val="24"/>
                <w:szCs w:val="24"/>
              </w:rPr>
            </w:pPr>
            <w:proofErr w:type="spellStart"/>
            <w:r w:rsidRPr="00903DE3">
              <w:rPr>
                <w:rFonts w:ascii="Times New Roman" w:hAnsi="Times New Roman"/>
                <w:sz w:val="24"/>
                <w:szCs w:val="24"/>
              </w:rPr>
              <w:t>Полиорганная</w:t>
            </w:r>
            <w:proofErr w:type="spellEnd"/>
            <w:r w:rsidRPr="00903DE3">
              <w:rPr>
                <w:rFonts w:ascii="Times New Roman" w:hAnsi="Times New Roman"/>
                <w:sz w:val="24"/>
                <w:szCs w:val="24"/>
              </w:rPr>
              <w:t xml:space="preserve"> дисфункция</w:t>
            </w:r>
          </w:p>
        </w:tc>
      </w:tr>
      <w:tr w:rsidR="00403127" w:rsidRPr="00903DE3" w14:paraId="681477C8" w14:textId="77777777" w:rsidTr="00094F6F">
        <w:tc>
          <w:tcPr>
            <w:tcW w:w="988" w:type="dxa"/>
          </w:tcPr>
          <w:p w14:paraId="3351ED41"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5</w:t>
            </w:r>
          </w:p>
        </w:tc>
        <w:tc>
          <w:tcPr>
            <w:tcW w:w="8640" w:type="dxa"/>
          </w:tcPr>
          <w:p w14:paraId="6907B76B" w14:textId="77777777" w:rsidR="00403127" w:rsidRPr="00903DE3" w:rsidRDefault="00403127" w:rsidP="00094F6F">
            <w:pPr>
              <w:spacing w:after="0" w:line="240" w:lineRule="auto"/>
              <w:rPr>
                <w:rFonts w:ascii="Times New Roman" w:hAnsi="Times New Roman"/>
                <w:sz w:val="24"/>
                <w:szCs w:val="24"/>
              </w:rPr>
            </w:pPr>
            <w:r w:rsidRPr="00903DE3">
              <w:rPr>
                <w:rFonts w:ascii="Times New Roman" w:hAnsi="Times New Roman"/>
                <w:sz w:val="24"/>
                <w:szCs w:val="24"/>
              </w:rPr>
              <w:t>Смерть пациента</w:t>
            </w:r>
          </w:p>
        </w:tc>
      </w:tr>
    </w:tbl>
    <w:p w14:paraId="744433C8" w14:textId="77777777" w:rsidR="00403127" w:rsidRPr="00903DE3" w:rsidRDefault="00403127" w:rsidP="00403127">
      <w:pPr>
        <w:spacing w:after="0" w:line="240" w:lineRule="auto"/>
        <w:jc w:val="both"/>
        <w:rPr>
          <w:rFonts w:ascii="Times New Roman" w:hAnsi="Times New Roman"/>
          <w:sz w:val="28"/>
          <w:szCs w:val="28"/>
        </w:rPr>
      </w:pPr>
    </w:p>
    <w:p w14:paraId="778370B8" w14:textId="77777777" w:rsidR="00403127" w:rsidRPr="00903DE3" w:rsidRDefault="00403127" w:rsidP="00403127">
      <w:pPr>
        <w:spacing w:after="0" w:line="240" w:lineRule="auto"/>
        <w:jc w:val="both"/>
        <w:rPr>
          <w:rFonts w:ascii="Times New Roman" w:hAnsi="Times New Roman"/>
          <w:sz w:val="28"/>
          <w:szCs w:val="28"/>
        </w:rPr>
      </w:pPr>
    </w:p>
    <w:p w14:paraId="088846CC" w14:textId="5898E601"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В исследовании </w:t>
      </w:r>
      <w:proofErr w:type="spellStart"/>
      <w:r w:rsidRPr="00903DE3">
        <w:rPr>
          <w:rFonts w:ascii="Times New Roman" w:hAnsi="Times New Roman"/>
          <w:sz w:val="28"/>
          <w:szCs w:val="28"/>
        </w:rPr>
        <w:t>Furnes</w:t>
      </w:r>
      <w:proofErr w:type="spellEnd"/>
      <w:r w:rsidRPr="00903DE3">
        <w:rPr>
          <w:rFonts w:ascii="Times New Roman" w:hAnsi="Times New Roman"/>
          <w:sz w:val="28"/>
          <w:szCs w:val="28"/>
        </w:rPr>
        <w:t xml:space="preserve"> и др. факторами риска серьезных осложнений являются мужской пол, анемия и повышенный ИМТ [74]. Это согласуется с </w:t>
      </w:r>
      <w:r w:rsidRPr="00903DE3">
        <w:rPr>
          <w:rFonts w:ascii="Times New Roman" w:hAnsi="Times New Roman"/>
          <w:sz w:val="28"/>
          <w:szCs w:val="28"/>
        </w:rPr>
        <w:lastRenderedPageBreak/>
        <w:t xml:space="preserve">другими исследованиями, которые показали связь между мужским полом и повышенным риском развития серьезных осложнений, таких как </w:t>
      </w:r>
      <w:r w:rsidR="002A7AD2" w:rsidRPr="002A7AD2">
        <w:rPr>
          <w:rFonts w:ascii="Times New Roman" w:hAnsi="Times New Roman"/>
          <w:sz w:val="28"/>
          <w:szCs w:val="28"/>
        </w:rPr>
        <w:t>несостоятельность</w:t>
      </w:r>
      <w:r w:rsidRPr="002A7AD2">
        <w:rPr>
          <w:rFonts w:ascii="Times New Roman" w:hAnsi="Times New Roman"/>
          <w:sz w:val="28"/>
          <w:szCs w:val="28"/>
        </w:rPr>
        <w:t xml:space="preserve"> анастомоза</w:t>
      </w:r>
      <w:r w:rsidRPr="00903DE3">
        <w:rPr>
          <w:rFonts w:ascii="Times New Roman" w:hAnsi="Times New Roman"/>
          <w:sz w:val="28"/>
          <w:szCs w:val="28"/>
        </w:rPr>
        <w:t xml:space="preserve"> [75], предоперационная анемия, увеличение послеоперационных осложнений и смертности [76], а ожирение также привело к увеличению частоты осложнений [77]. При этом исследования показали, что послеоперационные осложнения являются независимым прогностическим фактором в отношении выживаемости [78]. Аналогичные результаты были продемонстрированы и в других исследованиях [79; 80]. Однако некоторые исследования связывают возникающие осложнения со снижением краткосрочной и долгосрочной общей выживаемости, при этом увеличение числа осложнений не оказывает существенного дополнительного влияния на выживаемость. Из десяти наиболее частых осложнений (непроходимость кишечника, </w:t>
      </w:r>
      <w:r w:rsidR="002A7AD2" w:rsidRPr="002A7AD2">
        <w:rPr>
          <w:rFonts w:ascii="Times New Roman" w:hAnsi="Times New Roman"/>
          <w:sz w:val="28"/>
          <w:szCs w:val="28"/>
        </w:rPr>
        <w:t>несостоятельность</w:t>
      </w:r>
      <w:r w:rsidR="007A4CE5" w:rsidRPr="002A7AD2">
        <w:rPr>
          <w:rFonts w:ascii="Times New Roman" w:hAnsi="Times New Roman"/>
          <w:sz w:val="28"/>
          <w:szCs w:val="28"/>
        </w:rPr>
        <w:t xml:space="preserve"> анастомоза</w:t>
      </w:r>
      <w:r w:rsidRPr="002A7AD2">
        <w:rPr>
          <w:rFonts w:ascii="Times New Roman" w:hAnsi="Times New Roman"/>
          <w:sz w:val="28"/>
          <w:szCs w:val="28"/>
        </w:rPr>
        <w:t>,</w:t>
      </w:r>
      <w:r w:rsidRPr="00903DE3">
        <w:rPr>
          <w:rFonts w:ascii="Times New Roman" w:hAnsi="Times New Roman"/>
          <w:sz w:val="28"/>
          <w:szCs w:val="28"/>
        </w:rPr>
        <w:t xml:space="preserve"> пневмония, чрезмерная потеря крови, электролитные нарушения, сердечная аритмия, бред, абсцесс, инфекция мочевыводящих путей и (абдоминальный) сепсис) </w:t>
      </w:r>
      <w:r w:rsidR="002A7AD2" w:rsidRPr="002A7AD2">
        <w:rPr>
          <w:rFonts w:ascii="Times New Roman" w:hAnsi="Times New Roman"/>
          <w:sz w:val="28"/>
          <w:szCs w:val="28"/>
        </w:rPr>
        <w:t>несостоятельность</w:t>
      </w:r>
      <w:r w:rsidRPr="002A7AD2">
        <w:rPr>
          <w:rFonts w:ascii="Times New Roman" w:hAnsi="Times New Roman"/>
          <w:sz w:val="28"/>
          <w:szCs w:val="28"/>
        </w:rPr>
        <w:t xml:space="preserve"> анастомоза, чрезмерная кровопотеря и (абдоминальный) сепсис связаны со снижением общей выживаемости в течение 1 года. </w:t>
      </w:r>
      <w:r w:rsidR="002A7AD2" w:rsidRPr="002A7AD2">
        <w:rPr>
          <w:rFonts w:ascii="Times New Roman" w:hAnsi="Times New Roman"/>
          <w:sz w:val="28"/>
          <w:szCs w:val="28"/>
        </w:rPr>
        <w:t>Несостоятельность</w:t>
      </w:r>
      <w:r w:rsidRPr="002A7AD2">
        <w:rPr>
          <w:rFonts w:ascii="Times New Roman" w:hAnsi="Times New Roman"/>
          <w:sz w:val="28"/>
          <w:szCs w:val="28"/>
        </w:rPr>
        <w:t xml:space="preserve"> анастомоза, абсцесс, делирий и (абдоминальный) сепсис связаны со</w:t>
      </w:r>
      <w:r w:rsidRPr="00903DE3">
        <w:rPr>
          <w:rFonts w:ascii="Times New Roman" w:hAnsi="Times New Roman"/>
          <w:sz w:val="28"/>
          <w:szCs w:val="28"/>
        </w:rPr>
        <w:t xml:space="preserve"> снижением 5-летней общей выживаемости. Кроме того, </w:t>
      </w:r>
      <w:r w:rsidR="002A7AD2">
        <w:rPr>
          <w:rFonts w:ascii="Times New Roman" w:hAnsi="Times New Roman"/>
          <w:sz w:val="28"/>
          <w:szCs w:val="28"/>
        </w:rPr>
        <w:t>несостоятельность</w:t>
      </w:r>
      <w:r w:rsidRPr="00903DE3">
        <w:rPr>
          <w:rFonts w:ascii="Times New Roman" w:hAnsi="Times New Roman"/>
          <w:sz w:val="28"/>
          <w:szCs w:val="28"/>
        </w:rPr>
        <w:t xml:space="preserve"> анастомоза, электролитные нарушения и абсцесс связаны с рецидивами через 5 лет [81].</w:t>
      </w:r>
      <w:r w:rsidRPr="00903DE3">
        <w:t xml:space="preserve"> </w:t>
      </w:r>
      <w:r w:rsidRPr="00903DE3">
        <w:rPr>
          <w:rFonts w:ascii="Times New Roman" w:hAnsi="Times New Roman"/>
          <w:sz w:val="28"/>
          <w:szCs w:val="28"/>
        </w:rPr>
        <w:t xml:space="preserve">В исследовании </w:t>
      </w:r>
      <w:proofErr w:type="spellStart"/>
      <w:r w:rsidRPr="00903DE3">
        <w:rPr>
          <w:rFonts w:ascii="Times New Roman" w:hAnsi="Times New Roman"/>
          <w:sz w:val="28"/>
          <w:szCs w:val="28"/>
        </w:rPr>
        <w:t>Odermatt</w:t>
      </w:r>
      <w:proofErr w:type="spellEnd"/>
      <w:r w:rsidRPr="00903DE3">
        <w:rPr>
          <w:rFonts w:ascii="Times New Roman" w:hAnsi="Times New Roman"/>
          <w:sz w:val="28"/>
          <w:szCs w:val="28"/>
        </w:rPr>
        <w:t xml:space="preserve"> и др</w:t>
      </w:r>
      <w:r w:rsidR="002A7AD2">
        <w:rPr>
          <w:rFonts w:ascii="Times New Roman" w:hAnsi="Times New Roman"/>
          <w:sz w:val="28"/>
          <w:szCs w:val="28"/>
        </w:rPr>
        <w:t>.</w:t>
      </w:r>
      <w:r w:rsidRPr="00903DE3">
        <w:rPr>
          <w:rFonts w:ascii="Times New Roman" w:hAnsi="Times New Roman"/>
          <w:sz w:val="28"/>
          <w:szCs w:val="28"/>
        </w:rPr>
        <w:t xml:space="preserve"> серьезные хирургические осложнения оказали неблагоприятное влияние на долгосрочную выживаемость, но не на рецидив [82].</w:t>
      </w:r>
    </w:p>
    <w:p w14:paraId="6F10AEA3" w14:textId="77777777" w:rsidR="00403127" w:rsidRPr="00903DE3" w:rsidRDefault="00403127" w:rsidP="00403127">
      <w:pPr>
        <w:spacing w:after="0" w:line="240" w:lineRule="auto"/>
        <w:ind w:firstLine="567"/>
        <w:jc w:val="both"/>
        <w:rPr>
          <w:rFonts w:ascii="Times New Roman" w:hAnsi="Times New Roman"/>
          <w:sz w:val="28"/>
          <w:szCs w:val="28"/>
        </w:rPr>
      </w:pPr>
      <w:proofErr w:type="spellStart"/>
      <w:r w:rsidRPr="00903DE3">
        <w:rPr>
          <w:rFonts w:ascii="Times New Roman" w:hAnsi="Times New Roman"/>
          <w:sz w:val="28"/>
          <w:szCs w:val="28"/>
        </w:rPr>
        <w:t>Gooiker</w:t>
      </w:r>
      <w:proofErr w:type="spellEnd"/>
      <w:r w:rsidRPr="00903DE3">
        <w:rPr>
          <w:rFonts w:ascii="Times New Roman" w:hAnsi="Times New Roman"/>
          <w:sz w:val="28"/>
          <w:szCs w:val="28"/>
        </w:rPr>
        <w:t xml:space="preserve"> G.A. и соавт. выявили несколько факторов риска смерти больных в течение первого года после операции по поводу рака ободочной кишки: III стадия рака, сопутствующие заболевания, экстренное хирургическое вмешательство и послеоперационные хирургические осложнения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RF6qvCU5","properties":{"formattedCitation":"[56]","plainCitation":"[56]","noteIndex":0},"citationItems":[{"id":44,"uris":["http://zotero.org/users/7388323/items/HXACG5NE"],"uri":["http://zotero.org/users/7388323/items/HXACG5NE"],"itemData":{"id":44,"type":"article-journal","abstract":"BACKGROUND: Thirty-day mortality after surgery for colorectal cancer may vastly underestimate 1-year mortality. This study aimed to quantify the excess mortality in the first postoperative year of stage I-III colorectal cancer patients and to identify risk factors for excess mortality.\nMETHODS: All 2,131 patients who were operated with curative intent for stage I-III colorectal cancer in the western region of the Netherlands between January 1, 2006, and December 31, 2008, were analyzed. Thirty-day mortality and relative survival were calculated. In addition, relative excess risk (RER) of death was estimated by a multivariable model.\nRESULTS: Thirty-day mortality was 4.9%. One-year mortality was 12.4%. Risk factors for excess mortality in the first postoperative year for colon cancer patients were emergency surgery (excess mortality 29.7%, RER 2.5, 95% confidence interval 2.5-5.0), a Charlson score of &gt;1 (excess mortality 12.6%, RER 2.3, 95% confidence interval 1.5-3.7), stage II or III disease (excess mortality 14.9%, RER 3.9, 95% confidence interval 1.9-8.1), and postoperative adverse events (excess mortality 22.6%, RER 2.1, 95% confidence interval 1.4-3.2).\nCONCLUSIONS: The 30-day mortality rate highly underestimates the risk of dying in the first year after surgery, with excess 1-year mortality rates varying from 15 to 30%. This excess mortality was especially prominent in patients with comorbidities, higher stages of disease, emergency surgery, and postoperative surgical complications.","container-title":"Annals of Surgical Oncology","DOI":"10.1245/s10434-012-2294-6","ISSN":"1534-4681","issue":"8","journalAbbreviation":"Ann Surg Oncol","language":"eng","note":"PMID: 22396000\nPMCID: PMC3404283","page":"2428-2434","source":"PubMed","title":"Risk factors for excess mortality in the first year after curative surgery for colorectal cancer","volume":"19","author":[{"family":"Gooiker","given":"Gea A."},{"family":"Dekker","given":"Jan Willem T."},{"family":"Bastiaannet","given":"Esther"},{"family":"Geest","given":"Lydia G. M.","non-dropping-particle":"van der"},{"family":"Merkus","given":"Jos W. S."},{"family":"Velde","given":"Cornelis J. H.","non-dropping-particle":"van de"},{"family":"Tollenaar","given":"Rob A. E. M."},{"family":"Liefers","given":"Gerrit-Jan"}],"issued":{"date-parts":[["2012",8]]}}}],"schema":"https://github.com/citation-style-language/schema/raw/master/csl-citation.json"}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[83]</w:t>
      </w:r>
      <w:r w:rsidRPr="00903DE3">
        <w:rPr>
          <w:rFonts w:ascii="Times New Roman" w:hAnsi="Times New Roman"/>
          <w:sz w:val="28"/>
          <w:szCs w:val="28"/>
        </w:rPr>
        <w:fldChar w:fldCharType="end"/>
      </w:r>
      <w:r w:rsidRPr="00903DE3">
        <w:rPr>
          <w:rFonts w:ascii="Times New Roman" w:hAnsi="Times New Roman"/>
          <w:sz w:val="28"/>
          <w:szCs w:val="28"/>
        </w:rPr>
        <w:t xml:space="preserve">. Кроме того, повторная госпитализация в течение 30 дней после колэктомии по поводу рака прогнозирует </w:t>
      </w:r>
      <w:proofErr w:type="spellStart"/>
      <w:r w:rsidRPr="00903DE3">
        <w:rPr>
          <w:rFonts w:ascii="Times New Roman" w:hAnsi="Times New Roman"/>
          <w:sz w:val="28"/>
          <w:szCs w:val="28"/>
        </w:rPr>
        <w:t>cмертность</w:t>
      </w:r>
      <w:proofErr w:type="spellEnd"/>
      <w:r w:rsidRPr="00903DE3">
        <w:rPr>
          <w:rFonts w:ascii="Times New Roman" w:hAnsi="Times New Roman"/>
          <w:sz w:val="28"/>
          <w:szCs w:val="28"/>
        </w:rPr>
        <w:t xml:space="preserve"> в течение 1 года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7obbqm5jh","properties":{"formattedCitation":"[57]","plainCitation":"[57]","noteIndex":0},"citationItems":[{"id":43,"uris":["http://zotero.org/users/7388323/items/W2Q4A5HL"],"uri":["http://zotero.org/users/7388323/items/W2Q4A5HL"],"itemData":{"id":43,"type":"article-journal","abstract":"OBJECTIVES: Early hospital readmission is a common and costly problem in the Medicare population. In 2009, the Centers for Medicaid and Medicare Services began mandating hospital reporting of disease-specific readmission rates. We sought to determine the rate and predictors of readmission after colectomy for cancer, as well as the association between readmission and mortality.\nMETHODS: Medicare beneficiaries who underwent colectomy for stage I to III colon adenocarcinoma from 1992 to 2002 were identified from the Surveillance, Epidemiology, and End Results-Medicare database. Multivariate logistic regression identified predictors of early readmission and 1-year mortality. Odds ratios were adjusted for multiple factors, including measures of comorbidity, socioeconomic status, and disease severity.\nRESULTS: Of 42,348 patients who were discharged, 4662 (11.0%) were readmitted within 30 days. The most common causes of rehospitalization were ileus/obstruction and infection. Significant predictors of readmission included male gender, comorbidity, emergent admission, prolonged hospital stay, blood transfusion, ostomy, and discharge to nursing home. Readmission was inversely associated with hospital procedure volume, but not surgeon volume. After adjusting for potential confounding variables, the predicted probability of 1-year mortality was 16% for readmitted patients, compared with 7% for those not readmitted. This difference in mortality was significant for all stages of cancer.\nCONCLUSIONS: Early readmission after colectomy for cancer is common and due in part to modifiable factors. There is a remarkable association between readmission and 1-year mortality. Early readmission is therefore an important quality-of-care indicator for colon cancer surgery. These findings may facilitate the development of targeted interventions that will decrease readmissions and improve patient outcomes.","container-title":"Annals of Surgery","DOI":"10.1097/SLA.0b013e3181d3d27c","ISSN":"1528-1140","issue":"4","journalAbbreviation":"Ann Surg","language":"eng","note":"PMID: 20224370\nPMCID: PMC2951007","page":"659-669","source":"PubMed","title":"Readmission after colectomy for cancer predicts one-year mortality","volume":"251","author":[{"family":"Greenblatt","given":"David Yu"},{"family":"Weber","given":"Sharon M."},{"family":"O'Connor","given":"Erin S."},{"family":"LoConte","given":"Noelle K."},{"family":"Liou","given":"Jinn-Ing"},{"family":"Smith","given":"Maureen A."}],"issued":{"date-parts":[["2010",4]]}}}],"schema":"https://github.com/citation-style-language/schema/raw/master/csl-citation.json"}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[84]</w:t>
      </w:r>
      <w:r w:rsidRPr="00903DE3">
        <w:rPr>
          <w:rFonts w:ascii="Times New Roman" w:hAnsi="Times New Roman"/>
          <w:sz w:val="28"/>
          <w:szCs w:val="28"/>
        </w:rPr>
        <w:fldChar w:fldCharType="end"/>
      </w:r>
      <w:r w:rsidRPr="00903DE3">
        <w:rPr>
          <w:rFonts w:ascii="Times New Roman" w:hAnsi="Times New Roman"/>
          <w:sz w:val="28"/>
          <w:szCs w:val="28"/>
        </w:rPr>
        <w:t>.</w:t>
      </w:r>
    </w:p>
    <w:p w14:paraId="6E089BB2"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Увеличение возраста, физические и когнитивные нарушения, а также предыдущие госпитализации могут предрасполагать к послеоперационной заболеваемости и смертности [85]. Операция по удалению колоректального рака считается операцией высокого риска, при этом сообщается о серьезных послеоперационных осложнениях и 30-дневной смертности в 16–24% и 1-6% соответственно [86, 87]. Оперативное лечение колоректального рака у пожилых людей связано с более высокой заболеваемостью (35–45%) и смертностью как в ближайшем послеоперационном периоде, так и в течение первого года после операции (6–16% через 30 дней, 14-37% через 1 год) [87-91]. </w:t>
      </w:r>
      <w:proofErr w:type="spellStart"/>
      <w:r w:rsidRPr="00903DE3">
        <w:rPr>
          <w:rFonts w:ascii="Times New Roman" w:hAnsi="Times New Roman"/>
          <w:sz w:val="28"/>
          <w:szCs w:val="28"/>
        </w:rPr>
        <w:t>Dekker</w:t>
      </w:r>
      <w:proofErr w:type="spellEnd"/>
      <w:r w:rsidRPr="00903DE3">
        <w:rPr>
          <w:rFonts w:ascii="Times New Roman" w:hAnsi="Times New Roman"/>
          <w:sz w:val="28"/>
          <w:szCs w:val="28"/>
        </w:rPr>
        <w:t xml:space="preserve"> J.W. и соавт. отмечают, что 10% больных после хирургического лечения колоректального рака умирают в первый год после оперативного лечения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k36d9nbpq","properties":{"formattedCitation":"[55]","plainCitation":"[55]","noteIndex":0},"citationItems":[{"id":45,"uris":["http://zotero.org/users/7388323/items/QDC7X545"],"uri":["http://zotero.org/users/7388323/items/QDC7X545"],"itemData":{"id":45,"type":"article-journal","abstract":"BACKGROUND: Elderly colorectal cancer patients have worse prognosis than younger patients. Age-related survival differences may be cancer or treatment related, but also due to death from other causes. This study aims to compare population-based survival data for young (&lt;65 years), aged (65-74 years), and elderly (≥75 years) colorectal cancer patients.\nMETHODS: All patients operated for stage I-III colorectal cancer between 1991 and 2005 in the western region of The Netherlands were included. Crude survival, relative survival, and conditional relative survival curves, under the condition of surviving 1 year, were made for colon and rectal cancer patients separately. Furthermore, 30-day, 1-year, and 1-year excess mortality data were compared.\nRESULTS: A total of 9,397 stage I-III colorectal cancer patients were included in this study. Crude survival curves showed clear survival differences between the age groups. These age-related differences were less prominent in relative survival and disappeared in conditional relative survival (CRS). Only in stage III disease did elderly patients have worse CRS than young patients. Furthermore, significant age-related differences in 30-day and 1-year excess mortality were found. Thirty-day mortality vastly underestimated 1-year mortality for all age groups.\nCONCLUSIONS: Elderly colorectal cancer patients who survive the first year have the same cancer-related survival as younger patients. Therefore, decreased survival in the elderly is mainly due to differences in early mortality. Treatment of elderly colorectal cancer patients should focus on perioperative care and the first postoperative year.","container-title":"Annals of Surgical Oncology","DOI":"10.1245/s10434-011-1671-x","ISSN":"1534-4681","issue":"6","journalAbbreviation":"Ann Surg Oncol","language":"eng","note":"PMID: 21445672\nPMCID: PMC3087879","page":"1533-1539","source":"PubMed","title":"Importance of the first postoperative year in the prognosis of elderly colorectal cancer patients","volume":"18","author":[{"family":"Dekker","given":"J. W. T."},{"family":"Broek","given":"C. B. M.","non-dropping-particle":"van den"},{"family":"Bastiaannet","given":"E."},{"family":"Geest","given":"L. G. M.","non-dropping-particle":"van de"},{"family":"Tollenaar","given":"R. a. E. M."},{"family":"Liefers","given":"G. J."}],"issued":{"date-parts":[["2011",6]]}}}],"schema":"https://github.com/citation-style-language/schema/raw/master/csl-citation.json"}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[92]</w:t>
      </w:r>
      <w:r w:rsidRPr="00903DE3">
        <w:rPr>
          <w:rFonts w:ascii="Times New Roman" w:hAnsi="Times New Roman"/>
          <w:sz w:val="28"/>
          <w:szCs w:val="28"/>
        </w:rPr>
        <w:fldChar w:fldCharType="end"/>
      </w:r>
      <w:r w:rsidRPr="00903DE3">
        <w:rPr>
          <w:rFonts w:ascii="Times New Roman" w:hAnsi="Times New Roman"/>
          <w:sz w:val="28"/>
          <w:szCs w:val="28"/>
        </w:rPr>
        <w:t>. Недавнее многонациональное исследование показало, что у пациентов старше 80 лет 30-дневная смертность и показатели смертности за 1 год составляют 5,5–11,4% и 17,1–23,6% соответственно [90].</w:t>
      </w:r>
    </w:p>
    <w:p w14:paraId="5B49FEDD"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Переменные возраст и сопутствующая патология также ассоциированы со снижением общей выживаемости, однако влияние на безрецидивную </w:t>
      </w:r>
      <w:r w:rsidRPr="00903DE3">
        <w:rPr>
          <w:rFonts w:ascii="Times New Roman" w:hAnsi="Times New Roman"/>
          <w:sz w:val="28"/>
          <w:szCs w:val="28"/>
        </w:rPr>
        <w:lastRenderedPageBreak/>
        <w:t xml:space="preserve">выживаемость данных факторов не доказана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nu7heghjv","properties":{"formattedCitation":"[12,63,64]","plainCitation":"[12,63,64]","noteIndex":0},"citationItems":[{"id":49,"uris":["http://zotero.org/users/7388323/items/4LUZRG3P"],"uri":["http://zotero.org/users/7388323/items/4LUZRG3P"],"itemData":{"id":49,"type":"article-journal","abstract":"Background: This study aimed to investigate the impact of postoperative complications on long-term survival and disease recurrence in patients who underwent curative resection for colorectal cancer.\nMethod: Patients who underwent radical resection for colorectal cancer with curative intent from January 1996 to December 2004 were included. Operative mortality and morbidity were documented prospectively. Factors that might affect long-term outcome were analyzed with multivariate analysis.\nResults: Curative resection was performed in 1657 patients (943 men), and the median age was 70 years (range: 24–94 years). The 30-day mortality was 2.4%, and the complication rate was 27.3%. Age over 70 years (P &lt; .001, odds ratio: 2.06, 95% CI: 1.63–2.61), male gender (P = .001, odds ratio: 1.49, 95% CI: 1.19–1.88), emergency operation (P &lt; .001, odds ratio: 3.14, 95% CI: 2.26–4.35) and rectal cancer (P &lt; .001, odds ratio: 1.41, 95% CI: 1.25–1.61) were associated with a significantly higher complication rate. With exclusion of patients who died within 30 days, the median follow-up of the surviving patients was 45.3 months. The 5-year overall survival was 64.9%, and the overall recurrence rate was 29.1%. The presence of postoperative complications was an independent factor associated with a worse overall survival (P = .023, hazard ratio: 1.26; 95% CI: 1.03–1.52) and a higher overall recurrence rate (P = .04, hazard ratio: 1.26; 95% CI: 1.01–1.57).\nConclusion: The presence of postoperative complication not only affects the short-term results of resection of colorectal cancer, but the long-term oncologic outcomes are also adversely affected. Long-term outcomes can be improved with efforts to reduce postoperative complications.","container-title":"Annals of Surgical Oncology","DOI":"10.1245/s10434-007-9434-4","ISSN":"1068-9265, 1534-4681","issue":"9","journalAbbreviation":"Ann Surg Oncol","language":"en","page":"2559-2566","source":"DOI.org (Crossref)","title":"The Impact of Postoperative Complications on Long-Term Outcomes Following Curative Resection for Colorectal Cancer","URL":"http://link.springer.com/10.1245/s10434-007-9434-4","volume":"14","author":[{"family":"Law","given":"Wai Lun"},{"family":"Choi","given":"Hok Kwok"},{"family":"Lee","given":"Yee Man"},{"family":"Ho","given":"Judy WC"}],"accessed":{"date-parts":[["2021",1,10]]},"issued":{"date-parts":[["2007",9,10]]}}},{"id":23,"uris":["http://zotero.org/users/7388323/items/YPGRFI64"],"uri":["http://zotero.org/users/7388323/items/YPGRFI64"],"itemData":{"id":23,"type":"article-journal","abstract":"PURPOSE: Poor condition at operation determined by the physiologic POSSUM score is related to postoperative mortality and morbidity of colorectal cancer surgery. This study was designed to analyze the relationship between condition of patients with colorectal cancer at operation and long-term overall survival.\nMETHODS: A total of 542 patients survived a radical resection for Stages I, II, or III colorectal cancer. Physiologic POSSUM score at surgery, exclusive of age, was calculated for all patients. Mean physiologic POSSUM score was used as cutoff point to determine low-risk and high-risk group patients. A Cox proportional hazard analysis was performed to study the effect of low-risk and high-risk group on overall survival and to identify independent risk factors.\nRESULTS: Five-year overall survival was significantly higher in low-risk group patients than in high-risk group patients (low-risk group 66.6 percent vs. high-risk group 48.5 percent; P &lt; 0.001). Differences in overall survival also were found when patients in Stages I, II, and III were analyzed separately. Risk factors for overall survival were advanced stage of disease, poor tumor differentiation, mucinous adenocarcinoma, older than age 70 years, and poor condition of the patient at time of operation.\nCONCLUSIONS: Poor condition at operation, as determined by physiologic POSSUM score, is a risk indicator for long-term overall survival in colorectal cancer patients.","container-title":"Diseases of the Colon and Rectum","DOI":"10.1007/s10350-005-0284-5","ISSN":"0012-3706","issue":"6","journalAbbreviation":"Dis Colon Rectum","language":"eng","note":"PMID: 16550320","page":"825-832","source":"PubMed","title":"POSSUM predicts decreased overall survival in curative resection for colorectal cancer","volume":"49","author":[{"family":"Brosens","given":"Rebecca P."},{"family":"Oomen","given":"Joannes L."},{"family":"Glas","given":"Afina S."},{"family":"Bochove","given":"Aart","non-dropping-particle":"van"},{"family":"Cuesta","given":"Miguel A."},{"family":"Engel","given":"Alexander F."}],"issued":{"date-parts":[["2006",6]]}}},{"id":22,"uris":["http://zotero.org/users/7388323/items/25UYPUMG"],"uri":["http://zotero.org/users/7388323/items/25UYPUMG"],"itemData":{"id":22,"type":"webpage","title":"Prognostic factors in colorectal cancer - PubMed","URL":"https://pubmed.ncbi.nlm.nih.gov/10023012/","accessed":{"date-parts":[["2021",1,12]]}}}],"schema":"https://github.com/citation-style-language/schema/raw/master/csl-citation.json"}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 93]</w:t>
      </w:r>
      <w:r w:rsidRPr="00903DE3">
        <w:rPr>
          <w:rFonts w:ascii="Times New Roman" w:hAnsi="Times New Roman"/>
          <w:sz w:val="28"/>
          <w:szCs w:val="28"/>
        </w:rPr>
        <w:fldChar w:fldCharType="end"/>
      </w:r>
      <w:r w:rsidRPr="00903DE3">
        <w:rPr>
          <w:rFonts w:ascii="Times New Roman" w:hAnsi="Times New Roman"/>
          <w:sz w:val="28"/>
          <w:szCs w:val="28"/>
        </w:rPr>
        <w:t xml:space="preserve">. Послеоперационная внутрибрюшная инфекция является одним из наиболее важных осложнений после операции по поводу колоректального рака. Ряд авторов изучали влияние инфекционных осложнений на выживаемость больных после хирургического лечения рака ободочной кишки. </w:t>
      </w:r>
      <w:proofErr w:type="spellStart"/>
      <w:r w:rsidRPr="00903DE3">
        <w:rPr>
          <w:rFonts w:ascii="Times New Roman" w:hAnsi="Times New Roman"/>
          <w:sz w:val="28"/>
          <w:szCs w:val="28"/>
        </w:rPr>
        <w:t>Sugamata</w:t>
      </w:r>
      <w:proofErr w:type="spellEnd"/>
      <w:r w:rsidRPr="00903DE3">
        <w:rPr>
          <w:rFonts w:ascii="Times New Roman" w:hAnsi="Times New Roman"/>
          <w:sz w:val="28"/>
          <w:szCs w:val="28"/>
        </w:rPr>
        <w:t xml:space="preserve"> и соавт. опубликовали результаты исследования влияния инфекционных осложнений на выживаемость больных со I-III стадией колоректального рака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i3LMIzIt","properties":{"formattedCitation":"[16]","plainCitation":"[16]","noteIndex":0},"citationItems":[{"id":19,"uris":["http://zotero.org/users/7388323/items/WU96GUY3"],"uri":["http://zotero.org/users/7388323/items/WU96GUY3"],"itemData":{"id":19,"type":"article-journal","abstract":"INTRODUCTION: Predicting long-term survival and cancer recurrence in patients with colorectal cancer is difficult because of the many factors that may affect the prognosis. This study investigated the prognostic significance of postoperative infections for patient outcome.\nMETHODS: From an electronic database we selected 192 patients undergoing elective radical surgery for Dukes' stage B and C colorectal adenocarcinoma. The five-year survival rates were analyzed by the Kaplan-Meier method. Univariate and multivariate analyses were carried out to evaluate the potential prognostic variables using the Cox proportional hazard model.\nRESULTS: Forty-three patients developed deep incisional or organ/space surgical site infections, while the remaining 149 were complication free. The two groups were comparable for baseline, surgical and histopathological characteristics. At univariate analysis, Dukes' stage and infections were negative prognostic factors, while peritumoral infiltration of lymphocytes and eosinophils and fibrotic tissue appeared as protective variables. However, multivariate analysis showed that only Dukes' stage (P = 0.048) and occurrence of postoperative infectious complications (P = 0.011) were independently associated with outcome. In patients with infectious complications, the survival rate was significantly lower than in patients without infections (log-rank = 0.0004).\nCONCLUSIONS: The present results suggest the importance of evaluating other variables besides tumor stage in the prediction of long-term outcome. In prognostic studies more attention should be paid to postoperative infections.","container-title":"Tumori","ISSN":"0300-8916","issue":"5","journalAbbreviation":"Tumori","language":"eng","note":"PMID: 15656334","page":"485-490","source":"PubMed","title":"Correlation between postoperative infections and long-term survival after colorectal resection for cancer","volume":"90","author":[{"family":"Nespoli","given":"Angelo"},{"family":"Gianotti","given":"Luca"},{"family":"Totis","given":"Mauro"},{"family":"Bovo","given":"Giorgio"},{"family":"Nespoli","given":"Luca"},{"family":"Chiodini","given":"Paolo"},{"family":"Brivio","given":"Ferdinando"}],"issued":{"date-parts":[["2004",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[17]</w:t>
      </w:r>
      <w:r w:rsidRPr="00903DE3">
        <w:rPr>
          <w:rFonts w:ascii="Times New Roman" w:hAnsi="Times New Roman"/>
          <w:sz w:val="28"/>
          <w:szCs w:val="28"/>
        </w:rPr>
        <w:fldChar w:fldCharType="end"/>
      </w:r>
      <w:r w:rsidRPr="00903DE3">
        <w:rPr>
          <w:rFonts w:ascii="Times New Roman" w:hAnsi="Times New Roman"/>
          <w:sz w:val="28"/>
          <w:szCs w:val="28"/>
        </w:rPr>
        <w:t xml:space="preserve">. Другие исследования так же подтвердили, что наличие послеоперационных инфекционных осложнений  оказывают негативное влияние на выживаемость больных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bd27ik7uj","properties":{"formattedCitation":"[65]","plainCitation":"[65]","noteIndex":0},"citationItems":[{"id":18,"uris":["http://zotero.org/users/7388323/items/8K4LHSFW"],"uri":["http://zotero.org/users/7388323/items/8K4LHSFW"],"itemData":{"id":18,"type":"article-journal","abstract":"BACKGROUND: Efforts to improve surgical outcomes have traditionally focused on improving preoperative patient selection and reducing the risk of postoperative medical complications. Strategies to optimize surgical technique have been less well studied. We sought to assess the relation between complications related to surgical technique and outcomes after esophagogastrectomy for cancer.\nSTUDY DESIGN: Medical records of 510 consecutive patients undergoing esophagogastrectomy for invasive squamous cell carcinoma or adenocarcinoma at Memorial Sloan-Kettering Cancer Center from 1996 to 2001 were reviewed. Data on diagnosis, stage of disease, therapies received, surgical approach, patient comorbidities, technical complications, and postoperative medical complications and outcomes including length of stay and overall survival were determined by one reviewer of the medical records. The primary predictor was surgical complications and the primary outcome was survival.\nRESULTS: Of the 150 patients studied 138 (27%) had complications directly attributable to surgical technique, such as an anastomotic leak, a paralyzed vocal cord, or chylothorax. At 3 years 43 of 138 patients (31%) with technical complications were alive, whereas 179 of 372 patients (48%) without technical complications were alive. Technical complications were associated with increased length of stay (median 23 days versus 11 days, p &lt; 0.001), increased in-hospital mortality (12.3% versus 3.8%, p &lt; 0.001), and a higher rate of medical complications (77.5% versus 47.3%, p &lt; 0.001). After controlling for age, medical comorbidities, use of induction therapy, tumor stage, histology, and location, and completeness of resection the presence of a technical complication was highly predictive of poorer overall survival; the multivariable hazard ratio was 1.41 (1.22 to 1.63, p = 0.008).\nCONCLUSIONS: Technical complications have a large negative impact on survival after esophagogastrectomy for cancer. Strategies to optimize surgical technique and minimize complications should improve outcomes in this cancer operation.","container-title":"Journal of the American College of Surgeons","DOI":"10.1016/j.jamcollsurg.2003.08.007","ISSN":"1072-7515","issue":"1","journalAbbreviation":"J Am Coll Surg","language":"eng","note":"PMID: 14698310","page":"42-50","source":"PubMed","title":"The impact of complications on outcomes after resection for esophageal and gastroesophageal junction carcinoma","volume":"198","author":[{"family":"Rizk","given":"Nabil P."},{"family":"Bach","given":"Peter B."},{"family":"Schrag","given":"Deborah"},{"family":"Bains","given":"Manjit S."},{"family":"Turnbull","given":"Alan D."},{"family":"Karpeh","given":"Martin"},{"family":"Brennan","given":"Murray F."},{"family":"Rusch","given":"Valerie W."}],"issued":{"date-parts":[["2004",1]]}}}],"schema":"https://github.com/citation-style-language/schema/raw/master/csl-citation.json"}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[94]</w:t>
      </w:r>
      <w:r w:rsidRPr="00903DE3">
        <w:rPr>
          <w:rFonts w:ascii="Times New Roman" w:hAnsi="Times New Roman"/>
          <w:sz w:val="28"/>
          <w:szCs w:val="28"/>
        </w:rPr>
        <w:fldChar w:fldCharType="end"/>
      </w:r>
      <w:r w:rsidRPr="00903DE3">
        <w:rPr>
          <w:rFonts w:ascii="Times New Roman" w:hAnsi="Times New Roman"/>
          <w:sz w:val="28"/>
          <w:szCs w:val="28"/>
        </w:rPr>
        <w:t>.</w:t>
      </w:r>
    </w:p>
    <w:p w14:paraId="40C34039"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Более низкий уровень образования ассоциируется с плохой выживаемостью в течение 1 года после операции по поводу острого колоректального рака с поправкой на возраст, пол, год операции, сопутствующую патологию, ИМТ, статус курения, употребление алкоголя, стадию и локализацию опухоли [95].</w:t>
      </w:r>
    </w:p>
    <w:p w14:paraId="1D839FAE"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Многие исследователи резюмируют доминирующее влияние стадии рака ободочной кишки, гистологического типа опухолевой клетки, KRAS мутации на развитие рецидива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ldbpv5a09","properties":{"formattedCitation":"[58\\uc0\\u8211{}61]","plainCitation":"[58–61]","noteIndex":0},"citationItems":[{"id":28,"uris":["http://zotero.org/users/7388323/items/Y26PATAW"],"uri":["http://zotero.org/users/7388323/items/Y26PATAW"],"itemData":{"id":28,"type":"article-journal","abstract":"PURPOSE: Colorectal cancer is the second leading cause of cancer deaths in the United States, with poor survival predicted by regional lymph node (LN) metastasis. The impact of LN ratio (LNR) on survival is unknown in this disease.\nPATIENTS AND METHODS: We analyzed data from Intergroup trial 0089 of adjuvant chemotherapy for stage II and III patients with colon cancer, in which all patients received fluorouracil-based therapy. Survival was similar for all arms of the study, allowing us to evaluate all patients together. End points included overall survival (OS), cancer-specific survival (CSS), and disease-free survival (DFS). Multivariate analyses were performed on all patients and on groups according to LNR quartiles (LNR: &lt; 0.05, 0.05 to 0.19, 0.2 to 0.39, and 0.4 to 1.0). Covariates included in the models were age, sex, tumor stage, grade, histology, number of positive LNs, number of LNs removed, and LNR.\nRESULTS: The median age was 63.7 years, and the median number of LNs removed was 11. In the multivariate analysis, LNR was a significant factor for OS, DFS, and CSS in patients with 10 to 15 LN and more than 15 LN removed but not for patients with less than 10 LN removed. Using quartiles, LNR maintained its significance for all three end points when patients were grouped by node status.\nCONCLUSION: After curative resection for colorectal cancer, the LNR is an important prognostic factor and should be used in stratification schemes for future clinical trials investigating adjuvant treatments.","container-title":"Journal of Clinical Oncology: Official Journal of the American Society of Clinical Oncology","DOI":"10.1200/JCO.2005.02.8852","ISSN":"0732-183X","issue":"34","journalAbbreviation":"J Clin Oncol","language":"eng","note":"PMID: 16314630","page":"8706-8712","source":"PubMed","title":"Colon cancer survival is associated with decreasing ratio of metastatic to examined lymph nodes","volume":"23","author":[{"family":"Berger","given":"Adam C."},{"family":"Sigurdson","given":"Elin R."},{"family":"LeVoyer","given":"Thomas"},{"family":"Hanlon","given":"Alexandra"},{"family":"Mayer","given":"Robert J."},{"family":"Macdonald","given":"John S."},{"family":"Catalano","given":"Paul J."},{"family":"Haller","given":"Daniel G."}],"issued":{"date-parts":[["2005",12,1]]}}},{"id":27,"uris":["http://zotero.org/users/7388323/items/W8NW5PA8"],"uri":["http://zotero.org/users/7388323/items/W8NW5PA8"],"itemData":{"id":27,"type":"article-journal","abstract":"PURPOSE: Molecular studies of colon cancer have provided insights into pathogenesis, yet it is unclear how important these markers are in predicting prognosis. This study investigated the prognostic significance of TUNEL, bcl-2, p53, proliferation marker Ki-67 and DNA mismatch repair (MMR) status in patients with Dukes' stage B2 and C colorectal adenocarcinomas.\nPATIENTS AND METHODS: Tumor tissue from 366 patients (75% Dukes' C, 25% Dukes' B2) from four randomized North Central Cancer Treatment Group phase III surgical adjuvant trials were used. Eighty-one percent of patients received adjuvant treatment, which was primarily fluorouracil (FU) based (90%). Tumor location was predominantly (87%) the colon. Terminal deoxynucleotidyl transferase-mediated dUTP nick-end labeling (TUNEL), Ki-67, p53, bcl-2, and MMR were assayed using immunohistochemistry. Stage, grade, MMR, Ki-67, and previously determined flow cytometry markers (ploidy and S phase) were explored for associations with each other and with overall survival (OS) and disease-free survival (DFS).\nRESULTS: Univariately, stage B2, low grade, diploid, Ki-67 more than 27%, normal p53, and FU-based adjuvant treatment were significantly associated with improved OS and DFS (P &lt;.05). After adjusting for stage, grade, and ploidy in multivariate analysis, Ki-67 remained significantly related to both OS and DFS (P &lt;.01). Active FU-based adjuvant treatment was significant only for OS in this multivariate model. Neither bcl-2 nor TUNEL were significant.\nCONCLUSION: This retrospective study indicates that Ki-67 and ploidy may have stronger prognostic impact on OS and DFS than other parameters investigated after adjusting for stage and tumor grade. Prospective studies to elucidate the mechanism and prognostic significance of these findings are necessary.","container-title":"Journal of Clinical Oncology: Official Journal of the American Society of Clinical Oncology","DOI":"10.1200/JCO.2004.10.042","ISSN":"0732-183X","issue":"9","journalAbbreviation":"J Clin Oncol","language":"eng","note":"PMID: 15117979","page":"1572-1582","source":"PubMed","title":"Prognostic value of proliferation, apoptosis, defective DNA mismatch repair, and p53 overexpression in patients with resected Dukes' B2 or C colon cancer: a North Central Cancer Treatment Group Study","title-short":"Prognostic value of proliferation, apoptosis, defective DNA mismatch repair, and p53 overexpression in patients with resected Dukes' B2 or C colon cancer","volume":"22","author":[{"family":"Garrity","given":"Megan M."},{"family":"Burgart","given":"Lawrence J."},{"family":"Mahoney","given":"Michelle R."},{"family":"Windschitl","given":"Harold E."},{"family":"Salim","given":"Muhammad"},{"family":"Wiesenfeld","given":"Martin"},{"family":"Krook","given":"James E."},{"family":"Michalak","given":"John C."},{"family":"Goldberg","given":"Richard M."},{"family":"O'Connell","given":"Michael J."},{"family":"Furth","given":"Alfred F."},{"family":"Sargent","given":"Daniel J."},{"family":"Murphy","given":"Linda M."},{"family":"Hill","given":"Eunice"},{"family":"Riehle","given":"Darren L."},{"family":"Meyers","given":"Cecelia H."},{"family":"Witzig","given":"Thomas E."},{"literal":"North Central Cancer Treatment Group"}],"issued":{"date-parts":[["2004",5,1]]}}},{"id":25,"uris":["http://zotero.org/users/7388323/items/WSD8BQD7"],"uri":["http://zotero.org/users/7388323/items/WSD8BQD7"],"itemData":{"id":25,"type":"article-journal","abstract":"Significant advances have been made in all aspects of care relating to colorectal cancer. Although surgery will likely remain the mainstay of definitive treatment for the majority of colorectal malignancies, a better understanding of tumor progression and biology will help guide the choice of surgical therapy to best achieve a curative resection. Additionally, advances in the use of neoadjuvant and adjuvant therapies should continue to increase disease-free and overall survival when combined with appropriate operative resection. Although TNM staging remains our strongest tool at this point for establishing prognosis and directing therapy, expansion of our knowledge of the molecular events underlying colorectal tumorigenesis undoubtedly will lead to the refinement of our current staging and prognostic systems.","container-title":"Surgical Oncology Clinics of North America","DOI":"10.1016/j.soc.2005.08.006","ISSN":"1055-3207","issue":"1","journalAbbreviation":"Surg Oncol Clin N Am","language":"eng","note":"PMID: 16389154","page":"129-146","source":"PubMed","title":"Staging and prognosis of colon cancer","volume":"15","author":[{"family":"Kehoe","given":"Josh"},{"family":"Khatri","given":"Vijay P."}],"issued":{"date-parts":[["2006",1]]}}},{"id":21,"uris":["http://zotero.org/users/7388323/items/C4FXUCMM"],"uri":["http://zotero.org/users/7388323/items/C4FXUCMM"],"itemData":{"id":21,"type":"article-journal","abstract":"Aim: This study focused on improving the American Joint Committee on Cancer TNM staging system and demonstrated an improvement in prognostic accuracy and clinical management of colon cancer using the P-TNM staging system.\nPatients and methods: Eligible patients (N=56,800) were identified from the Surveillance, Epidemiology, and End Results database between January 1, 2010, and December 31, 2014. The P-stage (P0 or P1) was assigned to each patient based on age at diagnosis, tumor grade, and tumor size. The outcome of interest was cancer-specific survival (CSS). The Cox proportional hazards regression analyses were used to identify independent prognostic factors and analyze the CSS probabilities of patients with colon cancer having different P-TNM stages, respectively.\nResults: A total of 29,627 patients were assigned to P0-stage and 27,173 patients were assigned to P1-stage. The P1-stage was associated with a 98.1% increased risk of cancer-specific mortality (hazard ratio =1.981, 95% confidence interval =1.891-2.076, P&lt;0.001), which was higher in patients with nonmetastatic colon cancer. The P1-stage patients had improvement in CSS compared with those in P0-stage in respective stages (P&lt;0.001). Moreover, CSS decreased in stage I-P1 compared with stage IIA-P0 or IIIA-P0 (P&lt;0.001), stage IIIA-P1 compared with stage IIA-P0 (P&lt;0.001), stage IIB-P1 compared with stage IIIB-P0 or IIC-P0 (P&lt;0.001), stage IIIB-P1 compared with stage IIC-P0 (P&lt;0.001), and stage IIC-P1 compared with stage IIIC-P0 (P&lt;0.001).\nConclusion: P-stage was an independent prognostic factor for colon cancer. This study strongly supported the incorporation of P-stage into the American Joint Committee on Cancer TNM staging system for a better approach to prognostication and, thus, more individualized risk-adaptive therapies in colon cancer.","container-title":"Cancer Management and Research","DOI":"10.2147/CMAR.S165188","ISSN":"1179-1322","journalAbbreviation":"Cancer Manag Res","language":"eng","note":"PMID: 30104899\nPMCID: PMC6074826","page":"2303-2314","source":"PubMed","title":"P-TNM staging system for colon cancer: combination of P-stage and AJCC TNM staging system for improving prognostic prediction and clinical management","title-short":"P-TNM staging system for colon cancer","volume":"10","author":[{"family":"Liu","given":"Qi"},{"family":"Luo","given":"Dakui"},{"family":"Cai","given":"Sanjun"},{"family":"Li","given":"Qingguo"},{"family":"Li","given":"Xinxiang"}],"issued":{"date-parts":[["2018"]]}}}],"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[96-100]</w:t>
      </w:r>
      <w:r w:rsidRPr="00903DE3">
        <w:rPr>
          <w:rFonts w:ascii="Times New Roman" w:hAnsi="Times New Roman"/>
          <w:sz w:val="28"/>
          <w:szCs w:val="28"/>
        </w:rPr>
        <w:fldChar w:fldCharType="end"/>
      </w:r>
      <w:r w:rsidRPr="00903DE3">
        <w:rPr>
          <w:rFonts w:ascii="Times New Roman" w:hAnsi="Times New Roman"/>
          <w:sz w:val="28"/>
          <w:szCs w:val="28"/>
        </w:rPr>
        <w:t>.</w:t>
      </w:r>
    </w:p>
    <w:p w14:paraId="5D9188F0"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Среди благоприятно влияющих факторов как на безрецидивную, так и общую долгосрочную выживаемость особое место занимает раннее проведение </w:t>
      </w:r>
      <w:proofErr w:type="spellStart"/>
      <w:r w:rsidRPr="00903DE3">
        <w:rPr>
          <w:rFonts w:ascii="Times New Roman" w:hAnsi="Times New Roman"/>
          <w:sz w:val="28"/>
          <w:szCs w:val="28"/>
        </w:rPr>
        <w:t>адъювантной</w:t>
      </w:r>
      <w:proofErr w:type="spellEnd"/>
      <w:r w:rsidRPr="00903DE3">
        <w:rPr>
          <w:rFonts w:ascii="Times New Roman" w:hAnsi="Times New Roman"/>
          <w:sz w:val="28"/>
          <w:szCs w:val="28"/>
        </w:rPr>
        <w:t xml:space="preserve"> химиотерапии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h8u9375c2","properties":{"formattedCitation":"[68]","plainCitation":"[68]","noteIndex":0},"citationItems":[{"id":20,"uris":["http://zotero.org/users/7388323/items/IMR4XIMR"],"uri":["http://zotero.org/users/7388323/items/IMR4XIMR"],"itemData":{"id":20,"type":"article-journal","abstract":"BACKGROUND: This retrospective study evaluated the prognostic factors of chemotherapy in stage III colorectal cancer after curative resection.\nMETHODS: From 1996 to 2001, 1,054 patients with primary single colorectal cancer underwent curative resection. Seven hundred sixteen patients received various 5-fluorouracil (FU)-based adjuvant chemotherapy regimens, including oral and intravenous treatments. The chemotherapy-related parameters examined included therapeutic duration, frequency, route of administration, composition of combination therapies, and postoperative time interval from the operation to the start of chemotherapy.\nRESULTS: The therapeutic duration and postoperative time interval of starting therapy were independent prognostic factors, in addition to clinicopathological factors. The 8-year cancer-specific/overall survival rates in patients who received chemotherapy for &gt;4 months (63.0/58.6%) were significantly higher than the rates in patients who received no chemotherapy (56.7/37.7%, P &lt; 0.01) and those who remained on chemotherapy for 1-4 months (49.4/41.9%, P &lt; 0.05). The 8-year cancer-specific/overall survival rates in patients who waited 1-5 weeks after surgery to receive chemotherapy (62.9/58.5%) were significantly higher versus rates in those who did not receive chemotherapy (56.7/37.7%) and those who did not receive chemotherapy until &gt;5 weeks after surgery (52.3/45.9%) (both P &lt; 0.05). Survival rates did not differ between patients who did not undergo chemotherapy, those for whom chemotherapy lasted 1-4 months, and patients who did not receive chemotherapy until &gt;5 weeks after surgery.\nCONCLUSIONS: The appropriate duration of therapy and early chemotherapy after surgery were 2 of the most important factors in eradicating occult cancer and effecting long-term survival benefits in patients with stage III colorectal cancer.","container-title":"International Journal of Clinical Oncology","DOI":"10.1007/s10147-011-0370-8","ISSN":"1437-7772","issue":"2","journalAbbreviation":"Int J Clin Oncol","language":"eng","note":"PMID: 22262452","page":"242-253","source":"PubMed","title":"Impact of chemotherapy-related prognostic factors on long-term survival in patients with stage III colorectal cancer after curative resection","volume":"18","author":[{"family":"Tsai","given":"Wen-Sy"},{"family":"Hsieh","given":"Pao-Shiu"},{"family":"Yeh","given":"Chien-Yuh"},{"family":"Chiang","given":"Jy-Ming"},{"family":"Tang","given":"Reiping"},{"family":"Chen","given":"Jinn-Shiun"},{"family":"Changchien","given":"Chung Rong"},{"family":"Wang","given":"Jeng Yi"}],"issued":{"date-parts":[["2013",4]]}}}],"schema":"https://github.com/citation-style-language/schema/raw/master/csl-citation.json"}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[101, 102]</w:t>
      </w:r>
      <w:r w:rsidRPr="00903DE3">
        <w:rPr>
          <w:rFonts w:ascii="Times New Roman" w:hAnsi="Times New Roman"/>
          <w:sz w:val="28"/>
          <w:szCs w:val="28"/>
        </w:rPr>
        <w:fldChar w:fldCharType="end"/>
      </w:r>
      <w:r w:rsidRPr="00903DE3">
        <w:rPr>
          <w:rFonts w:ascii="Times New Roman" w:hAnsi="Times New Roman"/>
          <w:sz w:val="28"/>
          <w:szCs w:val="28"/>
        </w:rPr>
        <w:t xml:space="preserve">. Временной интервал от операции до начала химиотерапии был предложен в качестве важного фактора, который может повлиять на общий исход [103]. Рекомендации Европейского общества медицинской онкологии рекомендуют начинать </w:t>
      </w:r>
      <w:proofErr w:type="spellStart"/>
      <w:r w:rsidRPr="00903DE3">
        <w:rPr>
          <w:rFonts w:ascii="Times New Roman" w:hAnsi="Times New Roman"/>
          <w:sz w:val="28"/>
          <w:szCs w:val="28"/>
        </w:rPr>
        <w:t>адъювантную</w:t>
      </w:r>
      <w:proofErr w:type="spellEnd"/>
      <w:r w:rsidRPr="00903DE3">
        <w:rPr>
          <w:rFonts w:ascii="Times New Roman" w:hAnsi="Times New Roman"/>
          <w:sz w:val="28"/>
          <w:szCs w:val="28"/>
        </w:rPr>
        <w:t xml:space="preserve"> химиотерапию как можно раньше, начиная с четвертой недели и максимум до 8–12 недель после операции [104].</w:t>
      </w:r>
    </w:p>
    <w:p w14:paraId="333F37E7"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Пациенты с высоким риском нутритивной недостаточности подвержены развитию осложнений в реабилитационном периоде после хирургического лечения колоректального рака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i2e71t5l0","properties":{"formattedCitation":"[69]","plainCitation":"[69]","noteIndex":0},"citationItems":[{"id":721,"uris":["http://zotero.org/users/7388323/items/667SFVGA"],"uri":["http://zotero.org/users/7388323/items/667SFVGA"],"itemData":{"id":721,"type":"article-journal","abstract":"OBJECTIVE: To evaluate the impact of nutritional status on postoperative outcomes for patients with colorectal cancer.\nMETHODS: Data of 289 colorectal cancer patients from the Affiliated Hospital of Putian Medical College between January 2006 and December 2009 were collected prospectively. Nutritional status was evaluated according to Reilly Nutrition Risk Score(Reilly NRS) and Nutrition Risk Screening 2002(NRS-2002).\nRESULTS: The postoperative mortality was 3.5%(10/289) and the complication rate was 29.4%(82/297). Patients were stratified into those at nutrition risk(n=89) and those not at risk(n=200) according to Reilly NRS and the two groups were similar in mortality rate(5.6% vs. 2.5%, P&gt;0.05) and complication rate(36.1% vs. 26.5%, P&gt;0.05). When stratified using NRS-2002, patients at nutritional risk(n=105) had a similar mortality rate (5.7% vs. 2.2%, P&gt;0.05) but a higher complication rate(38.4% vs. 24.4%, P&lt;0.05). NRS-2002 remained as an significant predictor of postoperative complications(P=0.007, OR=3.14, 95% CI:1.63-6.29) on multivariable logistic regression analysis.\nCONCLUSION: As a nutritional evaluation tool, NRS-2002 may predict postoperative complication for colorectal cancer.","container-title":"Zhonghua Wei Chang Wai Ke Za Zhi = Chinese Journal of Gastrointestinal Surgery","ISSN":"1671-0274","issue":"4","journalAbbreviation":"Zhonghua Wei Chang Wai Ke Za Zhi","language":"chi","note":"PMID: 21538270","page":"271-274","source":"PubMed","title":"[Impact of nutritional status on postoperative outcomes for patients with colorectal cancer]","volume":"14","author":[{"family":"Wu","given":"Li-min"},{"family":"Zhou","given":"Feng-ru"},{"family":"Lin","given":"Qing-fan"},{"family":"Li","given":"Hang"},{"family":"Li","given":"Li-hong"}],"issued":{"date-parts":[["2011",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[105]</w:t>
      </w:r>
      <w:r w:rsidRPr="00903DE3">
        <w:rPr>
          <w:rFonts w:ascii="Times New Roman" w:hAnsi="Times New Roman"/>
          <w:sz w:val="28"/>
          <w:szCs w:val="28"/>
        </w:rPr>
        <w:fldChar w:fldCharType="end"/>
      </w:r>
      <w:r w:rsidRPr="00903DE3">
        <w:rPr>
          <w:rFonts w:ascii="Times New Roman" w:hAnsi="Times New Roman"/>
          <w:sz w:val="28"/>
          <w:szCs w:val="28"/>
        </w:rPr>
        <w:t xml:space="preserve">. Так же исследователи утверждают, что низкий </w:t>
      </w:r>
      <w:proofErr w:type="spellStart"/>
      <w:r w:rsidRPr="00903DE3">
        <w:rPr>
          <w:rFonts w:ascii="Times New Roman" w:hAnsi="Times New Roman"/>
          <w:sz w:val="28"/>
          <w:szCs w:val="28"/>
        </w:rPr>
        <w:t>преоперационный</w:t>
      </w:r>
      <w:proofErr w:type="spellEnd"/>
      <w:r w:rsidRPr="00903DE3">
        <w:rPr>
          <w:rFonts w:ascii="Times New Roman" w:hAnsi="Times New Roman"/>
          <w:sz w:val="28"/>
          <w:szCs w:val="28"/>
        </w:rPr>
        <w:t xml:space="preserve"> нутритивной индекс (ПНИ) является прогностическим показателем низкой выживаемости больных после хирургического лечения рака пищевода, желудка, ободочной и прямой кишки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lv5ga3an2","properties":{"formattedCitation":"[70\\uc0\\u8211{}73]","plainCitation":"[70–73]","noteIndex":0},"citationItems":[{"id":723,"uris":["http://zotero.org/users/7388323/items/8WFXVWED"],"uri":["http://zotero.org/users/7388323/items/8WFXVWED"],"itemData":{"id":723,"type":"article-journal","abstract":"BACKGROUND: Recently, the preoperative immune-nutritional status has been reported to correlate with the survival rate in patients with colorectal cancer (CRC). However, there have been no reports on the relationship between the controlling nutritional status (CONUT) score and the clinical outcome after curative surgery for CRC. We herein evaluated the prognostic significance of the CONUT score in patients with CRC, and then compared the accuracy of the CONUT score and the prognostic nutritional index (PNI) as a predictor of survival.\nMETHODS: We retrospectively reviewed a database of 204 patients who underwent curative surgery for Stage II/III CRC. Patients were divided into two groups according to the CONUT score and the PNI.\nRESULTS: The five-year cancer-specific survival (CSS) rate was significantly higher at 92.7% in the low CONUT group, compared to a rate of 81.0% in the high CONUT group (p=0.0016). The five-year CSS was 71.2% in the low PNI group and 92.3% in the high PNI group, which showed a significant difference (p=0.0155). A multivariate analysis showed that lymph node metastasis and the CONUT score were independent risk factors for CSS.\nCONCLUSION: This study suggested that the CONUT score is a strong independent predictor of the survival among CRC patients.","container-title":"PloS One","DOI":"10.1371/journal.pone.0132488","ISSN":"1932-6203","issue":"7","journalAbbreviation":"PLoS One","language":"eng","note":"PMID: 26147805\nPMCID: PMC4492767","page":"e0132488","source":"PubMed","title":"Impact of the Preoperative Controlling Nutritional Status (CONUT) Score on the Survival after Curative Surgery for Colorectal Cancer","volume":"10","author":[{"family":"Iseki","given":"Yasuhito"},{"family":"Shibutani","given":"Masatsune"},{"family":"Maeda","given":"Kiyoshi"},{"family":"Nagahara","given":"Hisashi"},{"family":"Ohtani","given":"Hiroshi"},{"family":"Sugano","given":"Kenji"},{"family":"Ikeya","given":"Tetsuro"},{"family":"Muguruma","given":"Kazuya"},{"family":"Tanaka","given":"Hiroaki"},{"family":"Toyokawa","given":"Takahiro"},{"family":"Sakurai","given":"Katsunobu"},{"family":"Hirakawa","given":"Kosei"}],"issued":{"date-parts":[["2015"]]}}},{"id":726,"uris":["http://zotero.org/users/7388323/items/TNQF5FXZ"],"uri":["http://zotero.org/users/7388323/items/TNQF5FXZ"],"itemData":{"id":726,"type":"article-journal","abstract":"Background: The preoperative controlling nutritional status (CONUT) score and circulating tumour cell (CTC) status are associated with poor prognosis of colorectal cancer (CRC). The aim of the present study is to determine whether the combination of CONUT and CTC (CONUT-CTC) could better predict the prognosis of CRC patients treated with curative resection. Methods: Preoperative CONUT score was retrospectively calculated in 160 CRC patients who underwent curative resection at Zhongnan Hospital of Wuhan University from 2015 to 2017. Preoperative CTC counts were enumerated from 5 ml peripheral vein blood by a CTCBIOPSY® device. According to the preoperative CONUT and CTC status, the patients were divided into three groups: CONUT-CTC (0), CONUT-CTC (1) and CONUT-CTC (2). The relationship between CONUT score and CTC, as well as the associations of CONUT-CTC status with clinicopathological factors and survival, were evaluated. Results: Preoperatively, the number and positive rate of CTC were positively correlated with the preoperative CONUT score (P&lt;0.01). An elevated CONUT-CTC score was significantly associated with deeper tumour invasion (P=0.025), lymphatic vessel invasion (P=0.002), venous invasion (P&lt;0.001) and higher pTNM stage (P=0.033). Kaplan-Meier analysis and log-rank tests revealed significant decreases in recurrence-free survival (RFS) and cancer-specific survival (CSS) among CRC patients with CONUT-CTC score of 0, 1 and 2 (P&lt;0.001). In pTNM stage-stratified analysis, high CONUT-CTC score was significantly associated with the poor (P&lt;0.001) and CSS (P&lt;0.001) of patients with stage III disease, but not correlated with the prognosis of patients with stage II disease (RFS: P=0.077; CSS: P&lt;0.090). Further univariate and multivariate analyses showed that CONUT-CTC was an independent factor affecting patients' RFS [hazard ratio (HR)=2.66, 95% confidence interval (CI):1.79-3.96, P&lt;0.001] and CSS (HR=3.75, 95%CI: 2.14-6.57, P&lt;0.001). In time-dependent receiver operating characteristics (ROC) analyses, CONUT-CTC score had a higher area under the ROC curve (AUC) for the prediction of RFS and CSS than did preoperative CONUT score or CTC status. Conclusion: The preoperative CONUT-CTC score is associated with tumour progression and poor prognosis in patients with CRC treated with curative resection, indicating that better information on CRC prognosis could be obtained from combined preoperative host immune-nutritional status and CTC detection.","container-title":"International Journal of Biological Sciences","DOI":"10.7150/ijbs.33671","ISSN":"1449-2288","issue":"6","journalAbbreviation":"Int J Biol Sci","language":"eng","note":"PMID: 31223290\nPMCID: PMC6567813","page":"1325-1335","source":"PubMed","title":"Combined Features Based on Preoperative Controlling Nutritional Status Score and Circulating Tumour Cell Status Predict Prognosis for Colorectal Cancer Patients Treated with Curative Resection","volume":"15","author":[{"family":"Yang","given":"Chaogang"},{"family":"Wei","given":"Chen"},{"family":"Wang","given":"Shuyi"},{"family":"Han","given":"Song"},{"family":"Shi","given":"Dongdong"},{"family":"Zhang","given":"Chunxiao"},{"family":"Lin","given":"Xiaobin"},{"family":"Dou","given":"Rongzhang"},{"family":"Xiong","given":"Bin"}],"issued":{"date-parts":[["2019"]]}}},{"id":729,"uris":["http://zotero.org/users/7388323/items/94SNFLIC"],"uri":["http://zotero.org/users/7388323/items/94SNFLIC"],"itemData":{"id":729,"type":"article-journal","abstract":"BACKGROUND: The role of controlling nutritional status (CONUT) score in predicting cancer survival remains uncertain. This study aimed to investigate the predictive value of the CONUT score and to develop a more appropriate scoring system beyond CONUT for gastric cancer.\nMETHODS: We retrospectively reviewed 1307 patients who underwent curative gastrectomy between 2009 and 2015. The CONUT and three modified scores with modified lipid components (L-CONUT: albumin/total lymphocyte count [TLC]/low density lipoprotein, H-CONUT: albumin/TLC/high density lipoprotein, and T-CONUT: albumin/TLC/triglyceride) were calculated. The predictive value of each scoring system on long-term survival was assessed.\nRESULTS: The values of the four nutritional scores were categorized into four groups (normal, light, moderate, and severe). The CONUT (P &lt; 0.001), L-CONUT (P &lt; 0.001), H-CONUT (P &lt; 0.001), and T-CONUT (P &lt; 0.001) scores showed significant differences in overall survival in between groups. Survival analysis according to the pathological stage showed that advanced age, Eastern Cooperative Oncology Group performance status, male sex, and moderate H-CONUT score (HR, 3.970; 95% CI, 1.826-8.633; P = 0.001) were independent worse prognostic factors for overall survival in the stage I group. In the stage II group, light CONUT score (HR, 2.230; 95% CI, 1.067-4.664; P = 0.033) and moderate CONUT score (HR, 5.077; 95% CI, 1.647-15.650; P = 0.005) were significantly associated with poor prognosis. In the stage III group, no scoring system showed significant results.\nCONCLUSION: In advanced gastric cancer (beyond stage II), the prognostic impact of the nutritional scoring system was uncertain. However, the H-CONUT score is a promising indicator of prognosis in stage I, and the CONUT score is useful for predicting long-term survival in stage II gastric cancer.","container-title":"Surgical Oncology","DOI":"10.1016/j.suronc.2020.05.008","ISSN":"1879-3320","journalAbbreviation":"Surg Oncol","language":"eng","note":"PMID: 32891340","page":"261-269","source":"PubMed","title":"Modified controlling nutritional status score: A refined prognostic indicator depending on the stage of gastric cancer","title-short":"Modified controlling nutritional status score","volume":"34","author":[{"family":"Jeon","given":"Chul Hyo"},{"family":"Park","given":"Ki Bum"},{"family":"Jung","given":"Yoon Ju"},{"family":"Seo","given":"Ho Seok"},{"family":"Park","given":"Cho Hyun"},{"family":"Song","given":"Kyo Young"},{"family":"Lee","given":"Han Hong"}],"issued":{"date-parts":[["2020",9]]}}},{"id":731,"uris":["http://zotero.org/users/7388323/items/UFNXZIC8"],"uri":["http://zotero.org/users/7388323/items/UFNXZIC8"],"itemData":{"id":731,"type":"article-journal","abstract":"BACKGROUND/AIM: The present study aimed to examine the association of the controlling nutritional status (CONUT) score with outcomes in patients undergoing esophagectomy for esophageal cancer (EC).\nMATERIALS AND METHODS: A systematic literature review was carried out to investigate the impact of the CONUT score in EC. Next, meta-analysis of long-term outcomes was performed.\nRESULTS: The search found six eligible retrospective studies, and five studies with 952 patients were included in the meta-analysis. Meta-analysis found a significant association of the CONUT score with outcomes including overall survival [hazard ratio (HR)=2.51, 95% confidence interval (CI)=1.75-3.60, p&lt;0.001], cancer-specific survival (HR=2.60, 95%CI=1.53-4.41, p&lt;0.001), and recurrence free survival (HR=2.08, 95%CI=1.39-3.12, p&lt;0.001).\nCONCLUSION: The CONUT score may be an independent predictor associated with prognosis in patients undergoing esophagectomy for EC. However, further studies are needed to clarify the association of the CONUT score with postoperative outcomes in EC patients.","container-title":"Anticancer Research","DOI":"10.21873/anticanres.14541","ISSN":"1791-7530","issue":"10","journalAbbreviation":"Anticancer Res","language":"eng","note":"PMID: 32988852","page":"5343-5349","source":"PubMed","title":"Systematic Review on the Controlling Nutritional Status (CONUT) Score in Patients Undergoing Esophagectomy for Esophageal Cancer","volume":"40","author":[{"family":"Takagi","given":"Kosei"},{"family":"Buettner","given":"Stefan"},{"family":"Ijzermans","given":"Jan N. M."},{"family":"Wijnhoven","given":"Bas P. L."}],"issued":{"date-parts":[["2020",10]]}}}],"schema":"https://github.com/citation-style-language/schema/raw/master/csl-citation.json"}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[106-109]</w:t>
      </w:r>
      <w:r w:rsidRPr="00903DE3">
        <w:rPr>
          <w:rFonts w:ascii="Times New Roman" w:hAnsi="Times New Roman"/>
          <w:sz w:val="28"/>
          <w:szCs w:val="28"/>
        </w:rPr>
        <w:fldChar w:fldCharType="end"/>
      </w:r>
      <w:r w:rsidRPr="00903DE3">
        <w:rPr>
          <w:rFonts w:ascii="Times New Roman" w:hAnsi="Times New Roman"/>
          <w:sz w:val="28"/>
          <w:szCs w:val="28"/>
        </w:rPr>
        <w:t xml:space="preserve">. В отечественной и зарубежной литературе преобладают исследования о влиянии дооперационных показателей ПНИ, альбумина, гемоглобина, показателей анкет нутритивного статуса, индекса массы тела (ИМТ) на развитие осложнений и выживаемость больных после обширных хирургических операции на желудочно-кишечном тракте (ЖКТ)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n6pgie2bu","properties":{"formattedCitation":"[70\\uc0\\u8211{}74]","plainCitation":"[70–74]","noteIndex":0},"citationItems":[{"id":723,"uris":["http://zotero.org/users/7388323/items/8WFXVWED"],"uri":["http://zotero.org/users/7388323/items/8WFXVWED"],"itemData":{"id":723,"type":"article-journal","abstract":"BACKGROUND: Recently, the preoperative immune-nutritional status has been reported to correlate with the survival rate in patients with colorectal cancer (CRC). However, there have been no reports on the relationship between the controlling nutritional status (CONUT) score and the clinical outcome after curative surgery for CRC. We herein evaluated the prognostic significance of the CONUT score in patients with CRC, and then compared the accuracy of the CONUT score and the prognostic nutritional index (PNI) as a predictor of survival.\nMETHODS: We retrospectively reviewed a database of 204 patients who underwent curative surgery for Stage II/III CRC. Patients were divided into two groups according to the CONUT score and the PNI.\nRESULTS: The five-year cancer-specific survival (CSS) rate was significantly higher at 92.7% in the low CONUT group, compared to a rate of 81.0% in the high CONUT group (p=0.0016). The five-year CSS was 71.2% in the low PNI group and 92.3% in the high PNI group, which showed a significant difference (p=0.0155). A multivariate analysis showed that lymph node metastasis and the CONUT score were independent risk factors for CSS.\nCONCLUSION: This study suggested that the CONUT score is a strong independent predictor of the survival among CRC patients.","container-title":"PloS One","DOI":"10.1371/journal.pone.0132488","ISSN":"1932-6203","issue":"7","journalAbbreviation":"PLoS One","language":"eng","note":"PMID: 26147805\nPMCID: PMC4492767","page":"e0132488","source":"PubMed","title":"Impact of the Preoperative Controlling Nutritional Status (CONUT) Score on the Survival after Curative Surgery for Colorectal Cancer","volume":"10","author":[{"family":"Iseki","given":"Yasuhito"},{"family":"Shibutani","given":"Masatsune"},{"family":"Maeda","given":"Kiyoshi"},{"family":"Nagahara","given":"Hisashi"},{"family":"Ohtani","given":"Hiroshi"},{"family":"Sugano","given":"Kenji"},{"family":"Ikeya","given":"Tetsuro"},{"family":"Muguruma","given":"Kazuya"},{"family":"Tanaka","given":"Hiroaki"},{"family":"Toyokawa","given":"Takahiro"},{"family":"Sakurai","given":"Katsunobu"},{"family":"Hirakawa","given":"Kosei"}],"issued":{"date-parts":[["2015"]]}}},{"id":726,"uris":["http://zotero.org/users/7388323/items/TNQF5FXZ"],"uri":["http://zotero.org/users/7388323/items/TNQF5FXZ"],"itemData":{"id":726,"type":"article-journal","abstract":"Background: The preoperative controlling nutritional status (CONUT) score and circulating tumour cell (CTC) status are associated with poor prognosis of colorectal cancer (CRC). The aim of the present study is to determine whether the combination of CONUT and CTC (CONUT-CTC) could better predict the prognosis of CRC patients treated with curative resection. Methods: Preoperative CONUT score was retrospectively calculated in 160 CRC patients who underwent curative resection at Zhongnan Hospital of Wuhan University from 2015 to 2017. Preoperative CTC counts were enumerated from 5 ml peripheral vein blood by a CTCBIOPSY® device. According to the preoperative CONUT and CTC status, the patients were divided into three groups: CONUT-CTC (0), CONUT-CTC (1) and CONUT-CTC (2). The relationship between CONUT score and CTC, as well as the associations of CONUT-CTC status with clinicopathological factors and survival, were evaluated. Results: Preoperatively, the number and positive rate of CTC were positively correlated with the preoperative CONUT score (P&lt;0.01). An elevated CONUT-CTC score was significantly associated with deeper tumour invasion (P=0.025), lymphatic vessel invasion (P=0.002), venous invasion (P&lt;0.001) and higher pTNM stage (P=0.033). Kaplan-Meier analysis and log-rank tests revealed significant decreases in recurrence-free survival (RFS) and cancer-specific survival (CSS) among CRC patients with CONUT-CTC score of 0, 1 and 2 (P&lt;0.001). In pTNM stage-stratified analysis, high CONUT-CTC score was significantly associated with the poor (P&lt;0.001) and CSS (P&lt;0.001) of patients with stage III disease, but not correlated with the prognosis of patients with stage II disease (RFS: P=0.077; CSS: P&lt;0.090). Further univariate and multivariate analyses showed that CONUT-CTC was an independent factor affecting patients' RFS [hazard ratio (HR)=2.66, 95% confidence interval (CI):1.79-3.96, P&lt;0.001] and CSS (HR=3.75, 95%CI: 2.14-6.57, P&lt;0.001). In time-dependent receiver operating characteristics (ROC) analyses, CONUT-CTC score had a higher area under the ROC curve (AUC) for the prediction of RFS and CSS than did preoperative CONUT score or CTC status. Conclusion: The preoperative CONUT-CTC score is associated with tumour progression and poor prognosis in patients with CRC treated with curative resection, indicating that better information on CRC prognosis could be obtained from combined preoperative host immune-nutritional status and CTC detection.","container-title":"International Journal of Biological Sciences","DOI":"10.7150/ijbs.33671","ISSN":"1449-2288","issue":"6","journalAbbreviation":"Int J Biol Sci","language":"eng","note":"PMID: 31223290\nPMCID: PMC6567813","page":"1325-1335","source":"PubMed","title":"Combined Features Based on Preoperative Controlling Nutritional Status Score and Circulating Tumour Cell Status Predict Prognosis for Colorectal Cancer Patients Treated with Curative Resection","volume":"15","author":[{"family":"Yang","given":"Chaogang"},{"family":"Wei","given":"Chen"},{"family":"Wang","given":"Shuyi"},{"family":"Han","given":"Song"},{"family":"Shi","given":"Dongdong"},{"family":"Zhang","given":"Chunxiao"},{"family":"Lin","given":"Xiaobin"},{"family":"Dou","given":"Rongzhang"},{"family":"Xiong","given":"Bin"}],"issued":{"date-parts":[["2019"]]}}},{"id":729,"uris":["http://zotero.org/users/7388323/items/94SNFLIC"],"uri":["http://zotero.org/users/7388323/items/94SNFLIC"],"itemData":{"id":729,"type":"article-journal","abstract":"BACKGROUND: The role of controlling nutritional status (CONUT) score in predicting cancer survival remains uncertain. This study aimed to investigate the predictive value of the CONUT score and to develop a more appropriate scoring system beyond CONUT for gastric cancer.\nMETHODS: We retrospectively reviewed 1307 patients who underwent curative gastrectomy between 2009 and 2015. The CONUT and three modified scores with modified lipid components (L-CONUT: albumin/total lymphocyte count [TLC]/low density lipoprotein, H-CONUT: albumin/TLC/high density lipoprotein, and T-CONUT: albumin/TLC/triglyceride) were calculated. The predictive value of each scoring system on long-term survival was assessed.\nRESULTS: The values of the four nutritional scores were categorized into four groups (normal, light, moderate, and severe). The CONUT (P &lt; 0.001), L-CONUT (P &lt; 0.001), H-CONUT (P &lt; 0.001), and T-CONUT (P &lt; 0.001) scores showed significant differences in overall survival in between groups. Survival analysis according to the pathological stage showed that advanced age, Eastern Cooperative Oncology Group performance status, male sex, and moderate H-CONUT score (HR, 3.970; 95% CI, 1.826-8.633; P = 0.001) were independent worse prognostic factors for overall survival in the stage I group. In the stage II group, light CONUT score (HR, 2.230; 95% CI, 1.067-4.664; P = 0.033) and moderate CONUT score (HR, 5.077; 95% CI, 1.647-15.650; P = 0.005) were significantly associated with poor prognosis. In the stage III group, no scoring system showed significant results.\nCONCLUSION: In advanced gastric cancer (beyond stage II), the prognostic impact of the nutritional scoring system was uncertain. However, the H-CONUT score is a promising indicator of prognosis in stage I, and the CONUT score is useful for predicting long-term survival in stage II gastric cancer.","container-title":"Surgical Oncology","DOI":"10.1016/j.suronc.2020.05.008","ISSN":"1879-3320","journalAbbreviation":"Surg Oncol","language":"eng","note":"PMID: 32891340","page":"261-269","source":"PubMed","title":"Modified controlling nutritional status score: A refined prognostic indicator depending on the stage of gastric cancer","title-short":"Modified controlling nutritional status score","volume":"34","author":[{"family":"Jeon","given":"Chul Hyo"},{"family":"Park","given":"Ki Bum"},{"family":"Jung","given":"Yoon Ju"},{"family":"Seo","given":"Ho Seok"},{"family":"Park","given":"Cho Hyun"},{"family":"Song","given":"Kyo Young"},{"family":"Lee","given":"Han Hong"}],"issued":{"date-parts":[["2020",9]]}}},{"id":731,"uris":["http://zotero.org/users/7388323/items/UFNXZIC8"],"uri":["http://zotero.org/users/7388323/items/UFNXZIC8"],"itemData":{"id":731,"type":"article-journal","abstract":"BACKGROUND/AIM: The present study aimed to examine the association of the controlling nutritional status (CONUT) score with outcomes in patients undergoing esophagectomy for esophageal cancer (EC).\nMATERIALS AND METHODS: A systematic literature review was carried out to investigate the impact of the CONUT score in EC. Next, meta-analysis of long-term outcomes was performed.\nRESULTS: The search found six eligible retrospective studies, and five studies with 952 patients were included in the meta-analysis. Meta-analysis found a significant association of the CONUT score with outcomes including overall survival [hazard ratio (HR)=2.51, 95% confidence interval (CI)=1.75-3.60, p&lt;0.001], cancer-specific survival (HR=2.60, 95%CI=1.53-4.41, p&lt;0.001), and recurrence free survival (HR=2.08, 95%CI=1.39-3.12, p&lt;0.001).\nCONCLUSION: The CONUT score may be an independent predictor associated with prognosis in patients undergoing esophagectomy for EC. However, further studies are needed to clarify the association of the CONUT score with postoperative outcomes in EC patients.","container-title":"Anticancer Research","DOI":"10.21873/anticanres.14541","ISSN":"1791-7530","issue":"10","journalAbbreviation":"Anticancer Res","language":"eng","note":"PMID: 32988852","page":"5343-5349","source":"PubMed","title":"Systematic Review on the Controlling Nutritional Status (CONUT) Score in Patients Undergoing Esophagectomy for Esophageal Cancer","volume":"40","author":[{"family":"Takagi","given":"Kosei"},{"family":"Buettner","given":"Stefan"},{"family":"Ijzermans","given":"Jan N. M."},{"family":"Wijnhoven","given":"Bas P. L."}],"issued":{"date-parts":[["2020",10]]}}},{"id":733,"uris":["http://zotero.org/users/7388323/items/S77DZLVE"],"uri":["http://zotero.org/users/7388323/items/S77DZLVE"],"itemData":{"id":733,"type":"article-journal","abstract":"AIM: To clarify the previous discrepant conclusions, we performed a meta-analysis to evaluate the prognostic value of red cell distribution width (RDW) in esophageal cancer (EC).\nMETHODS: We searched the PubMed, EMBASE, Web of Science and Cochrane Library databases to identify clinical studies, followed by using STATA version 12.0 for statistical analysis. Studies that met the following criteria were considered eligible: (1) Studies including EC patients who underwent radical esophagectomy; (2) studies including patients with localized disease without distant metastasis; (3) studies including patients without preoperative neoadjuvant therapy; (4) studies including patients without previous antiinﬂammatory therapies and with available preoperative laboratory outcomes; (5) studies reporting association between the preoperative RDW and overall survival (OS)/disease-free survival (DFS)/cancer-specific survival (CSS); and (6) studies published in English.\nRESULTS: A total of six articles, published between 2015 and 2017, fulfilled the selection criteria in the end. Statistical analysis showed that RDW was not associated with the prognosis of EC patients, irrespective of OS/CSS [hazard ratio (HR) = 1.27, 95% confidence interval (CI): 0.97-1.57, P = 0.000] or DFS (HR = 1.42, 95%CI: 0.96-1.88, P = 0.000). Subgroup analysis indicated that elevated RDW was significantly associated with worse OS/CSS of EC patients when RDW &gt; 13% (HR = 1.45, 95%CI: 1.13-1.76, P = 0.000), when the patient number ≤ 400 (HR = 1.45, 95%CI: 1.13-1.76, P = 0.000) and when the study type was retrospective (HR = 1.42, 95%CI : 1.16-1.69, P = 0.000).\nCONCLUSION: Contrary to our general understanding, this meta-analysis revealed that RDW cannot serve as an indicator of poor prognosis in patients with EC. However, it may still be a useful predictor of unfavorable prognosis using an appropriate cut-off value.","container-title":"World Journal of Gastroenterology","DOI":"10.3748/wjg.v24.i19.2120","ISSN":"2219-2840","issue":"19","journalAbbreviation":"World J Gastroenterol","language":"eng","note":"PMID: 29785080\nPMCID: PMC5960817","page":"2120-2129","source":"PubMed","title":"Prognostic impact of the red cell distribution width in esophageal cancer patients: A systematic review and meta-analysis","title-short":"Prognostic impact of the red cell distribution width in esophageal cancer patients","volume":"24","author":[{"family":"Xu","given":"Wei-Yu"},{"family":"Yang","given":"Xiao-Bo"},{"family":"Wang","given":"Wen-Qin"},{"family":"Bai","given":"Yi"},{"family":"Long","given":"Jun-Yu"},{"family":"Lin","given":"Jian-Zhen"},{"family":"Xiong","given":"Jian-Ping"},{"family":"Zheng","given":"Yong-Chang"},{"family":"He","given":"Xiao-Dong"},{"family":"Zhao","given":"Hai-Tao"},{"family":"Sang","given":"Xin-Ting"}],"issued":{"date-parts":[["2018",5,21]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[108-110]</w:t>
      </w:r>
      <w:r w:rsidRPr="00903DE3">
        <w:rPr>
          <w:rFonts w:ascii="Times New Roman" w:hAnsi="Times New Roman"/>
          <w:sz w:val="28"/>
          <w:szCs w:val="28"/>
        </w:rPr>
        <w:fldChar w:fldCharType="end"/>
      </w:r>
      <w:r w:rsidRPr="00903DE3">
        <w:rPr>
          <w:rFonts w:ascii="Times New Roman" w:hAnsi="Times New Roman"/>
          <w:sz w:val="28"/>
          <w:szCs w:val="28"/>
        </w:rPr>
        <w:t xml:space="preserve">. </w:t>
      </w:r>
    </w:p>
    <w:p w14:paraId="1B507528"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Полученные результаты свидетельствуют о влиянии операции на долгосрочную выживаемость. В большинстве предыдущих исследований, изучающих связь между осложнениями и исходами после операции по поводу рака ободочной кишки изучались биологические факторы, сопутствующая патология, инфекционные и хирургические осложнения. Не опубликована подробная информация о влиянии на выживаемость осложнений функционального характера, связанными с нарушением всасывания, развитием синдрома мальабсорбции, дисбактериоза, синдрома избыточного бактериального роста, нутритивной недостаточностью.</w:t>
      </w:r>
    </w:p>
    <w:p w14:paraId="78AB4A02" w14:textId="77777777" w:rsidR="00403127" w:rsidRPr="00903DE3" w:rsidRDefault="00403127" w:rsidP="00403127">
      <w:pPr>
        <w:spacing w:after="0" w:line="240" w:lineRule="auto"/>
        <w:ind w:firstLine="708"/>
        <w:jc w:val="both"/>
        <w:rPr>
          <w:rFonts w:ascii="Times New Roman" w:hAnsi="Times New Roman"/>
          <w:sz w:val="28"/>
          <w:szCs w:val="28"/>
        </w:rPr>
      </w:pPr>
    </w:p>
    <w:p w14:paraId="5E431DB2" w14:textId="77777777" w:rsidR="00403127" w:rsidRPr="00903DE3" w:rsidRDefault="00403127" w:rsidP="00403127">
      <w:pPr>
        <w:spacing w:after="0" w:line="240" w:lineRule="auto"/>
        <w:ind w:firstLine="567"/>
        <w:jc w:val="both"/>
        <w:rPr>
          <w:rFonts w:ascii="Times New Roman" w:hAnsi="Times New Roman"/>
          <w:b/>
          <w:bCs/>
          <w:sz w:val="28"/>
          <w:szCs w:val="28"/>
        </w:rPr>
      </w:pPr>
      <w:r w:rsidRPr="00903DE3">
        <w:rPr>
          <w:rFonts w:ascii="Times New Roman" w:hAnsi="Times New Roman"/>
          <w:b/>
          <w:sz w:val="28"/>
          <w:szCs w:val="28"/>
        </w:rPr>
        <w:lastRenderedPageBreak/>
        <w:t xml:space="preserve">1.4 </w:t>
      </w:r>
      <w:r w:rsidRPr="00903DE3">
        <w:rPr>
          <w:rFonts w:ascii="Times New Roman" w:hAnsi="Times New Roman"/>
          <w:b/>
          <w:sz w:val="28"/>
          <w:szCs w:val="28"/>
          <w:lang w:bidi="kn-IN"/>
        </w:rPr>
        <w:t xml:space="preserve">Особенности </w:t>
      </w:r>
      <w:r w:rsidRPr="00903DE3">
        <w:rPr>
          <w:rFonts w:ascii="Times New Roman" w:hAnsi="Times New Roman"/>
          <w:b/>
          <w:bCs/>
          <w:sz w:val="28"/>
          <w:szCs w:val="28"/>
          <w:lang w:bidi="kn-IN"/>
        </w:rPr>
        <w:t>патогенеза функциональных осложнений после хирургического лечения злокачественных новообразований ободочной кишки</w:t>
      </w:r>
    </w:p>
    <w:p w14:paraId="4FD70FF4" w14:textId="77777777" w:rsidR="00403127"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Анатомическое строение всех отделов кишечника различается в соответствии с функциональными задачами, следовательно и патофизиологические изменения во многом зависят от объема и вида резекции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ktopkd17t","properties":{"formattedCitation":"[25]","plainCitation":"[25]","noteIndex":0},"citationItems":[{"id":793,"uris":["http://zotero.org/users/7388323/items/8AMWLPTG"],"uri":["http://zotero.org/users/7388323/items/8AMWLPTG"],"itemData":{"id":793,"type":"book","abstract":"В монографии проанализированы причины неблагоприятных исходов применения резервуарных илеоректальных анастомозов после колэктомии, положившие основу разработке и обоснованию нового способа патогенетической коррекции постколэктомических нарушений. Подробно изложены экспериментальные и клинические данные принципиальных отличий и преимуществ нового способа резервуарной конструкции. Книга адресована широкому кругу хирургов, онкологов, колопроктологов и гастроэнтерологов.","language":"ru","publisher":"Новосибирское отделение издательства \"Наука\"","source":"eLibrary.ru","title":"Хирургическая коррекция постколэктомических нарушений","URL":"https://elibrary.ru/item.asp?id=19530367","author":[{"family":"Жерлов","given":"Георгий Кириллович"},{"family":"Баширов","given":"Сергей Рафаэльевич"},{"family":"Рыжов","given":"Александр Иванович"}],"accessed":{"date-parts":[["2021",1,26]]}}}],"schema":"https://github.com/citation-style-language/schema/raw/master/csl-citation.json"}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[29]</w:t>
      </w:r>
      <w:r w:rsidRPr="00903DE3">
        <w:rPr>
          <w:rFonts w:ascii="Times New Roman" w:hAnsi="Times New Roman"/>
          <w:sz w:val="28"/>
          <w:szCs w:val="28"/>
        </w:rPr>
        <w:fldChar w:fldCharType="end"/>
      </w:r>
      <w:r w:rsidRPr="00903DE3">
        <w:rPr>
          <w:rFonts w:ascii="Times New Roman" w:hAnsi="Times New Roman"/>
          <w:sz w:val="28"/>
          <w:szCs w:val="28"/>
        </w:rPr>
        <w:t>. В двенадцатиперстной кишке начинается процесс кишечного пищеварения в соответствии с рисунком 12, ощелачивание химуса, стимуляция выработки пищеварительных ферментов.</w:t>
      </w:r>
    </w:p>
    <w:p w14:paraId="088BD8C3" w14:textId="77777777" w:rsidR="00403127" w:rsidRDefault="00403127" w:rsidP="00403127">
      <w:pPr>
        <w:spacing w:after="0" w:line="240" w:lineRule="auto"/>
        <w:ind w:firstLine="567"/>
        <w:jc w:val="both"/>
        <w:rPr>
          <w:rFonts w:ascii="Times New Roman" w:hAnsi="Times New Roman"/>
          <w:sz w:val="28"/>
          <w:szCs w:val="28"/>
        </w:rPr>
      </w:pPr>
    </w:p>
    <w:p w14:paraId="78077180" w14:textId="77777777" w:rsidR="00403127" w:rsidRDefault="00403127" w:rsidP="00403127">
      <w:pPr>
        <w:spacing w:after="0" w:line="240" w:lineRule="auto"/>
        <w:ind w:firstLine="567"/>
        <w:jc w:val="both"/>
        <w:rPr>
          <w:rFonts w:ascii="Times New Roman" w:hAnsi="Times New Roman"/>
          <w:sz w:val="28"/>
          <w:szCs w:val="28"/>
        </w:rPr>
      </w:pPr>
    </w:p>
    <w:p w14:paraId="509A3256" w14:textId="77777777" w:rsidR="00403127" w:rsidRPr="00903DE3" w:rsidRDefault="00403127" w:rsidP="00403127">
      <w:pPr>
        <w:spacing w:after="0" w:line="240" w:lineRule="auto"/>
        <w:ind w:firstLine="708"/>
        <w:jc w:val="center"/>
      </w:pPr>
      <w:r w:rsidRPr="00903DE3">
        <w:rPr>
          <w:noProof/>
        </w:rPr>
        <w:drawing>
          <wp:inline distT="0" distB="0" distL="0" distR="0" wp14:anchorId="708833EB" wp14:editId="343CBECD">
            <wp:extent cx="4610100" cy="4211320"/>
            <wp:effectExtent l="0" t="0" r="0" b="0"/>
            <wp:docPr id="15" name="Picture 15" descr="цветная иллюстрация пищеварительной системы, показывающая расположение пищевода, желудка, поджелудочной железы, поперечной ободочной кишки, нисходящей ободочной кишки, сигмовидной кишки, заднего прохода, прямой кишки, аппендикса, слепой кишки, восходящей ободочной кишки, тонкой кишки, желчного пузыря и печ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цветная иллюстрация пищеварительной системы, показывающая расположение пищевода, желудка, поджелудочной железы, поперечной ободочной кишки, нисходящей ободочной кишки, сигмовидной кишки, заднего прохода, прямой кишки, аппендикса, слепой кишки, восходящей ободочной кишки, тонкой кишки, желчного пузыря и печени."/>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12028" cy="4213081"/>
                    </a:xfrm>
                    <a:prstGeom prst="rect">
                      <a:avLst/>
                    </a:prstGeom>
                    <a:noFill/>
                    <a:ln>
                      <a:noFill/>
                    </a:ln>
                  </pic:spPr>
                </pic:pic>
              </a:graphicData>
            </a:graphic>
          </wp:inline>
        </w:drawing>
      </w:r>
    </w:p>
    <w:p w14:paraId="4689EA61" w14:textId="77777777" w:rsidR="00403127" w:rsidRPr="00903DE3" w:rsidRDefault="00403127" w:rsidP="00403127">
      <w:pPr>
        <w:spacing w:after="0" w:line="240" w:lineRule="auto"/>
        <w:ind w:firstLine="708"/>
        <w:jc w:val="center"/>
        <w:rPr>
          <w:rFonts w:ascii="Times New Roman" w:hAnsi="Times New Roman"/>
          <w:sz w:val="28"/>
          <w:szCs w:val="28"/>
        </w:rPr>
      </w:pPr>
    </w:p>
    <w:p w14:paraId="33F15C9D" w14:textId="77777777" w:rsidR="00403127" w:rsidRPr="00903DE3" w:rsidRDefault="00403127" w:rsidP="00403127">
      <w:pPr>
        <w:spacing w:after="0" w:line="240" w:lineRule="auto"/>
        <w:ind w:firstLine="708"/>
        <w:jc w:val="center"/>
        <w:rPr>
          <w:rFonts w:ascii="Times New Roman" w:hAnsi="Times New Roman"/>
          <w:sz w:val="28"/>
          <w:szCs w:val="28"/>
        </w:rPr>
      </w:pPr>
      <w:r w:rsidRPr="00903DE3">
        <w:rPr>
          <w:rFonts w:ascii="Times New Roman" w:hAnsi="Times New Roman"/>
          <w:sz w:val="28"/>
          <w:szCs w:val="28"/>
        </w:rPr>
        <w:t>Рисунок 12 – Схема пищеварительной системы человека [37]</w:t>
      </w:r>
    </w:p>
    <w:p w14:paraId="4D7AB08D" w14:textId="77777777" w:rsidR="00403127" w:rsidRDefault="00403127" w:rsidP="00403127">
      <w:pPr>
        <w:spacing w:after="0" w:line="240" w:lineRule="auto"/>
        <w:ind w:firstLine="567"/>
        <w:jc w:val="both"/>
        <w:rPr>
          <w:rFonts w:ascii="Times New Roman" w:hAnsi="Times New Roman"/>
          <w:sz w:val="28"/>
          <w:szCs w:val="28"/>
        </w:rPr>
      </w:pPr>
    </w:p>
    <w:p w14:paraId="76D3EFEE" w14:textId="77777777" w:rsidR="00403127" w:rsidRDefault="00403127" w:rsidP="00403127">
      <w:pPr>
        <w:spacing w:after="0" w:line="240" w:lineRule="auto"/>
        <w:ind w:firstLine="567"/>
        <w:jc w:val="both"/>
        <w:rPr>
          <w:rFonts w:ascii="Times New Roman" w:hAnsi="Times New Roman"/>
          <w:sz w:val="28"/>
          <w:szCs w:val="28"/>
        </w:rPr>
      </w:pPr>
    </w:p>
    <w:p w14:paraId="3BA86E14"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Двенадцатиперстная кишка крайне редко вовлекается в патологический процесс, требующий резекции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h3rsbcqi8","properties":{"formattedCitation":"[75]","plainCitation":"[75]","noteIndex":0},"citationItems":[{"id":794,"uris":["http://zotero.org/users/7388323/items/Z28A99MT"],"uri":["http://zotero.org/users/7388323/items/Z28A99MT"],"itemData":{"id":794,"type":"webpage","title":"Физиология человека - Покровский В.М. - Учебник - BooksMed","URL":"https://www.booksmed.com/fiziologiya/565-fiziologiya-cheloveka-pokrovskij-uchebnik.html","accessed":{"date-parts":[["2021",1,26]]}}}],"schema":"https://github.com/citation-style-language/schema/raw/master/csl-citation.json"}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[111]</w:t>
      </w:r>
      <w:r w:rsidRPr="00903DE3">
        <w:rPr>
          <w:rFonts w:ascii="Times New Roman" w:hAnsi="Times New Roman"/>
          <w:sz w:val="28"/>
          <w:szCs w:val="28"/>
        </w:rPr>
        <w:fldChar w:fldCharType="end"/>
      </w:r>
      <w:r w:rsidRPr="00903DE3">
        <w:rPr>
          <w:rFonts w:ascii="Times New Roman" w:hAnsi="Times New Roman"/>
          <w:sz w:val="28"/>
          <w:szCs w:val="28"/>
        </w:rPr>
        <w:t xml:space="preserve">. Длина тощей кишки составляет 2/5, а длина подвздошной кишки составляет 3/5 от общей длины тонкой кишки. В </w:t>
      </w:r>
      <w:proofErr w:type="spellStart"/>
      <w:r w:rsidRPr="00903DE3">
        <w:rPr>
          <w:rFonts w:ascii="Times New Roman" w:hAnsi="Times New Roman"/>
          <w:sz w:val="28"/>
          <w:szCs w:val="28"/>
        </w:rPr>
        <w:t>энтероцитах</w:t>
      </w:r>
      <w:proofErr w:type="spellEnd"/>
      <w:r w:rsidRPr="00903DE3">
        <w:rPr>
          <w:rFonts w:ascii="Times New Roman" w:hAnsi="Times New Roman"/>
          <w:sz w:val="28"/>
          <w:szCs w:val="28"/>
        </w:rPr>
        <w:t xml:space="preserve"> происходит всасывание нутриентов, витаминов, воды и электролитов. В подвздошной кишке продолжается абсорбция гидролизованной пищевой массы, воды, солей, кобаламина и других витаминов, желчных кислот после обширных резекций, особенно при сочетании тонко-толстокишечных резекции, в зависимости от адаптационных возможностей ЖКТ, происходит изменение пищеварительно-абсорбционных процессов, что в свою очередь </w:t>
      </w:r>
      <w:r w:rsidRPr="00903DE3">
        <w:rPr>
          <w:rFonts w:ascii="Times New Roman" w:hAnsi="Times New Roman"/>
          <w:sz w:val="28"/>
          <w:szCs w:val="28"/>
        </w:rPr>
        <w:lastRenderedPageBreak/>
        <w:t xml:space="preserve">проявляется потерей массы тела, нутритивной недостаточностью, электролитным дисбалансом, дефицитом витаминов, анемией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fq2QLEVH","properties":{"formattedCitation":"[25,28,29]","plainCitation":"[25,28,29]","noteIndex":0},"citationItems":[{"id":793,"uris":["http://zotero.org/users/7388323/items/8AMWLPTG"],"uri":["http://zotero.org/users/7388323/items/8AMWLPTG"],"itemData":{"id":793,"type":"book","abstract":"В монографии проанализированы причины неблагоприятных исходов применения резервуарных илеоректальных анастомозов после колэктомии, положившие основу разработке и обоснованию нового способа патогенетической коррекции постколэктомических нарушений. Подробно изложены экспериментальные и клинические данные принципиальных отличий и преимуществ нового способа резервуарной конструкции. Книга адресована широкому кругу хирургов, онкологов, колопроктологов и гастроэнтерологов.","language":"ru","publisher":"Новосибирское отделение издательства \"Наука\"","source":"eLibrary.ru","title":"Хирургическая коррекция постколэктомических нарушений","URL":"https://elibrary.ru/item.asp?id=19530367","author":[{"family":"Жерлов","given":"Георгий Кириллович"},{"family":"Баширов","given":"Сергей Рафаэльевич"},{"family":"Рыжов","given":"Александр Иванович"}],"accessed":{"date-parts":[["2021",1,26]]}}},{"id":804,"uris":["http://zotero.org/users/7388323/items/NUIUBITH"],"uri":["http://zotero.org/users/7388323/items/NUIUBITH"],"itemData":{"id":804,"type":"article-journal","container-title":"Expert Review of Gastroenterology &amp; Hepatology","DOI":"10.1586/egh.13.2","ISSN":"1747-4132","issue":"3","journalAbbreviation":"Expert Rev Gastroenterol Hepatol","language":"eng","note":"PMID: 23445228","page":"197-199","source":"PubMed","title":"The novel use of peptide analogs in short bowel syndrome","volume":"7","author":[{"family":"Jeppesen","given":"Palle Bekker"}],"issued":{"date-parts":[["2013",3]]}}},{"id":806,"uris":["http://zotero.org/users/7388323/items/KIZCTGI9"],"uri":["http://zotero.org/users/7388323/items/KIZCTGI9"],"itemData":{"id":806,"type":"article-journal","abstract":"Short-bowel syndrome is a rare problem in surgical practice and its prognosis depends on the length of intestinal remnants and/or the presence of a jejunostomy. In adults long-term total parenteral nutrition (TPN) can be avoided if the remaining small bowel is longer than 60-100 cm. In all, 50-60% of patients in the long-term follow-up are expected to be adequately nourished with oral feeding, 25% with enteral and parenteral feeding and less than 20% depend on long-term TPN alone. By using a modified diet (glutamine, growth hormone), intestinal absorption and overall prognosis could even be enhanced. The introduction of home TPN by specialized centres has resulted in a remarkable improvement in quality of life (&gt; 80% good). The main complications of long-term TPN are sepsis, thrombosis and metabolic disorders. Medical therapy of diarrhoea consists of H2-receptor antagonists (hypergastrinaemia), loperamide and secretion inhibitors (somatostatin). Several surgical procedures have been performed, either to decelerate intestinal transit or to increase the area of intestinal absorption with overall unsatisfactory results. However, in the presence of small-bowel dilatation, promising surgical results (tapering, stricturoplasty, intestinal lengthening) have been achieved. There may be advances (immunosuppression) in the future that will make intestinal transplantation a good option for some patients; at present, the 1-year patient and graft survival in around 100 patients was 60% and 40%, respectively.","container-title":"Der Chirurg; Zeitschrift Fur Alle Gebiete Der Operativen Medizen","DOI":"10.1007/s001040050230","ISSN":"0009-4722","issue":"6","journalAbbreviation":"Chirurg","language":"ger","note":"PMID: 9324432","page":"559-567","source":"PubMed","title":"[Pathophysiology, clinical aspects and therapy of short bowel syndrome]","volume":"68","author":[{"family":"Krähenbühl","given":"L."},{"family":"Büchler","given":"M. W."}],"issued":{"date-parts":[["1997",6]]}}}],"schema":"https://github.com/citation-style-language/schema/raw/master/csl-citation.json"}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[29, 32, 33]</w:t>
      </w:r>
      <w:r w:rsidRPr="00903DE3">
        <w:rPr>
          <w:rFonts w:ascii="Times New Roman" w:hAnsi="Times New Roman"/>
          <w:sz w:val="28"/>
          <w:szCs w:val="28"/>
        </w:rPr>
        <w:fldChar w:fldCharType="end"/>
      </w:r>
      <w:r w:rsidRPr="00903DE3">
        <w:rPr>
          <w:rFonts w:ascii="Times New Roman" w:hAnsi="Times New Roman"/>
          <w:sz w:val="28"/>
          <w:szCs w:val="28"/>
        </w:rPr>
        <w:t xml:space="preserve">. В толстой кишке продолжается всасывание макро и микронутриентов, поддерживается водно-электролитный баланс, формируются каловые массы. Резекция ободочной кишки может привести к электролитному дисбалансу, метаболическим нарушениям, недостаточному образованию витамина К, повышению энергетических потерь из-за отсутствия ферментации углеводов микрофлорой кишечника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22mcmc0dp9","properties":{"formattedCitation":"[80]","plainCitation":"[80]","noteIndex":0},"citationItems":[{"id":810,"uris":["http://zotero.org/users/7388323/items/YY5IE392"],"uri":["http://zotero.org/users/7388323/items/YY5IE392"],"itemData":{"id":810,"type":"article-journal","abstract":"Method of prophylaxis of postcolectomy syndrome after colectomy and rectum anterior resection at two-stage surgical treatment of severe forms of nonspecific ulcerative colitis and colon diffuse polyposis has been developed and used at 9 patients. Postoperative complications were seen at 2 (22.2%) of them. This method permits to reduce the symptoms of postcolectomy syndrome after radical stage of surgery (colectomy and anterior resection of rectum) and to improve the clinical course of postoperative period after reconstructive stage of surgery.","container-title":"Khirurgiia","ISSN":"0023-1207","issue":"4","journalAbbreviation":"Khirurgiia (Mosk)","language":"rus","note":"PMID: 17690631","page":"39-44","source":"PubMed","title":"[Method of postcolectomy syndrome prophylaxis]","author":[{"family":"Zakharash","given":"M. P."},{"family":"Mel'nik","given":"V. M."},{"family":"Poĭda","given":"A. I."}],"issued":{"date-parts":[["2007"]]}}}],"schema":"https://github.com/citation-style-language/schema/raw/master/csl-citation.json"}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[112-116]</w:t>
      </w:r>
      <w:r w:rsidRPr="00903DE3">
        <w:rPr>
          <w:rFonts w:ascii="Times New Roman" w:hAnsi="Times New Roman"/>
          <w:sz w:val="28"/>
          <w:szCs w:val="28"/>
        </w:rPr>
        <w:fldChar w:fldCharType="end"/>
      </w:r>
      <w:r w:rsidRPr="00903DE3">
        <w:rPr>
          <w:rFonts w:ascii="Times New Roman" w:hAnsi="Times New Roman"/>
          <w:sz w:val="28"/>
          <w:szCs w:val="28"/>
        </w:rPr>
        <w:t xml:space="preserve">. Распространённым осложнением после резекции ободочной кишки является угнетение абсорбции натрия и калия и развитие метаболического алкалоза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rpd97lmes","properties":{"formattedCitation":"[81\\uc0\\u8211{}83]","plainCitation":"[81–83]","noteIndex":0},"citationItems":[{"id":812,"uris":["http://zotero.org/users/7388323/items/A3CEJ9AR"],"uri":["http://zotero.org/users/7388323/items/A3CEJ9AR"],"itemData":{"id":812,"type":"webpage","title":"Книга «Патофизиология обмена веществ: Учебное пособие.» Цыган Василий Николаевич Аничков Николай Мильевич - купить на KNIGAMIR.com книгу с доставкой по всему миру | 978-5-299-00565-3","URL":"https://knigamir.com/catalog/meditsina_ID99/patofiziologiya-obmena-veshchestv-uchebnoe-posobie-pod-red-tsygana-v-n_ID163917/","accessed":{"date-parts":[["2021",1,26]]}}},{"id":815,"uris":["http://zotero.org/users/7388323/items/4HWU4IB6"],"uri":["http://zotero.org/users/7388323/items/4HWU4IB6"],"itemData":{"id":815,"type":"article-journal","language":"ru","page":"9","source":"Zotero","title":"ПРАКТИЧЕСКИЕ РЕКОМЕНДАЦИИ ПО НУТРИТИВНОЙ ПОДДЕРЖКЕ ПРИ ХИМИОТЕРАПИИ И / ИЛИ ЛУЧЕВОЙ ТЕРАПИИ У ОНКОЛОГИЧЕСКИХ БОЛЬНЫХ","issued":{"date-parts":[["2015"]]}}},{"id":816,"uris":["http://zotero.org/users/7388323/items/73W9JB89"],"uri":["http://zotero.org/users/7388323/items/73W9JB89"],"itemData":{"id":816,"type":"article-journal","abstract":"Successful treatment with cimetidine of a case of severe metabolic alkalosis secondary to gastric hypersecretion in the short bowel syndrome has been presented.","container-title":"International Surgery","ISSN":"0020-8868","issue":"3","journalAbbreviation":"Int Surg","language":"eng","note":"PMID: 632032","page":"140-142","source":"PubMed","title":"Cimetidine in the treatment of severe metabolic alkalosis secondary to short bowel syndrome","volume":"63","author":[{"family":"Doherty","given":"N. J."},{"family":"Sufian","given":"S."},{"family":"Pavlides","given":"C. A."},{"family":"Matsumoto","given":"T."}],"issued":{"date-parts":[["1978",3]]}}}],"schema":"https://github.com/citation-style-language/schema/raw/master/csl-citation.json"}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[117-119]</w:t>
      </w:r>
      <w:r w:rsidRPr="00903DE3">
        <w:rPr>
          <w:rFonts w:ascii="Times New Roman" w:hAnsi="Times New Roman"/>
          <w:sz w:val="28"/>
          <w:szCs w:val="28"/>
        </w:rPr>
        <w:fldChar w:fldCharType="end"/>
      </w:r>
      <w:r w:rsidRPr="00903DE3">
        <w:rPr>
          <w:rFonts w:ascii="Times New Roman" w:hAnsi="Times New Roman"/>
          <w:sz w:val="28"/>
          <w:szCs w:val="28"/>
        </w:rPr>
        <w:t xml:space="preserve">. Совокупность функциональных и метаболических осложнений после резекции ободочной кишки объединена под термином «постколэктомический синдром»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kfSNV5kt","properties":{"formattedCitation":"[25,26]","plainCitation":"[25,26]","noteIndex":0},"citationItems":[{"id":793,"uris":["http://zotero.org/users/7388323/items/8AMWLPTG"],"uri":["http://zotero.org/users/7388323/items/8AMWLPTG"],"itemData":{"id":793,"type":"book","abstract":"В монографии проанализированы причины неблагоприятных исходов применения резервуарных илеоректальных анастомозов после колэктомии, положившие основу разработке и обоснованию нового способа патогенетической коррекции постколэктомических нарушений. Подробно изложены экспериментальные и клинические данные принципиальных отличий и преимуществ нового способа резервуарной конструкции. Книга адресована широкому кругу хирургов, онкологов, колопроктологов и гастроэнтерологов.","language":"ru","publisher":"Новосибирское отделение издательства \"Наука\"","source":"eLibrary.ru","title":"Хирургическая коррекция постколэктомических нарушений","URL":"https://elibrary.ru/item.asp?id=19530367","author":[{"family":"Жерлов","given":"Георгий Кириллович"},{"family":"Баширов","given":"Сергей Рафаэльевич"},{"family":"Рыжов","given":"Александр Иванович"}],"accessed":{"date-parts":[["2021",1,26]]}}},{"id":818,"uris":["http://zotero.org/users/7388323/items/BDZR7XU4"],"uri":["http://zotero.org/users/7388323/items/BDZR7XU4"],"itemData":{"id":818,"type":"article-journal","abstract":"Авторами разработан способ профилактики постколэктомического синдрома после колэктомии и передней резекции прямой кишки при двухэтапном хирургическом лечении тяжелых форм неспецифического язвенного колита и диффузного полипоза толстой кишки. Указанный способ использован у 9 больных. Послеоперационные осложнения отмечены у 2 (22,2%) больных. Применение разработанного способа позволило существенно уменьшить проявления постколэктомического синдрома после радикального этапа операции - колэктомии и передней резекции прямой кишки, уменьшить сроки выполнения и улучшить течение послеоперационного периода после восстановительного этапа операции.","container-title":"Хирургия. Журнал Им. Н.и. Пирогова","ISSN":"0023-1207, 2309-5628","issue":"4","language":"ru","source":"eLibrary.ru","title":"Метод профилактики постколэктомического синдрома","URL":"https://www.elibrary.ru/item.asp?id=13285801","author":[{"family":"Захараш","given":"М. П."},{"family":"Мельник","given":"В. М."},{"family":"Пойда","given":"А. И."}],"accessed":{"date-parts":[["2021",1,26]]},"issued":{"date-parts":[["2007"]]}}}],"schema":"https://github.com/citation-style-language/schema/raw/master/csl-citation.json"}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[29, 30]</w:t>
      </w:r>
      <w:r w:rsidRPr="00903DE3">
        <w:rPr>
          <w:rFonts w:ascii="Times New Roman" w:hAnsi="Times New Roman"/>
          <w:sz w:val="28"/>
          <w:szCs w:val="28"/>
        </w:rPr>
        <w:fldChar w:fldCharType="end"/>
      </w:r>
      <w:r w:rsidRPr="00903DE3">
        <w:rPr>
          <w:rFonts w:ascii="Times New Roman" w:hAnsi="Times New Roman"/>
          <w:sz w:val="28"/>
          <w:szCs w:val="28"/>
        </w:rPr>
        <w:t>.</w:t>
      </w:r>
    </w:p>
    <w:p w14:paraId="4793CF67" w14:textId="77777777" w:rsidR="00403127"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Костюченко Л.Н. и соавт. предложили классификацию функциональных нарушений, возникающих после резекции кишечника в зависимости от объема и уровня хирургических вмешательств </w:t>
      </w:r>
      <w:r w:rsidRPr="00903DE3">
        <w:rPr>
          <w:rFonts w:ascii="Times New Roman" w:hAnsi="Times New Roman"/>
          <w:sz w:val="28"/>
          <w:szCs w:val="28"/>
          <w:highlight w:val="yellow"/>
        </w:rPr>
        <w:fldChar w:fldCharType="begin"/>
      </w:r>
      <w:r w:rsidRPr="00903DE3">
        <w:rPr>
          <w:rFonts w:ascii="Times New Roman" w:hAnsi="Times New Roman"/>
          <w:sz w:val="28"/>
          <w:szCs w:val="28"/>
          <w:highlight w:val="yellow"/>
        </w:rPr>
        <w:instrText xml:space="preserve"> ADDIN ZOTERO_ITEM CSL_CITATION {"citationID":"ae7m2a8th4","properties":{"formattedCitation":"[19,84,85]","plainCitation":"[19,84,85]","noteIndex":0},"citationItems":[{"id":820,"uris":["http://zotero.org/users/7388323/items/W4P36S5M"],"uri":["http://zotero.org/users/7388323/items/W4P36S5M"],"itemData":{"id":820,"type":"article","title":"Костюченко Л.Н. Нутриционная поддержка при последствиях обширных резекций различных отделов кишечника // Современная медицинская наука. 2013. № 3. С. 48–68"}},{"id":821,"uris":["http://zotero.org/users/7388323/items/TTAI3L8A"],"uri":["http://zotero.org/users/7388323/items/TTAI3L8A"],"itemData":{"id":821,"type":"webpage","title":"Костюченко Л.Н., Кузьмина Т.Н. Нутриционная поддержка при последствиях обширных резекций кишечника // Национальное руководство по нутрициологии. 2013. С. 563–584","URL":"https://umedp.ru/articles/nutritsionnaya_podderzhka_posle_obshirnykh_rezektsiy_kishechnika_novye_podkhody.html","accessed":{"date-parts":[["2021",1,26]]}}},{"id":823,"uris":["http://zotero.org/users/7388323/items/DHGSC9XA"],"uri":["http://zotero.org/users/7388323/items/DHGSC9XA"],"itemData":{"id":823,"type":"webpage","title":"Нутрициология в гастроэнтерологии: руководство для врачей / под ред. Л.Н. Костюченко. М.: Медицинская книга, 2013","URL":"https://shopdon.ru/nutritsiologiya-v-gastroenterologii-rukovodstvo-dlya-vrachey-kostyuchenko-ln/","accessed":{"date-parts":[["2021",1,26]]}}}],"schema":"https://github.com/citation-style-language/schema/raw/master/csl-citation.json"} </w:instrText>
      </w:r>
      <w:r w:rsidRPr="00903DE3">
        <w:rPr>
          <w:rFonts w:ascii="Times New Roman" w:hAnsi="Times New Roman"/>
          <w:sz w:val="28"/>
          <w:szCs w:val="28"/>
          <w:highlight w:val="yellow"/>
        </w:rPr>
        <w:fldChar w:fldCharType="separate"/>
      </w:r>
      <w:r w:rsidRPr="00903DE3">
        <w:rPr>
          <w:rFonts w:ascii="Times New Roman" w:hAnsi="Times New Roman"/>
          <w:sz w:val="28"/>
          <w:szCs w:val="28"/>
        </w:rPr>
        <w:t>[23, 121, 122]</w:t>
      </w:r>
      <w:r w:rsidRPr="00903DE3">
        <w:rPr>
          <w:rFonts w:ascii="Times New Roman" w:hAnsi="Times New Roman"/>
          <w:sz w:val="28"/>
          <w:szCs w:val="28"/>
          <w:highlight w:val="yellow"/>
        </w:rPr>
        <w:fldChar w:fldCharType="end"/>
      </w:r>
      <w:r w:rsidRPr="00903DE3">
        <w:rPr>
          <w:rFonts w:ascii="Times New Roman" w:hAnsi="Times New Roman"/>
          <w:sz w:val="28"/>
          <w:szCs w:val="28"/>
        </w:rPr>
        <w:t xml:space="preserve"> (таблица 2). Так как при злокачественных новообразованиях ободочной кишки хирургическое вмешательство производится в объеме сочетанных резекции тонкой и толстой кишки и/или гемиколэктомии (правосторонней и левосторонней) функциональные осложнения соответствуют типу D и F согласно классификации Костюченко Л.Н.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bvt9851cv","properties":{"formattedCitation":"[84]","plainCitation":"[84]","noteIndex":0},"citationItems":[{"id":820,"uris":["http://zotero.org/users/7388323/items/W4P36S5M"],"uri":["http://zotero.org/users/7388323/items/W4P36S5M"],"itemData":{"id":820,"type":"article","title":"Костюченко Л.Н. Нутриционная поддержка при последствиях обширных резекций различных отделов кишечника // Современная медицинская наука. 2013. № 3. С. 48–68"}}],"schema":"https://github.com/citation-style-language/schema/raw/master/csl-citation.json"}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[122]</w:t>
      </w:r>
      <w:r w:rsidRPr="00903DE3">
        <w:rPr>
          <w:rFonts w:ascii="Times New Roman" w:hAnsi="Times New Roman"/>
          <w:sz w:val="28"/>
          <w:szCs w:val="28"/>
        </w:rPr>
        <w:fldChar w:fldCharType="end"/>
      </w:r>
      <w:r w:rsidRPr="00903DE3">
        <w:rPr>
          <w:rFonts w:ascii="Times New Roman" w:hAnsi="Times New Roman"/>
          <w:sz w:val="28"/>
          <w:szCs w:val="28"/>
        </w:rPr>
        <w:t>. Осложнения типа D характеризуются осмотической диареей, ассоциированной с метаболическим ацидозом, возникающим в результате бактериальной ферментации лактозы в ободочной кишке и избытка D-молочной кислоты, которая считается осмотически активным субстратом.</w:t>
      </w:r>
    </w:p>
    <w:p w14:paraId="0C888FF7" w14:textId="3F1FBCF1" w:rsidR="00403127"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Развивается дисбактериоз верхних отделов кишечника в следствии обсеменения тонкой кишки микробиотой ободочной кишки, подвергается изменению микробное пищеварение, приводящее к гиповитаминозу, снижению иммунной реактивности, остеопорозу и электролитному дисбалансу. Дисбактериоз верхних отделов кишечника или синдром избыточного бактериального роста (СИБР) является одной из главных причин хронической диареи у больных после хирургического вмешательства на ЖКТ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mdj4900ga","properties":{"formattedCitation":"[86]","plainCitation":"[86]","noteIndex":0},"citationItems":[{"id":263,"uris":["http://zotero.org/users/7388323/items/RYTWTEWB"],"uri":["http://zotero.org/users/7388323/items/RYTWTEWB"],"itemData":{"id":263,"type":"article-journal","container-title":"The American Journal of Gastroenterology","DOI":"10.14309/ajg.0000000000000501","ISSN":"0002-9270","issue":"2","journalAbbreviation":"The American Journal of Gastroenterology","language":"en","page":"165-178","source":"DOI.org (Crossref)","title":"ACG Clinical Guideline: Small Intestinal Bacterial Overgrowth","title-short":"ACG Clinical Guideline","URL":"http://journals.lww.com/10.14309/ajg.0000000000000501","volume":"115","author":[{"family":"Pimentel","given":"Mark"},{"family":"Saad","given":"Richard J."},{"family":"Long","given":"Millie D."},{"family":"Rao","given":"Satish S. C."}],"accessed":{"date-parts":[["2020",7,7]]},"issued":{"date-parts":[["2020",2]]}}}],"schema":"https://github.com/citation-style-language/schema/raw/master/csl-citation.json"}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[122]</w:t>
      </w:r>
      <w:r w:rsidRPr="00903DE3">
        <w:rPr>
          <w:rFonts w:ascii="Times New Roman" w:hAnsi="Times New Roman"/>
          <w:sz w:val="28"/>
          <w:szCs w:val="28"/>
        </w:rPr>
        <w:fldChar w:fldCharType="end"/>
      </w:r>
      <w:r w:rsidRPr="00903DE3">
        <w:rPr>
          <w:rFonts w:ascii="Times New Roman" w:hAnsi="Times New Roman"/>
          <w:sz w:val="28"/>
          <w:szCs w:val="28"/>
        </w:rPr>
        <w:t xml:space="preserve">. Дисбактериоз верхних отделов кишечника является достаточно изученной патологией в последние десятилетия. В нормальном состоянии двенадцатиперстная и тонкая кишка имеют низкие уровни микробной колонизации по сравнению с ободочной кишкой, и этот нормальный баланс значительно меняется при развитии дисбактериоза. Существует целый ряд механизмов, ответственных за поддержание относительно стерильной среды тонкой кишки. Например, желудочный сок нейтрализует бактерии; ферменты поджелудочной железы расщепляют бактериальные продукты и способствуют эффективному усвоению питательных веществ, оставляя меньше субстратов для бактерий; в качестве детергентов желчные кислоты влияют на мембраны бактерий; равномерная моторика тонкой кишки способствуют правильному пассажу кишечного содержимого; </w:t>
      </w:r>
      <w:proofErr w:type="spellStart"/>
      <w:r w:rsidRPr="00903DE3">
        <w:rPr>
          <w:rFonts w:ascii="Times New Roman" w:hAnsi="Times New Roman"/>
          <w:sz w:val="28"/>
          <w:szCs w:val="28"/>
        </w:rPr>
        <w:t>илеоцекальный</w:t>
      </w:r>
      <w:proofErr w:type="spellEnd"/>
      <w:r w:rsidRPr="00903DE3">
        <w:rPr>
          <w:rFonts w:ascii="Times New Roman" w:hAnsi="Times New Roman"/>
          <w:sz w:val="28"/>
          <w:szCs w:val="28"/>
        </w:rPr>
        <w:t xml:space="preserve"> клапан защищает тонкую кишку от ретроградного поступления кишечной флоры; иммунная система слизистой оболочки кишки также влияет на поддержание стабильной микробиоты просвета кишечника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23gci68oj7","properties":{"formattedCitation":"[87,88]","plainCitation":"[87,88]","noteIndex":0},"citationItems":[{"id":185,"uris":["http://zotero.org/users/7388323/items/GIRU52YP"],"uri":["http://zotero.org/users/7388323/items/GIRU52YP"],"itemData":{"id":185,"type":"article-journal","container-title":"Gut","ISSN":"1468-3288","issue":"9","journalAbbreviation":"Gut","language":"eng","note":"PMID: 18719147","page":"1334-1335; author reply 1335","source":"PubMed","title":"The prevalence of small intestinal bacterial overgrowth in irritable bowel syndrome: IBS vs healthy controls (not historical definitions)","title-short":"The prevalence of small intestinal bacterial overgrowth in irritable bowel syndrome","volume":"57","author":[{"family":"Pimentel","given":"M."}],"issued":{"date-parts":[["2008",9]]}}},{"id":144,"uris":["http://zotero.org/users/7388323/items/TG5LK8C6"],"uri":["http://zotero.org/users/7388323/items/TG5LK8C6"],"itemData":{"id":144,"type":"article-journal","abstract":"Under certain conditions, colonic bacterial flora can colonize the upper small bowel in concentrations sufficient to cause mucosal damage and malabsorption of nutrients, vitamin B12, and fat-soluble vitamins. This situation, known as small bowel bacterial overgrowth syndrome (SBBOS) may be an under-appreciated cause of malnutrition in elderly people. The diagnosis of SBBOS should be considered when patients with known or suspected predisposing conditions have symptoms or findings compatible with this syndrome. However, proof of small bowel bacterial overgrowth requires specialized testing that is not readily available. Moreover, disagreement persists as to how best to test definitively for this disease. Therefore, on a practical level and despite the potential drawbacks of such a decision, SBBOS is usually diagnosed when a compatible syndrome responds to an empirical trial of appropriate oral antibiotics. Improvements on this approach to SBBOS will be built on more widespread access to sensitive, specific, and less cumbersome testing than is currently available.","container-title":"Seminars in Gastrointestinal Disease","ISSN":"1049-5118","issue":"4","journalAbbreviation":"Semin. Gastrointest. Dis.","language":"eng","note":"PMID: 12462706","page":"200-209","source":"PubMed","title":"Enteric bacterial flora and bacterial overgrowth syndrome","volume":"13","author":[{"family":"Gregg","given":"Clark R."}],"issued":{"date-parts":[["2002",10]]}}}],"schema":"https://github.com/citation-style-language/schema/raw/master/csl-citation.json"}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[123, 124]</w:t>
      </w:r>
      <w:r w:rsidRPr="00903DE3">
        <w:rPr>
          <w:rFonts w:ascii="Times New Roman" w:hAnsi="Times New Roman"/>
          <w:sz w:val="28"/>
          <w:szCs w:val="28"/>
        </w:rPr>
        <w:fldChar w:fldCharType="end"/>
      </w:r>
      <w:r w:rsidRPr="00903DE3">
        <w:rPr>
          <w:rFonts w:ascii="Times New Roman" w:hAnsi="Times New Roman"/>
          <w:sz w:val="28"/>
          <w:szCs w:val="28"/>
        </w:rPr>
        <w:t>.</w:t>
      </w:r>
    </w:p>
    <w:p w14:paraId="3FA04E8E" w14:textId="77777777" w:rsidR="005C199B" w:rsidRPr="00903DE3" w:rsidRDefault="005C199B" w:rsidP="00403127">
      <w:pPr>
        <w:spacing w:after="0" w:line="240" w:lineRule="auto"/>
        <w:ind w:firstLine="567"/>
        <w:jc w:val="both"/>
        <w:rPr>
          <w:rFonts w:ascii="Times New Roman" w:hAnsi="Times New Roman"/>
          <w:sz w:val="28"/>
          <w:szCs w:val="28"/>
        </w:rPr>
      </w:pPr>
    </w:p>
    <w:p w14:paraId="6E07BFA2" w14:textId="77777777" w:rsidR="00403127" w:rsidRPr="00903DE3" w:rsidRDefault="00403127" w:rsidP="00403127">
      <w:pPr>
        <w:spacing w:after="0" w:line="240" w:lineRule="auto"/>
        <w:jc w:val="both"/>
        <w:rPr>
          <w:rFonts w:ascii="Times New Roman" w:hAnsi="Times New Roman"/>
          <w:sz w:val="28"/>
          <w:szCs w:val="28"/>
        </w:rPr>
      </w:pPr>
      <w:r w:rsidRPr="00903DE3">
        <w:rPr>
          <w:rFonts w:ascii="Times New Roman" w:hAnsi="Times New Roman"/>
          <w:sz w:val="28"/>
          <w:szCs w:val="28"/>
        </w:rPr>
        <w:t>Таблица 2 – Классификация последствий обширных резекций кишечника</w:t>
      </w:r>
    </w:p>
    <w:p w14:paraId="3A4F9FF0" w14:textId="77777777" w:rsidR="00403127" w:rsidRPr="00903DE3" w:rsidRDefault="00403127" w:rsidP="00403127">
      <w:pPr>
        <w:spacing w:after="0" w:line="240" w:lineRule="auto"/>
        <w:jc w:val="both"/>
        <w:rPr>
          <w:rFonts w:ascii="Times New Roman" w:hAnsi="Times New Roman"/>
          <w:sz w:val="28"/>
          <w:szCs w:val="28"/>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8252"/>
      </w:tblGrid>
      <w:tr w:rsidR="00403127" w:rsidRPr="00903DE3" w14:paraId="4AE23280" w14:textId="77777777" w:rsidTr="00094F6F">
        <w:trPr>
          <w:trHeight w:val="340"/>
        </w:trPr>
        <w:tc>
          <w:tcPr>
            <w:tcW w:w="1240" w:type="dxa"/>
            <w:vMerge w:val="restart"/>
            <w:shd w:val="clear" w:color="auto" w:fill="auto"/>
            <w:vAlign w:val="center"/>
          </w:tcPr>
          <w:p w14:paraId="1BB79E38" w14:textId="77777777" w:rsidR="00403127" w:rsidRPr="00903DE3" w:rsidRDefault="00403127" w:rsidP="00094F6F">
            <w:pPr>
              <w:spacing w:after="0" w:line="240" w:lineRule="auto"/>
              <w:jc w:val="center"/>
              <w:rPr>
                <w:rFonts w:ascii="Times New Roman" w:hAnsi="Times New Roman"/>
                <w:sz w:val="24"/>
                <w:szCs w:val="24"/>
              </w:rPr>
            </w:pPr>
            <w:r w:rsidRPr="00903DE3">
              <w:rPr>
                <w:rFonts w:ascii="Times New Roman" w:hAnsi="Times New Roman"/>
                <w:sz w:val="24"/>
                <w:szCs w:val="24"/>
              </w:rPr>
              <w:t xml:space="preserve">Тип </w:t>
            </w:r>
          </w:p>
        </w:tc>
        <w:tc>
          <w:tcPr>
            <w:tcW w:w="8252" w:type="dxa"/>
            <w:shd w:val="clear" w:color="auto" w:fill="auto"/>
          </w:tcPr>
          <w:p w14:paraId="6E3D90A0" w14:textId="77777777" w:rsidR="00403127" w:rsidRPr="00903DE3" w:rsidRDefault="00403127" w:rsidP="00094F6F">
            <w:pPr>
              <w:spacing w:after="0" w:line="240" w:lineRule="auto"/>
              <w:jc w:val="center"/>
              <w:rPr>
                <w:rFonts w:ascii="Times New Roman" w:hAnsi="Times New Roman"/>
                <w:sz w:val="24"/>
                <w:szCs w:val="24"/>
              </w:rPr>
            </w:pPr>
            <w:r w:rsidRPr="00903DE3">
              <w:rPr>
                <w:rFonts w:ascii="Times New Roman" w:hAnsi="Times New Roman"/>
                <w:sz w:val="24"/>
                <w:szCs w:val="24"/>
              </w:rPr>
              <w:t>I По характеру выполненной операции</w:t>
            </w:r>
          </w:p>
        </w:tc>
      </w:tr>
      <w:tr w:rsidR="00403127" w:rsidRPr="00903DE3" w14:paraId="1F6118A7" w14:textId="77777777" w:rsidTr="00094F6F">
        <w:trPr>
          <w:trHeight w:val="340"/>
        </w:trPr>
        <w:tc>
          <w:tcPr>
            <w:tcW w:w="1240" w:type="dxa"/>
            <w:vMerge/>
            <w:shd w:val="clear" w:color="auto" w:fill="auto"/>
          </w:tcPr>
          <w:p w14:paraId="62B83363" w14:textId="77777777" w:rsidR="00403127" w:rsidRPr="00903DE3" w:rsidRDefault="00403127" w:rsidP="00094F6F">
            <w:pPr>
              <w:spacing w:after="0" w:line="240" w:lineRule="auto"/>
              <w:jc w:val="center"/>
              <w:rPr>
                <w:rFonts w:ascii="Times New Roman" w:hAnsi="Times New Roman"/>
                <w:sz w:val="24"/>
                <w:szCs w:val="24"/>
              </w:rPr>
            </w:pPr>
          </w:p>
        </w:tc>
        <w:tc>
          <w:tcPr>
            <w:tcW w:w="8252" w:type="dxa"/>
            <w:shd w:val="clear" w:color="auto" w:fill="auto"/>
          </w:tcPr>
          <w:p w14:paraId="4F984377" w14:textId="77777777" w:rsidR="00403127" w:rsidRPr="00903DE3" w:rsidRDefault="00403127" w:rsidP="00094F6F">
            <w:pPr>
              <w:spacing w:after="0" w:line="240" w:lineRule="auto"/>
              <w:jc w:val="center"/>
              <w:rPr>
                <w:rFonts w:ascii="Times New Roman" w:hAnsi="Times New Roman"/>
                <w:sz w:val="24"/>
                <w:szCs w:val="24"/>
              </w:rPr>
            </w:pPr>
            <w:r w:rsidRPr="00903DE3">
              <w:rPr>
                <w:rFonts w:ascii="Times New Roman" w:hAnsi="Times New Roman"/>
                <w:sz w:val="24"/>
                <w:szCs w:val="24"/>
              </w:rPr>
              <w:t>1</w:t>
            </w:r>
          </w:p>
        </w:tc>
      </w:tr>
      <w:tr w:rsidR="00403127" w:rsidRPr="00903DE3" w14:paraId="4A941C50" w14:textId="77777777" w:rsidTr="00094F6F">
        <w:trPr>
          <w:trHeight w:val="340"/>
        </w:trPr>
        <w:tc>
          <w:tcPr>
            <w:tcW w:w="1240" w:type="dxa"/>
            <w:shd w:val="clear" w:color="auto" w:fill="auto"/>
          </w:tcPr>
          <w:p w14:paraId="6AFB9223"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Тип А</w:t>
            </w:r>
          </w:p>
        </w:tc>
        <w:tc>
          <w:tcPr>
            <w:tcW w:w="8252" w:type="dxa"/>
            <w:shd w:val="clear" w:color="auto" w:fill="auto"/>
          </w:tcPr>
          <w:p w14:paraId="50222FE4"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 xml:space="preserve">Метаболические нарушения после изолированной резекции тонкой кишки с остаточной культей более 200 </w:t>
            </w:r>
            <w:proofErr w:type="spellStart"/>
            <w:r w:rsidRPr="00903DE3">
              <w:rPr>
                <w:rFonts w:ascii="Times New Roman" w:hAnsi="Times New Roman"/>
                <w:sz w:val="24"/>
                <w:szCs w:val="24"/>
              </w:rPr>
              <w:t>cм</w:t>
            </w:r>
            <w:proofErr w:type="spellEnd"/>
          </w:p>
        </w:tc>
      </w:tr>
      <w:tr w:rsidR="00403127" w:rsidRPr="00903DE3" w14:paraId="4FFBB683" w14:textId="77777777" w:rsidTr="00094F6F">
        <w:trPr>
          <w:trHeight w:val="340"/>
        </w:trPr>
        <w:tc>
          <w:tcPr>
            <w:tcW w:w="1240" w:type="dxa"/>
            <w:shd w:val="clear" w:color="auto" w:fill="auto"/>
          </w:tcPr>
          <w:p w14:paraId="2F0F04C7"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Тип В</w:t>
            </w:r>
          </w:p>
        </w:tc>
        <w:tc>
          <w:tcPr>
            <w:tcW w:w="8252" w:type="dxa"/>
            <w:shd w:val="clear" w:color="auto" w:fill="auto"/>
          </w:tcPr>
          <w:p w14:paraId="6E37065B"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Метаболические нарушения после изолированной резекции тонкой кишки при остаточной культе от 200 см до 50 см</w:t>
            </w:r>
          </w:p>
        </w:tc>
      </w:tr>
      <w:tr w:rsidR="00403127" w:rsidRPr="00903DE3" w14:paraId="02EEA54E" w14:textId="77777777" w:rsidTr="00094F6F">
        <w:trPr>
          <w:trHeight w:val="340"/>
        </w:trPr>
        <w:tc>
          <w:tcPr>
            <w:tcW w:w="1240" w:type="dxa"/>
            <w:shd w:val="clear" w:color="auto" w:fill="auto"/>
          </w:tcPr>
          <w:p w14:paraId="06959756"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Тип В 1</w:t>
            </w:r>
          </w:p>
        </w:tc>
        <w:tc>
          <w:tcPr>
            <w:tcW w:w="8252" w:type="dxa"/>
            <w:shd w:val="clear" w:color="auto" w:fill="auto"/>
          </w:tcPr>
          <w:p w14:paraId="33DB6641" w14:textId="77777777" w:rsidR="00403127" w:rsidRPr="00903DE3" w:rsidRDefault="00403127" w:rsidP="00094F6F">
            <w:pPr>
              <w:spacing w:after="0" w:line="240" w:lineRule="auto"/>
              <w:jc w:val="both"/>
              <w:rPr>
                <w:rFonts w:ascii="Times New Roman" w:hAnsi="Times New Roman"/>
                <w:sz w:val="24"/>
                <w:szCs w:val="24"/>
              </w:rPr>
            </w:pPr>
            <w:proofErr w:type="gramStart"/>
            <w:r w:rsidRPr="00903DE3">
              <w:rPr>
                <w:rFonts w:ascii="Times New Roman" w:hAnsi="Times New Roman"/>
                <w:sz w:val="24"/>
                <w:szCs w:val="24"/>
              </w:rPr>
              <w:t>после</w:t>
            </w:r>
            <w:proofErr w:type="gramEnd"/>
            <w:r w:rsidRPr="00903DE3">
              <w:rPr>
                <w:rFonts w:ascii="Times New Roman" w:hAnsi="Times New Roman"/>
                <w:sz w:val="24"/>
                <w:szCs w:val="24"/>
              </w:rPr>
              <w:t xml:space="preserve"> изолированной резекции тощей кишки</w:t>
            </w:r>
          </w:p>
        </w:tc>
      </w:tr>
      <w:tr w:rsidR="00403127" w:rsidRPr="00903DE3" w14:paraId="1E1C8D77" w14:textId="77777777" w:rsidTr="00094F6F">
        <w:trPr>
          <w:trHeight w:val="340"/>
        </w:trPr>
        <w:tc>
          <w:tcPr>
            <w:tcW w:w="1240" w:type="dxa"/>
            <w:shd w:val="clear" w:color="auto" w:fill="auto"/>
          </w:tcPr>
          <w:p w14:paraId="18486513"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Тип В 2</w:t>
            </w:r>
          </w:p>
        </w:tc>
        <w:tc>
          <w:tcPr>
            <w:tcW w:w="8252" w:type="dxa"/>
            <w:shd w:val="clear" w:color="auto" w:fill="auto"/>
          </w:tcPr>
          <w:p w14:paraId="2C5A452D" w14:textId="77777777" w:rsidR="00403127" w:rsidRPr="00903DE3" w:rsidRDefault="00403127" w:rsidP="00094F6F">
            <w:pPr>
              <w:spacing w:after="0" w:line="240" w:lineRule="auto"/>
              <w:jc w:val="both"/>
              <w:rPr>
                <w:rFonts w:ascii="Times New Roman" w:hAnsi="Times New Roman"/>
                <w:sz w:val="24"/>
                <w:szCs w:val="24"/>
              </w:rPr>
            </w:pPr>
            <w:proofErr w:type="gramStart"/>
            <w:r w:rsidRPr="00903DE3">
              <w:rPr>
                <w:rFonts w:ascii="Times New Roman" w:hAnsi="Times New Roman"/>
                <w:sz w:val="24"/>
                <w:szCs w:val="24"/>
              </w:rPr>
              <w:t>после</w:t>
            </w:r>
            <w:proofErr w:type="gramEnd"/>
            <w:r w:rsidRPr="00903DE3">
              <w:rPr>
                <w:rFonts w:ascii="Times New Roman" w:hAnsi="Times New Roman"/>
                <w:sz w:val="24"/>
                <w:szCs w:val="24"/>
              </w:rPr>
              <w:t xml:space="preserve"> изолированной резекции подвздошной кишки</w:t>
            </w:r>
          </w:p>
        </w:tc>
      </w:tr>
      <w:tr w:rsidR="00403127" w:rsidRPr="00903DE3" w14:paraId="3F2E1E84" w14:textId="77777777" w:rsidTr="00094F6F">
        <w:trPr>
          <w:trHeight w:val="340"/>
        </w:trPr>
        <w:tc>
          <w:tcPr>
            <w:tcW w:w="1240" w:type="dxa"/>
            <w:shd w:val="clear" w:color="auto" w:fill="auto"/>
          </w:tcPr>
          <w:p w14:paraId="486BD7F6"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Тип В 1 +В2</w:t>
            </w:r>
          </w:p>
        </w:tc>
        <w:tc>
          <w:tcPr>
            <w:tcW w:w="8252" w:type="dxa"/>
            <w:shd w:val="clear" w:color="auto" w:fill="auto"/>
          </w:tcPr>
          <w:p w14:paraId="6C48C803" w14:textId="77777777" w:rsidR="00403127" w:rsidRPr="00903DE3" w:rsidRDefault="00403127" w:rsidP="00094F6F">
            <w:pPr>
              <w:spacing w:after="0" w:line="240" w:lineRule="auto"/>
              <w:jc w:val="both"/>
              <w:rPr>
                <w:rFonts w:ascii="Times New Roman" w:hAnsi="Times New Roman"/>
                <w:sz w:val="24"/>
                <w:szCs w:val="24"/>
              </w:rPr>
            </w:pPr>
            <w:proofErr w:type="gramStart"/>
            <w:r w:rsidRPr="00903DE3">
              <w:rPr>
                <w:rFonts w:ascii="Times New Roman" w:hAnsi="Times New Roman"/>
                <w:sz w:val="24"/>
                <w:szCs w:val="24"/>
              </w:rPr>
              <w:t>резекция</w:t>
            </w:r>
            <w:proofErr w:type="gramEnd"/>
            <w:r w:rsidRPr="00903DE3">
              <w:rPr>
                <w:rFonts w:ascii="Times New Roman" w:hAnsi="Times New Roman"/>
                <w:sz w:val="24"/>
                <w:szCs w:val="24"/>
              </w:rPr>
              <w:t xml:space="preserve"> тощей и подвздошной кишки</w:t>
            </w:r>
          </w:p>
        </w:tc>
      </w:tr>
      <w:tr w:rsidR="00403127" w:rsidRPr="00903DE3" w14:paraId="0495A892" w14:textId="77777777" w:rsidTr="00094F6F">
        <w:trPr>
          <w:trHeight w:val="340"/>
        </w:trPr>
        <w:tc>
          <w:tcPr>
            <w:tcW w:w="1240" w:type="dxa"/>
            <w:shd w:val="clear" w:color="auto" w:fill="auto"/>
          </w:tcPr>
          <w:p w14:paraId="67557881"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Тип С</w:t>
            </w:r>
          </w:p>
        </w:tc>
        <w:tc>
          <w:tcPr>
            <w:tcW w:w="8252" w:type="dxa"/>
            <w:shd w:val="clear" w:color="auto" w:fill="auto"/>
          </w:tcPr>
          <w:p w14:paraId="54FCE2CD"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Метаболические нарушения после субтотальной изолированной резекции тонкой кишки (суперкороткая кишка с длиной оставшейся культи менее 50 см)</w:t>
            </w:r>
          </w:p>
        </w:tc>
      </w:tr>
      <w:tr w:rsidR="00403127" w:rsidRPr="00903DE3" w14:paraId="7CC06F19" w14:textId="77777777" w:rsidTr="00094F6F">
        <w:trPr>
          <w:trHeight w:val="340"/>
        </w:trPr>
        <w:tc>
          <w:tcPr>
            <w:tcW w:w="1240" w:type="dxa"/>
            <w:shd w:val="clear" w:color="auto" w:fill="auto"/>
          </w:tcPr>
          <w:p w14:paraId="7C709133"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Тип D</w:t>
            </w:r>
          </w:p>
        </w:tc>
        <w:tc>
          <w:tcPr>
            <w:tcW w:w="8252" w:type="dxa"/>
            <w:shd w:val="clear" w:color="auto" w:fill="auto"/>
          </w:tcPr>
          <w:p w14:paraId="057F3928"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 xml:space="preserve">Последствия сочетанных </w:t>
            </w:r>
            <w:proofErr w:type="gramStart"/>
            <w:r w:rsidRPr="00903DE3">
              <w:rPr>
                <w:rFonts w:ascii="Times New Roman" w:hAnsi="Times New Roman"/>
                <w:sz w:val="24"/>
                <w:szCs w:val="24"/>
              </w:rPr>
              <w:t>тонко-толстокишечных</w:t>
            </w:r>
            <w:proofErr w:type="gramEnd"/>
            <w:r w:rsidRPr="00903DE3">
              <w:rPr>
                <w:rFonts w:ascii="Times New Roman" w:hAnsi="Times New Roman"/>
                <w:sz w:val="24"/>
                <w:szCs w:val="24"/>
              </w:rPr>
              <w:t xml:space="preserve"> резекций</w:t>
            </w:r>
          </w:p>
        </w:tc>
      </w:tr>
      <w:tr w:rsidR="00403127" w:rsidRPr="00903DE3" w14:paraId="7946645A" w14:textId="77777777" w:rsidTr="00094F6F">
        <w:trPr>
          <w:trHeight w:val="340"/>
        </w:trPr>
        <w:tc>
          <w:tcPr>
            <w:tcW w:w="1240" w:type="dxa"/>
            <w:shd w:val="clear" w:color="auto" w:fill="auto"/>
          </w:tcPr>
          <w:p w14:paraId="7D72FB6E"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Тип D1</w:t>
            </w:r>
          </w:p>
        </w:tc>
        <w:tc>
          <w:tcPr>
            <w:tcW w:w="8252" w:type="dxa"/>
            <w:shd w:val="clear" w:color="auto" w:fill="auto"/>
          </w:tcPr>
          <w:p w14:paraId="3F2493C9" w14:textId="77777777" w:rsidR="00403127" w:rsidRPr="00903DE3" w:rsidRDefault="00403127" w:rsidP="00094F6F">
            <w:pPr>
              <w:spacing w:after="0" w:line="240" w:lineRule="auto"/>
              <w:jc w:val="both"/>
              <w:rPr>
                <w:rFonts w:ascii="Times New Roman" w:hAnsi="Times New Roman"/>
                <w:sz w:val="24"/>
                <w:szCs w:val="24"/>
              </w:rPr>
            </w:pPr>
            <w:proofErr w:type="gramStart"/>
            <w:r w:rsidRPr="00903DE3">
              <w:rPr>
                <w:rFonts w:ascii="Times New Roman" w:hAnsi="Times New Roman"/>
                <w:sz w:val="24"/>
                <w:szCs w:val="24"/>
              </w:rPr>
              <w:t>при</w:t>
            </w:r>
            <w:proofErr w:type="gramEnd"/>
            <w:r w:rsidRPr="00903DE3">
              <w:rPr>
                <w:rFonts w:ascii="Times New Roman" w:hAnsi="Times New Roman"/>
                <w:sz w:val="24"/>
                <w:szCs w:val="24"/>
              </w:rPr>
              <w:t xml:space="preserve"> сохранённой </w:t>
            </w:r>
            <w:proofErr w:type="spellStart"/>
            <w:r w:rsidRPr="00903DE3">
              <w:rPr>
                <w:rFonts w:ascii="Times New Roman" w:hAnsi="Times New Roman"/>
                <w:sz w:val="24"/>
                <w:szCs w:val="24"/>
              </w:rPr>
              <w:t>баугиниевой</w:t>
            </w:r>
            <w:proofErr w:type="spellEnd"/>
            <w:r w:rsidRPr="00903DE3">
              <w:rPr>
                <w:rFonts w:ascii="Times New Roman" w:hAnsi="Times New Roman"/>
                <w:sz w:val="24"/>
                <w:szCs w:val="24"/>
              </w:rPr>
              <w:t xml:space="preserve"> заслонке</w:t>
            </w:r>
          </w:p>
        </w:tc>
      </w:tr>
      <w:tr w:rsidR="00403127" w:rsidRPr="00903DE3" w14:paraId="47AD86CE" w14:textId="77777777" w:rsidTr="00094F6F">
        <w:trPr>
          <w:trHeight w:val="340"/>
        </w:trPr>
        <w:tc>
          <w:tcPr>
            <w:tcW w:w="1240" w:type="dxa"/>
            <w:shd w:val="clear" w:color="auto" w:fill="auto"/>
          </w:tcPr>
          <w:p w14:paraId="1C84C4D6"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Тип D2</w:t>
            </w:r>
          </w:p>
        </w:tc>
        <w:tc>
          <w:tcPr>
            <w:tcW w:w="8252" w:type="dxa"/>
            <w:shd w:val="clear" w:color="auto" w:fill="auto"/>
          </w:tcPr>
          <w:p w14:paraId="2C800E33" w14:textId="77777777" w:rsidR="00403127" w:rsidRPr="00903DE3" w:rsidRDefault="00403127" w:rsidP="00094F6F">
            <w:pPr>
              <w:spacing w:after="0" w:line="240" w:lineRule="auto"/>
              <w:jc w:val="both"/>
              <w:rPr>
                <w:rFonts w:ascii="Times New Roman" w:hAnsi="Times New Roman"/>
                <w:sz w:val="24"/>
                <w:szCs w:val="24"/>
              </w:rPr>
            </w:pPr>
            <w:proofErr w:type="gramStart"/>
            <w:r w:rsidRPr="00903DE3">
              <w:rPr>
                <w:rFonts w:ascii="Times New Roman" w:hAnsi="Times New Roman"/>
                <w:sz w:val="24"/>
                <w:szCs w:val="24"/>
              </w:rPr>
              <w:t>после</w:t>
            </w:r>
            <w:proofErr w:type="gramEnd"/>
            <w:r w:rsidRPr="00903DE3">
              <w:rPr>
                <w:rFonts w:ascii="Times New Roman" w:hAnsi="Times New Roman"/>
                <w:sz w:val="24"/>
                <w:szCs w:val="24"/>
              </w:rPr>
              <w:t xml:space="preserve"> резекции тонкой кишки и обширной резекции толстой кишки с удалением </w:t>
            </w:r>
            <w:proofErr w:type="spellStart"/>
            <w:r w:rsidRPr="00903DE3">
              <w:rPr>
                <w:rFonts w:ascii="Times New Roman" w:hAnsi="Times New Roman"/>
                <w:sz w:val="24"/>
                <w:szCs w:val="24"/>
              </w:rPr>
              <w:t>баугиниевой</w:t>
            </w:r>
            <w:proofErr w:type="spellEnd"/>
            <w:r w:rsidRPr="00903DE3">
              <w:rPr>
                <w:rFonts w:ascii="Times New Roman" w:hAnsi="Times New Roman"/>
                <w:sz w:val="24"/>
                <w:szCs w:val="24"/>
              </w:rPr>
              <w:t xml:space="preserve"> заслонки</w:t>
            </w:r>
          </w:p>
        </w:tc>
      </w:tr>
      <w:tr w:rsidR="00403127" w:rsidRPr="00903DE3" w14:paraId="34FFDCBD" w14:textId="77777777" w:rsidTr="00094F6F">
        <w:trPr>
          <w:trHeight w:val="340"/>
        </w:trPr>
        <w:tc>
          <w:tcPr>
            <w:tcW w:w="1240" w:type="dxa"/>
            <w:tcBorders>
              <w:bottom w:val="single" w:sz="4" w:space="0" w:color="auto"/>
            </w:tcBorders>
            <w:shd w:val="clear" w:color="auto" w:fill="auto"/>
          </w:tcPr>
          <w:p w14:paraId="6719633A"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Тип D3</w:t>
            </w:r>
          </w:p>
        </w:tc>
        <w:tc>
          <w:tcPr>
            <w:tcW w:w="8252" w:type="dxa"/>
            <w:tcBorders>
              <w:bottom w:val="single" w:sz="4" w:space="0" w:color="auto"/>
            </w:tcBorders>
            <w:shd w:val="clear" w:color="auto" w:fill="auto"/>
          </w:tcPr>
          <w:p w14:paraId="54009278" w14:textId="77777777" w:rsidR="00403127" w:rsidRPr="00903DE3" w:rsidRDefault="00403127" w:rsidP="00094F6F">
            <w:pPr>
              <w:spacing w:after="0" w:line="240" w:lineRule="auto"/>
              <w:jc w:val="both"/>
              <w:rPr>
                <w:rFonts w:ascii="Times New Roman" w:hAnsi="Times New Roman"/>
                <w:sz w:val="24"/>
                <w:szCs w:val="24"/>
              </w:rPr>
            </w:pPr>
            <w:proofErr w:type="gramStart"/>
            <w:r w:rsidRPr="00903DE3">
              <w:rPr>
                <w:rFonts w:ascii="Times New Roman" w:hAnsi="Times New Roman"/>
                <w:sz w:val="24"/>
                <w:szCs w:val="24"/>
              </w:rPr>
              <w:t>после</w:t>
            </w:r>
            <w:proofErr w:type="gramEnd"/>
            <w:r w:rsidRPr="00903DE3">
              <w:rPr>
                <w:rFonts w:ascii="Times New Roman" w:hAnsi="Times New Roman"/>
                <w:sz w:val="24"/>
                <w:szCs w:val="24"/>
              </w:rPr>
              <w:t xml:space="preserve"> сочетанных резекций тонкой кишки с </w:t>
            </w:r>
            <w:proofErr w:type="spellStart"/>
            <w:r w:rsidRPr="00903DE3">
              <w:rPr>
                <w:rFonts w:ascii="Times New Roman" w:hAnsi="Times New Roman"/>
                <w:sz w:val="24"/>
                <w:szCs w:val="24"/>
              </w:rPr>
              <w:t>колэктомией</w:t>
            </w:r>
            <w:proofErr w:type="spellEnd"/>
            <w:r w:rsidRPr="00903DE3">
              <w:rPr>
                <w:rFonts w:ascii="Times New Roman" w:hAnsi="Times New Roman"/>
                <w:sz w:val="24"/>
                <w:szCs w:val="24"/>
              </w:rPr>
              <w:t xml:space="preserve"> (с резервуаром, без резервуара)</w:t>
            </w:r>
          </w:p>
        </w:tc>
      </w:tr>
      <w:tr w:rsidR="00403127" w:rsidRPr="00903DE3" w14:paraId="2B7D0978" w14:textId="77777777" w:rsidTr="00094F6F">
        <w:trPr>
          <w:trHeight w:val="340"/>
        </w:trPr>
        <w:tc>
          <w:tcPr>
            <w:tcW w:w="1240" w:type="dxa"/>
            <w:tcBorders>
              <w:bottom w:val="nil"/>
            </w:tcBorders>
            <w:shd w:val="clear" w:color="auto" w:fill="auto"/>
          </w:tcPr>
          <w:p w14:paraId="56C3FBA7"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Тип F</w:t>
            </w:r>
          </w:p>
        </w:tc>
        <w:tc>
          <w:tcPr>
            <w:tcW w:w="8252" w:type="dxa"/>
            <w:tcBorders>
              <w:bottom w:val="nil"/>
            </w:tcBorders>
            <w:shd w:val="clear" w:color="auto" w:fill="auto"/>
          </w:tcPr>
          <w:p w14:paraId="379A09F7" w14:textId="77777777" w:rsidR="00403127" w:rsidRPr="00903DE3" w:rsidRDefault="00403127" w:rsidP="00094F6F">
            <w:pPr>
              <w:spacing w:after="0" w:line="240" w:lineRule="auto"/>
              <w:jc w:val="both"/>
              <w:rPr>
                <w:rFonts w:ascii="Times New Roman" w:hAnsi="Times New Roman"/>
                <w:sz w:val="24"/>
                <w:szCs w:val="24"/>
              </w:rPr>
            </w:pPr>
            <w:proofErr w:type="spellStart"/>
            <w:r w:rsidRPr="00903DE3">
              <w:rPr>
                <w:rFonts w:ascii="Times New Roman" w:hAnsi="Times New Roman"/>
                <w:sz w:val="24"/>
                <w:szCs w:val="24"/>
              </w:rPr>
              <w:t>Колэктомия</w:t>
            </w:r>
            <w:proofErr w:type="spellEnd"/>
            <w:r w:rsidRPr="00903DE3">
              <w:rPr>
                <w:rFonts w:ascii="Times New Roman" w:hAnsi="Times New Roman"/>
                <w:sz w:val="24"/>
                <w:szCs w:val="24"/>
              </w:rPr>
              <w:t>, гемиколэктомия (левосторонняя или правосторонняя)</w:t>
            </w:r>
          </w:p>
        </w:tc>
      </w:tr>
      <w:tr w:rsidR="00403127" w:rsidRPr="00903DE3" w14:paraId="3463EA23" w14:textId="77777777" w:rsidTr="00094F6F">
        <w:trPr>
          <w:trHeight w:val="340"/>
        </w:trPr>
        <w:tc>
          <w:tcPr>
            <w:tcW w:w="9492" w:type="dxa"/>
            <w:gridSpan w:val="2"/>
            <w:tcBorders>
              <w:top w:val="single" w:sz="4" w:space="0" w:color="auto"/>
            </w:tcBorders>
            <w:shd w:val="clear" w:color="auto" w:fill="auto"/>
          </w:tcPr>
          <w:p w14:paraId="76E11808" w14:textId="77777777" w:rsidR="00403127" w:rsidRPr="00903DE3" w:rsidRDefault="00403127" w:rsidP="00094F6F">
            <w:pPr>
              <w:spacing w:after="0" w:line="240" w:lineRule="auto"/>
              <w:jc w:val="center"/>
              <w:rPr>
                <w:rFonts w:ascii="Times New Roman" w:hAnsi="Times New Roman"/>
                <w:sz w:val="24"/>
                <w:szCs w:val="24"/>
              </w:rPr>
            </w:pPr>
            <w:r w:rsidRPr="00903DE3">
              <w:rPr>
                <w:rFonts w:ascii="Times New Roman" w:hAnsi="Times New Roman"/>
                <w:sz w:val="24"/>
                <w:szCs w:val="24"/>
              </w:rPr>
              <w:t xml:space="preserve">II По степеням выраженности синдрома нарушенного всасывания, пищеварения и синдрома </w:t>
            </w:r>
            <w:proofErr w:type="spellStart"/>
            <w:r w:rsidRPr="00903DE3">
              <w:rPr>
                <w:rFonts w:ascii="Times New Roman" w:hAnsi="Times New Roman"/>
                <w:sz w:val="24"/>
                <w:szCs w:val="24"/>
              </w:rPr>
              <w:t>нутриционной</w:t>
            </w:r>
            <w:proofErr w:type="spellEnd"/>
            <w:r w:rsidRPr="00903DE3">
              <w:rPr>
                <w:rFonts w:ascii="Times New Roman" w:hAnsi="Times New Roman"/>
                <w:sz w:val="24"/>
                <w:szCs w:val="24"/>
              </w:rPr>
              <w:t xml:space="preserve"> недостаточности</w:t>
            </w:r>
          </w:p>
        </w:tc>
      </w:tr>
      <w:tr w:rsidR="00403127" w:rsidRPr="00903DE3" w14:paraId="19323106" w14:textId="77777777" w:rsidTr="00094F6F">
        <w:trPr>
          <w:trHeight w:val="340"/>
        </w:trPr>
        <w:tc>
          <w:tcPr>
            <w:tcW w:w="9492" w:type="dxa"/>
            <w:gridSpan w:val="2"/>
            <w:shd w:val="clear" w:color="auto" w:fill="auto"/>
          </w:tcPr>
          <w:p w14:paraId="781A04AC"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 xml:space="preserve">Стадия компенсации функций кишечника (функциональный резерв кишечника сохранён или слегка угнетён), </w:t>
            </w:r>
            <w:proofErr w:type="spellStart"/>
            <w:r w:rsidRPr="00903DE3">
              <w:rPr>
                <w:rFonts w:ascii="Times New Roman" w:hAnsi="Times New Roman"/>
                <w:sz w:val="24"/>
                <w:szCs w:val="24"/>
              </w:rPr>
              <w:t>нутриционная</w:t>
            </w:r>
            <w:proofErr w:type="spellEnd"/>
            <w:r w:rsidRPr="00903DE3">
              <w:rPr>
                <w:rFonts w:ascii="Times New Roman" w:hAnsi="Times New Roman"/>
                <w:sz w:val="24"/>
                <w:szCs w:val="24"/>
              </w:rPr>
              <w:t xml:space="preserve"> недостаточность 1 степени</w:t>
            </w:r>
          </w:p>
        </w:tc>
      </w:tr>
      <w:tr w:rsidR="00403127" w:rsidRPr="00903DE3" w14:paraId="5B72F4E8" w14:textId="77777777" w:rsidTr="00094F6F">
        <w:trPr>
          <w:trHeight w:val="340"/>
        </w:trPr>
        <w:tc>
          <w:tcPr>
            <w:tcW w:w="9492" w:type="dxa"/>
            <w:gridSpan w:val="2"/>
            <w:shd w:val="clear" w:color="auto" w:fill="auto"/>
          </w:tcPr>
          <w:p w14:paraId="358F7471"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 xml:space="preserve">Стадия </w:t>
            </w:r>
            <w:proofErr w:type="spellStart"/>
            <w:r w:rsidRPr="00903DE3">
              <w:rPr>
                <w:rFonts w:ascii="Times New Roman" w:hAnsi="Times New Roman"/>
                <w:sz w:val="24"/>
                <w:szCs w:val="24"/>
              </w:rPr>
              <w:t>субкомпенсации</w:t>
            </w:r>
            <w:proofErr w:type="spellEnd"/>
            <w:r w:rsidRPr="00903DE3">
              <w:rPr>
                <w:rFonts w:ascii="Times New Roman" w:hAnsi="Times New Roman"/>
                <w:sz w:val="24"/>
                <w:szCs w:val="24"/>
              </w:rPr>
              <w:t xml:space="preserve"> (функциональный резерв кишки угнетён, но усвоение возможно, функциональный резерв печени сохранён), </w:t>
            </w:r>
            <w:proofErr w:type="spellStart"/>
            <w:r w:rsidRPr="00903DE3">
              <w:rPr>
                <w:rFonts w:ascii="Times New Roman" w:hAnsi="Times New Roman"/>
                <w:sz w:val="24"/>
                <w:szCs w:val="24"/>
              </w:rPr>
              <w:t>нутриционная</w:t>
            </w:r>
            <w:proofErr w:type="spellEnd"/>
            <w:r w:rsidRPr="00903DE3">
              <w:rPr>
                <w:rFonts w:ascii="Times New Roman" w:hAnsi="Times New Roman"/>
                <w:sz w:val="24"/>
                <w:szCs w:val="24"/>
              </w:rPr>
              <w:t xml:space="preserve"> недостаточность 2-3 степени</w:t>
            </w:r>
          </w:p>
        </w:tc>
      </w:tr>
      <w:tr w:rsidR="00403127" w:rsidRPr="00903DE3" w14:paraId="457F2231" w14:textId="77777777" w:rsidTr="00094F6F">
        <w:trPr>
          <w:trHeight w:val="340"/>
        </w:trPr>
        <w:tc>
          <w:tcPr>
            <w:tcW w:w="9492" w:type="dxa"/>
            <w:gridSpan w:val="2"/>
            <w:shd w:val="clear" w:color="auto" w:fill="auto"/>
          </w:tcPr>
          <w:p w14:paraId="642A4AA9"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 xml:space="preserve">Стадия декомпенсации, когда и функциональный резерв кишки, и функциональный резерв печени резко снижены или отсутствуют (в случае постколэктомического синдрома в стадии декомпенсации выделять 1, 2, 3 степени, когда присутствуют угнетение секреции поджелудочной железы, функции почек, возможно наличие энцефалопатии, нарушения со стороны сердечно-сосудистой системы), </w:t>
            </w:r>
            <w:proofErr w:type="spellStart"/>
            <w:r w:rsidRPr="00903DE3">
              <w:rPr>
                <w:rFonts w:ascii="Times New Roman" w:hAnsi="Times New Roman"/>
                <w:sz w:val="24"/>
                <w:szCs w:val="24"/>
              </w:rPr>
              <w:t>нутриционная</w:t>
            </w:r>
            <w:proofErr w:type="spellEnd"/>
            <w:r w:rsidRPr="00903DE3">
              <w:rPr>
                <w:rFonts w:ascii="Times New Roman" w:hAnsi="Times New Roman"/>
                <w:sz w:val="24"/>
                <w:szCs w:val="24"/>
              </w:rPr>
              <w:t xml:space="preserve"> </w:t>
            </w:r>
            <w:proofErr w:type="spellStart"/>
            <w:r w:rsidRPr="00903DE3">
              <w:rPr>
                <w:rFonts w:ascii="Times New Roman" w:hAnsi="Times New Roman"/>
                <w:sz w:val="24"/>
                <w:szCs w:val="24"/>
              </w:rPr>
              <w:t>недостачность</w:t>
            </w:r>
            <w:proofErr w:type="spellEnd"/>
            <w:r w:rsidRPr="00903DE3">
              <w:rPr>
                <w:rFonts w:ascii="Times New Roman" w:hAnsi="Times New Roman"/>
                <w:sz w:val="24"/>
                <w:szCs w:val="24"/>
              </w:rPr>
              <w:t xml:space="preserve"> 4 степени</w:t>
            </w:r>
          </w:p>
        </w:tc>
      </w:tr>
      <w:tr w:rsidR="00403127" w:rsidRPr="00903DE3" w14:paraId="3A317552" w14:textId="77777777" w:rsidTr="00094F6F">
        <w:trPr>
          <w:trHeight w:val="340"/>
        </w:trPr>
        <w:tc>
          <w:tcPr>
            <w:tcW w:w="9492" w:type="dxa"/>
            <w:gridSpan w:val="2"/>
            <w:shd w:val="clear" w:color="auto" w:fill="auto"/>
          </w:tcPr>
          <w:p w14:paraId="394F81C0" w14:textId="77777777" w:rsidR="00403127" w:rsidRPr="00903DE3" w:rsidRDefault="00403127" w:rsidP="00094F6F">
            <w:pPr>
              <w:spacing w:after="0" w:line="240" w:lineRule="auto"/>
              <w:jc w:val="center"/>
              <w:rPr>
                <w:rFonts w:ascii="Times New Roman" w:hAnsi="Times New Roman"/>
                <w:sz w:val="24"/>
                <w:szCs w:val="24"/>
              </w:rPr>
            </w:pPr>
            <w:r w:rsidRPr="00903DE3">
              <w:rPr>
                <w:rFonts w:ascii="Times New Roman" w:hAnsi="Times New Roman"/>
                <w:sz w:val="24"/>
                <w:szCs w:val="24"/>
              </w:rPr>
              <w:t xml:space="preserve">III В зависимости от степени </w:t>
            </w:r>
            <w:proofErr w:type="spellStart"/>
            <w:r w:rsidRPr="00903DE3">
              <w:rPr>
                <w:rFonts w:ascii="Times New Roman" w:hAnsi="Times New Roman"/>
                <w:sz w:val="24"/>
                <w:szCs w:val="24"/>
              </w:rPr>
              <w:t>адаптированности</w:t>
            </w:r>
            <w:proofErr w:type="spellEnd"/>
            <w:r w:rsidRPr="00903DE3">
              <w:rPr>
                <w:rFonts w:ascii="Times New Roman" w:hAnsi="Times New Roman"/>
                <w:sz w:val="24"/>
                <w:szCs w:val="24"/>
              </w:rPr>
              <w:t xml:space="preserve"> остаточной кишечной культи</w:t>
            </w:r>
          </w:p>
        </w:tc>
      </w:tr>
      <w:tr w:rsidR="00403127" w:rsidRPr="00903DE3" w14:paraId="2EA5BB0A" w14:textId="77777777" w:rsidTr="00094F6F">
        <w:trPr>
          <w:trHeight w:val="340"/>
        </w:trPr>
        <w:tc>
          <w:tcPr>
            <w:tcW w:w="9492" w:type="dxa"/>
            <w:gridSpan w:val="2"/>
            <w:shd w:val="clear" w:color="auto" w:fill="auto"/>
          </w:tcPr>
          <w:p w14:paraId="166EAB13"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Полная адаптация (тип А)</w:t>
            </w:r>
          </w:p>
        </w:tc>
      </w:tr>
      <w:tr w:rsidR="00403127" w:rsidRPr="00903DE3" w14:paraId="0F4A2C30" w14:textId="77777777" w:rsidTr="00094F6F">
        <w:trPr>
          <w:trHeight w:val="340"/>
        </w:trPr>
        <w:tc>
          <w:tcPr>
            <w:tcW w:w="9492" w:type="dxa"/>
            <w:gridSpan w:val="2"/>
            <w:shd w:val="clear" w:color="auto" w:fill="auto"/>
          </w:tcPr>
          <w:p w14:paraId="27053EE2"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Частичная адаптация функций пищеварительного канала (тип В)</w:t>
            </w:r>
          </w:p>
        </w:tc>
      </w:tr>
      <w:tr w:rsidR="00403127" w:rsidRPr="00903DE3" w14:paraId="7B791402" w14:textId="77777777" w:rsidTr="00094F6F">
        <w:trPr>
          <w:trHeight w:val="340"/>
        </w:trPr>
        <w:tc>
          <w:tcPr>
            <w:tcW w:w="9492" w:type="dxa"/>
            <w:gridSpan w:val="2"/>
            <w:shd w:val="clear" w:color="auto" w:fill="auto"/>
          </w:tcPr>
          <w:p w14:paraId="2B8DD6E0"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 xml:space="preserve">Временная </w:t>
            </w:r>
            <w:proofErr w:type="spellStart"/>
            <w:r w:rsidRPr="00903DE3">
              <w:rPr>
                <w:rFonts w:ascii="Times New Roman" w:hAnsi="Times New Roman"/>
                <w:sz w:val="24"/>
                <w:szCs w:val="24"/>
              </w:rPr>
              <w:t>дезадаптация</w:t>
            </w:r>
            <w:proofErr w:type="spellEnd"/>
            <w:r w:rsidRPr="00903DE3">
              <w:rPr>
                <w:rFonts w:ascii="Times New Roman" w:hAnsi="Times New Roman"/>
                <w:sz w:val="24"/>
                <w:szCs w:val="24"/>
              </w:rPr>
              <w:t xml:space="preserve"> (тип D)</w:t>
            </w:r>
          </w:p>
        </w:tc>
      </w:tr>
      <w:tr w:rsidR="00403127" w:rsidRPr="00903DE3" w14:paraId="26957514" w14:textId="77777777" w:rsidTr="00094F6F">
        <w:trPr>
          <w:trHeight w:val="340"/>
        </w:trPr>
        <w:tc>
          <w:tcPr>
            <w:tcW w:w="9492" w:type="dxa"/>
            <w:gridSpan w:val="2"/>
            <w:shd w:val="clear" w:color="auto" w:fill="auto"/>
          </w:tcPr>
          <w:p w14:paraId="6F017940"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 xml:space="preserve">Полная </w:t>
            </w:r>
            <w:proofErr w:type="spellStart"/>
            <w:r w:rsidRPr="00903DE3">
              <w:rPr>
                <w:rFonts w:ascii="Times New Roman" w:hAnsi="Times New Roman"/>
                <w:sz w:val="24"/>
                <w:szCs w:val="24"/>
              </w:rPr>
              <w:t>дезадаптация</w:t>
            </w:r>
            <w:proofErr w:type="spellEnd"/>
            <w:r w:rsidRPr="00903DE3">
              <w:rPr>
                <w:rFonts w:ascii="Times New Roman" w:hAnsi="Times New Roman"/>
                <w:sz w:val="24"/>
                <w:szCs w:val="24"/>
              </w:rPr>
              <w:t xml:space="preserve"> (тип С)</w:t>
            </w:r>
          </w:p>
        </w:tc>
      </w:tr>
      <w:tr w:rsidR="00403127" w:rsidRPr="00903DE3" w14:paraId="32AF49F0" w14:textId="77777777" w:rsidTr="00094F6F">
        <w:trPr>
          <w:trHeight w:val="340"/>
        </w:trPr>
        <w:tc>
          <w:tcPr>
            <w:tcW w:w="9492" w:type="dxa"/>
            <w:gridSpan w:val="2"/>
            <w:shd w:val="clear" w:color="auto" w:fill="auto"/>
          </w:tcPr>
          <w:p w14:paraId="4EB9383D" w14:textId="77777777" w:rsidR="00403127" w:rsidRPr="00903DE3" w:rsidRDefault="00403127" w:rsidP="00094F6F">
            <w:pPr>
              <w:spacing w:after="0" w:line="240" w:lineRule="auto"/>
              <w:jc w:val="center"/>
              <w:rPr>
                <w:rFonts w:ascii="Times New Roman" w:hAnsi="Times New Roman"/>
                <w:sz w:val="24"/>
                <w:szCs w:val="24"/>
              </w:rPr>
            </w:pPr>
            <w:r w:rsidRPr="00903DE3">
              <w:rPr>
                <w:rFonts w:ascii="Times New Roman" w:hAnsi="Times New Roman"/>
                <w:sz w:val="24"/>
                <w:szCs w:val="24"/>
              </w:rPr>
              <w:t>IV По прогнозу</w:t>
            </w:r>
          </w:p>
        </w:tc>
      </w:tr>
      <w:tr w:rsidR="00403127" w:rsidRPr="00903DE3" w14:paraId="63B47A7A" w14:textId="77777777" w:rsidTr="00094F6F">
        <w:trPr>
          <w:trHeight w:val="340"/>
        </w:trPr>
        <w:tc>
          <w:tcPr>
            <w:tcW w:w="9492" w:type="dxa"/>
            <w:gridSpan w:val="2"/>
            <w:shd w:val="clear" w:color="auto" w:fill="auto"/>
          </w:tcPr>
          <w:p w14:paraId="09B4447F"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Благоприятный</w:t>
            </w:r>
          </w:p>
        </w:tc>
      </w:tr>
      <w:tr w:rsidR="00403127" w:rsidRPr="00903DE3" w14:paraId="21EC124B" w14:textId="77777777" w:rsidTr="00094F6F">
        <w:trPr>
          <w:trHeight w:val="340"/>
        </w:trPr>
        <w:tc>
          <w:tcPr>
            <w:tcW w:w="9492" w:type="dxa"/>
            <w:gridSpan w:val="2"/>
            <w:shd w:val="clear" w:color="auto" w:fill="auto"/>
          </w:tcPr>
          <w:p w14:paraId="1DCB78F5"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Сомнительный</w:t>
            </w:r>
          </w:p>
        </w:tc>
      </w:tr>
      <w:tr w:rsidR="00403127" w:rsidRPr="00903DE3" w14:paraId="5AC59560" w14:textId="77777777" w:rsidTr="00094F6F">
        <w:trPr>
          <w:trHeight w:val="340"/>
        </w:trPr>
        <w:tc>
          <w:tcPr>
            <w:tcW w:w="9492" w:type="dxa"/>
            <w:gridSpan w:val="2"/>
            <w:shd w:val="clear" w:color="auto" w:fill="auto"/>
          </w:tcPr>
          <w:p w14:paraId="78867F11" w14:textId="77777777" w:rsidR="00403127" w:rsidRPr="00903DE3" w:rsidRDefault="00403127" w:rsidP="00094F6F">
            <w:pPr>
              <w:spacing w:after="0" w:line="240" w:lineRule="auto"/>
              <w:jc w:val="both"/>
              <w:rPr>
                <w:rFonts w:ascii="Times New Roman" w:hAnsi="Times New Roman"/>
                <w:sz w:val="24"/>
                <w:szCs w:val="24"/>
              </w:rPr>
            </w:pPr>
            <w:r w:rsidRPr="00903DE3">
              <w:rPr>
                <w:rFonts w:ascii="Times New Roman" w:hAnsi="Times New Roman"/>
                <w:sz w:val="24"/>
                <w:szCs w:val="24"/>
              </w:rPr>
              <w:t>Неблагоприятный/условно неблагоприятный (подлежащий трансплантации, не подлежащий трансплантации).</w:t>
            </w:r>
          </w:p>
        </w:tc>
      </w:tr>
    </w:tbl>
    <w:p w14:paraId="69007AC9" w14:textId="77777777" w:rsidR="00403127" w:rsidRPr="00903DE3" w:rsidRDefault="00403127" w:rsidP="00403127">
      <w:pPr>
        <w:spacing w:after="0" w:line="240" w:lineRule="auto"/>
        <w:ind w:firstLine="567"/>
        <w:jc w:val="both"/>
        <w:rPr>
          <w:rFonts w:ascii="Times New Roman" w:hAnsi="Times New Roman"/>
          <w:sz w:val="28"/>
          <w:szCs w:val="28"/>
        </w:rPr>
      </w:pPr>
    </w:p>
    <w:p w14:paraId="527354F9"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Тонкой кишке характерна функция повторяющейся антеградной перистальтики, проявляющаяся в 3 фазы. Из них мигрирующий двигательный комплекс фазы III представляет собой интенсивное фазовое и тоническое </w:t>
      </w:r>
      <w:r w:rsidRPr="00903DE3">
        <w:rPr>
          <w:rFonts w:ascii="Times New Roman" w:hAnsi="Times New Roman"/>
          <w:sz w:val="28"/>
          <w:szCs w:val="28"/>
        </w:rPr>
        <w:lastRenderedPageBreak/>
        <w:t xml:space="preserve">сокращение, которое начинается в желудке или проксимальном отделе кишечника и распространяется по направлению к ободочной кишке, продвигая химус, секрецию и бактерии, обеспечивая естественную защиту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la9v15r8b","properties":{"formattedCitation":"[89]","plainCitation":"[89]","noteIndex":0},"citationItems":[{"id":164,"uris":["http://zotero.org/users/7388323/items/4RYBU27M"],"uri":["http://zotero.org/users/7388323/items/4RYBU27M"],"itemData":{"id":164,"type":"article-journal","container-title":"Journal of Clinical Investigation","DOI":"10.1172/JCI108740","ISSN":"0021-9738","issue":"6","journalAbbreviation":"J. Clin. Invest.","language":"en","page":"1158-1166","source":"DOI.org (Crossref)","title":"The Interdigestive Motor Complex of Normal Subjects and Patients with Bacterial Overgrowth of the Small Intestine","URL":"http://www.jci.org/articles/view/108740","volume":"59","author":[{"family":"Vantrappen","given":"G."},{"family":"Janssens","given":"J."},{"family":"Hellemans","given":"J."},{"family":"Ghoos","given":"Y."}],"accessed":{"date-parts":[["2020",7,15]]},"issued":{"date-parts":[["1977",6,1]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[125]</w:t>
      </w:r>
      <w:r w:rsidRPr="00903DE3">
        <w:rPr>
          <w:rFonts w:ascii="Times New Roman" w:hAnsi="Times New Roman"/>
          <w:sz w:val="28"/>
          <w:szCs w:val="28"/>
        </w:rPr>
        <w:fldChar w:fldCharType="end"/>
      </w:r>
      <w:r w:rsidRPr="00903DE3">
        <w:rPr>
          <w:rFonts w:ascii="Times New Roman" w:hAnsi="Times New Roman"/>
          <w:sz w:val="28"/>
          <w:szCs w:val="28"/>
        </w:rPr>
        <w:t xml:space="preserve">. Этот организованный </w:t>
      </w:r>
      <w:proofErr w:type="spellStart"/>
      <w:r w:rsidRPr="00903DE3">
        <w:rPr>
          <w:rFonts w:ascii="Times New Roman" w:hAnsi="Times New Roman"/>
          <w:sz w:val="28"/>
          <w:szCs w:val="28"/>
        </w:rPr>
        <w:t>биозащитный</w:t>
      </w:r>
      <w:proofErr w:type="spellEnd"/>
      <w:r w:rsidRPr="00903DE3">
        <w:rPr>
          <w:rFonts w:ascii="Times New Roman" w:hAnsi="Times New Roman"/>
          <w:sz w:val="28"/>
          <w:szCs w:val="28"/>
        </w:rPr>
        <w:t xml:space="preserve"> механизм может быть нарушен вследствие невропатии или миопатии (например, при склеродермии и сахарном диабете), в результате действия лекарственных препаратов, (</w:t>
      </w:r>
      <w:proofErr w:type="spellStart"/>
      <w:r w:rsidRPr="00903DE3">
        <w:rPr>
          <w:rFonts w:ascii="Times New Roman" w:hAnsi="Times New Roman"/>
          <w:sz w:val="28"/>
          <w:szCs w:val="28"/>
        </w:rPr>
        <w:t>опиоиды</w:t>
      </w:r>
      <w:proofErr w:type="spellEnd"/>
      <w:r w:rsidRPr="00903DE3">
        <w:rPr>
          <w:rFonts w:ascii="Times New Roman" w:hAnsi="Times New Roman"/>
          <w:sz w:val="28"/>
          <w:szCs w:val="28"/>
        </w:rPr>
        <w:t xml:space="preserve">, антидиарейные или антихолинергические средства), которые могут негативно влиять на моторику кишечника и облегчить рост бактерий. Как тотальная </w:t>
      </w:r>
      <w:proofErr w:type="spellStart"/>
      <w:r w:rsidRPr="00903DE3">
        <w:rPr>
          <w:rFonts w:ascii="Times New Roman" w:hAnsi="Times New Roman"/>
          <w:sz w:val="28"/>
          <w:szCs w:val="28"/>
        </w:rPr>
        <w:t>колэктомия</w:t>
      </w:r>
      <w:proofErr w:type="spellEnd"/>
      <w:r w:rsidRPr="00903DE3">
        <w:rPr>
          <w:rFonts w:ascii="Times New Roman" w:hAnsi="Times New Roman"/>
          <w:sz w:val="28"/>
          <w:szCs w:val="28"/>
        </w:rPr>
        <w:t xml:space="preserve">, так и </w:t>
      </w:r>
      <w:proofErr w:type="spellStart"/>
      <w:r w:rsidRPr="00903DE3">
        <w:rPr>
          <w:rFonts w:ascii="Times New Roman" w:hAnsi="Times New Roman"/>
          <w:sz w:val="28"/>
          <w:szCs w:val="28"/>
        </w:rPr>
        <w:t>гемиколкэтомия</w:t>
      </w:r>
      <w:proofErr w:type="spellEnd"/>
      <w:r w:rsidRPr="00903DE3">
        <w:rPr>
          <w:rFonts w:ascii="Times New Roman" w:hAnsi="Times New Roman"/>
          <w:sz w:val="28"/>
          <w:szCs w:val="28"/>
        </w:rPr>
        <w:t xml:space="preserve">, сопровождающиеся резекцией илеоцекального клапана, способствуют ретроградному движению содержимого толстой кишки и приводит к колонизации тонкой кишки бактериями, обычно находящимися в ободочной кишке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fls4ern4p","properties":{"formattedCitation":"[18]","plainCitation":"[18]","noteIndex":0},"citationItems":[{"id":163,"uris":["http://zotero.org/users/7388323/items/K2WAYMIA"],"uri":["http://zotero.org/users/7388323/items/K2WAYMIA"],"itemData":{"id":163,"type":"article-journal","abstract":"Objectives: After subtotal colectomy, 40% of patients report chronic gastrointestinal symptoms and poor quality of life. Its etiology is unknown. We determined whether small intestinal bacterial overgrowth (SIBO) or small intestinal fungal overgrowth (SIFO) cause gastrointestinal symptoms after colectomy.\nMethods: Consecutive patients with unexplained abdominal pain, gas, bloating and diarrhea (&gt;1 year), and without colectomy (controls), and with colectomy were evaluated with symptom questionnaires, glucose breath test (GBT) and/or duodenal aspiration/culture. Baseline symptoms, prevalence of SIBO/SIFO, and response to treatment were compared between groups.\nResults: Fifty patients with colectomy and 50 controls were evaluated. A signiﬁcantly higher (p = 0.005) proportion of patients with colectomy, 31/50 (62%) had SIBO compared to controls 16/50 (32%). Patients with colectomy had signiﬁcantly higher (p = 0.017) prevalence of mixed SIBO/SIFO 12/50 (24%) compared to controls 4/50 (8%). SIFO prevalence was higher in colectomy but not signiﬁcant (p = 0.08). There was higher prevalence of aerobic organisms together with decreased anaerobic and mixed organisms in the colectomy group compared to controls (p = 0.008). Patients with colectomy reported signiﬁcantly greater severity of diarrhea (p = 0.029), vomiting (p &lt; 0.001), and abdominal pain (p = 0.05) compared to controls, at baseline. After antibiotics, 74% of patients with SIBO/SIFO in the colectomy and 69% in the control group improved (p = 0.69).\nConclusion: Patients with colectomy demonstrate signiﬁcantly higher prevalence of SIBO/SIFO and greater severity of gastrointestinal symptoms. Colectomy is a risk factor for SIBO/SIFO. 1234567890():,;","container-title":"Clinical and Translational Gastroenterology","DOI":"10.1038/s41424-018-0011-x","ISSN":"2155-384X","issue":"4","journalAbbreviation":"Clinical and Translational Gastroenterology","language":"en","page":"e146","source":"DOI.org (Crossref)","title":"Does colectomy predispose to small intestinal bacterial (SIBO) and fungal overgrowth (SIFO)?:","title-short":"Does colectomy predispose to small intestinal bacterial (SIBO) and fungal overgrowth (SIFO)?","URL":"http://journals.lww.com/01720094-201804000-00005","volume":"9","author":[{"family":"Rao","given":"Satish S. C."},{"family":"Tan","given":"George"},{"family":"Abdulla","given":"Hamza"},{"family":"Yu","given":"Siegfried"},{"family":"Larion","given":"Sebastian"},{"family":"Leelasinjaroen","given":"Pornchai"}],"accessed":{"date-parts":[["2020",7,15]]},"issued":{"date-parts":[["2018",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[22]</w:t>
      </w:r>
      <w:r w:rsidRPr="00903DE3">
        <w:rPr>
          <w:rFonts w:ascii="Times New Roman" w:hAnsi="Times New Roman"/>
          <w:sz w:val="28"/>
          <w:szCs w:val="28"/>
        </w:rPr>
        <w:fldChar w:fldCharType="end"/>
      </w:r>
      <w:r w:rsidRPr="00903DE3">
        <w:rPr>
          <w:rFonts w:ascii="Times New Roman" w:hAnsi="Times New Roman"/>
          <w:sz w:val="28"/>
          <w:szCs w:val="28"/>
        </w:rPr>
        <w:t xml:space="preserve">. Чрезмерное количество бактерий в тонком кишечнике способствует развитию желудочно-кишечных симптомов в соответствии с рисунком 13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cq2ptdapr","properties":{"formattedCitation":"[86]","plainCitation":"[86]","noteIndex":0},"citationItems":[{"id":263,"uris":["http://zotero.org/users/7388323/items/RYTWTEWB"],"uri":["http://zotero.org/users/7388323/items/RYTWTEWB"],"itemData":{"id":263,"type":"article-journal","container-title":"The American Journal of Gastroenterology","DOI":"10.14309/ajg.0000000000000501","ISSN":"0002-9270","issue":"2","journalAbbreviation":"The American Journal of Gastroenterology","language":"en","page":"165-178","source":"DOI.org (Crossref)","title":"ACG Clinical Guideline: Small Intestinal Bacterial Overgrowth","title-short":"ACG Clinical Guideline","URL":"http://journals.lww.com/10.14309/ajg.0000000000000501","volume":"115","author":[{"family":"Pimentel","given":"Mark"},{"family":"Saad","given":"Richard J."},{"family":"Long","given":"Millie D."},{"family":"Rao","given":"Satish S. C."}],"accessed":{"date-parts":[["2020",7,7]]},"issued":{"date-parts":[["2020",2]]}}}],"schema":"https://github.com/citation-style-language/schema/raw/master/csl-citation.json"}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[122]</w:t>
      </w:r>
      <w:r w:rsidRPr="00903DE3">
        <w:rPr>
          <w:rFonts w:ascii="Times New Roman" w:hAnsi="Times New Roman"/>
          <w:sz w:val="28"/>
          <w:szCs w:val="28"/>
        </w:rPr>
        <w:fldChar w:fldCharType="end"/>
      </w:r>
      <w:r w:rsidRPr="00903DE3">
        <w:rPr>
          <w:rFonts w:ascii="Times New Roman" w:hAnsi="Times New Roman"/>
          <w:sz w:val="28"/>
          <w:szCs w:val="28"/>
        </w:rPr>
        <w:t xml:space="preserve">. </w:t>
      </w:r>
    </w:p>
    <w:p w14:paraId="2D8FBA23" w14:textId="77777777" w:rsidR="00403127" w:rsidRPr="00903DE3" w:rsidRDefault="00403127" w:rsidP="00403127">
      <w:pPr>
        <w:spacing w:after="0" w:line="240" w:lineRule="auto"/>
        <w:ind w:firstLine="708"/>
        <w:jc w:val="center"/>
        <w:rPr>
          <w:rFonts w:ascii="Times New Roman" w:hAnsi="Times New Roman"/>
          <w:sz w:val="28"/>
          <w:szCs w:val="28"/>
        </w:rPr>
      </w:pPr>
    </w:p>
    <w:p w14:paraId="7DE496D8" w14:textId="77777777" w:rsidR="00403127" w:rsidRPr="00903DE3" w:rsidRDefault="00403127" w:rsidP="00403127">
      <w:pPr>
        <w:spacing w:after="0" w:line="240" w:lineRule="auto"/>
        <w:ind w:firstLine="708"/>
        <w:jc w:val="center"/>
        <w:rPr>
          <w:rFonts w:ascii="Times New Roman" w:hAnsi="Times New Roman"/>
          <w:sz w:val="28"/>
          <w:szCs w:val="28"/>
        </w:rPr>
      </w:pPr>
    </w:p>
    <w:p w14:paraId="457BDD45" w14:textId="77777777" w:rsidR="00403127" w:rsidRPr="00903DE3" w:rsidRDefault="00403127" w:rsidP="00403127">
      <w:pPr>
        <w:spacing w:after="0" w:line="240" w:lineRule="auto"/>
        <w:jc w:val="center"/>
        <w:rPr>
          <w:rFonts w:ascii="Times New Roman" w:hAnsi="Times New Roman"/>
          <w:sz w:val="28"/>
          <w:szCs w:val="28"/>
        </w:rPr>
      </w:pPr>
      <w:r w:rsidRPr="00903DE3">
        <w:rPr>
          <w:rFonts w:ascii="Times New Roman" w:hAnsi="Times New Roman"/>
          <w:noProof/>
          <w:sz w:val="28"/>
          <w:szCs w:val="28"/>
        </w:rPr>
        <w:drawing>
          <wp:inline distT="0" distB="0" distL="0" distR="0" wp14:anchorId="19707ED7" wp14:editId="7E66EEF4">
            <wp:extent cx="5353200" cy="3060000"/>
            <wp:effectExtent l="0" t="0" r="0" b="7620"/>
            <wp:docPr id="23" name="Picture 2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imelin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353200" cy="3060000"/>
                    </a:xfrm>
                    <a:prstGeom prst="rect">
                      <a:avLst/>
                    </a:prstGeom>
                  </pic:spPr>
                </pic:pic>
              </a:graphicData>
            </a:graphic>
          </wp:inline>
        </w:drawing>
      </w:r>
    </w:p>
    <w:p w14:paraId="3BE48332" w14:textId="77777777" w:rsidR="00403127" w:rsidRPr="00903DE3" w:rsidRDefault="00403127" w:rsidP="00403127">
      <w:pPr>
        <w:spacing w:after="0" w:line="240" w:lineRule="auto"/>
        <w:jc w:val="both"/>
        <w:rPr>
          <w:rFonts w:ascii="Times New Roman" w:hAnsi="Times New Roman"/>
          <w:sz w:val="28"/>
          <w:szCs w:val="28"/>
        </w:rPr>
      </w:pPr>
    </w:p>
    <w:p w14:paraId="4889FAEB" w14:textId="77777777" w:rsidR="00403127" w:rsidRPr="00903DE3" w:rsidRDefault="00403127" w:rsidP="00403127">
      <w:pPr>
        <w:spacing w:after="0" w:line="240" w:lineRule="auto"/>
        <w:ind w:firstLine="708"/>
        <w:jc w:val="center"/>
        <w:rPr>
          <w:rFonts w:ascii="Times New Roman" w:hAnsi="Times New Roman"/>
          <w:sz w:val="28"/>
          <w:szCs w:val="28"/>
        </w:rPr>
      </w:pPr>
      <w:r w:rsidRPr="00903DE3">
        <w:rPr>
          <w:rFonts w:ascii="Times New Roman" w:hAnsi="Times New Roman"/>
          <w:sz w:val="28"/>
          <w:szCs w:val="28"/>
        </w:rPr>
        <w:t>Рисунок 13 – Механизмы, посредством которых СИБР воздействует на хозяина. Пунктирные стрелки указывают на повышенную проницаемость кишечника [135]</w:t>
      </w:r>
    </w:p>
    <w:p w14:paraId="706BD678" w14:textId="0A3DD0DF" w:rsidR="00403127"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Эти бактерии представляют собой </w:t>
      </w:r>
      <w:proofErr w:type="spellStart"/>
      <w:r w:rsidRPr="00903DE3">
        <w:rPr>
          <w:rFonts w:ascii="Times New Roman" w:hAnsi="Times New Roman"/>
          <w:sz w:val="28"/>
          <w:szCs w:val="28"/>
        </w:rPr>
        <w:t>колиформы</w:t>
      </w:r>
      <w:proofErr w:type="spellEnd"/>
      <w:r w:rsidRPr="00903DE3">
        <w:rPr>
          <w:rFonts w:ascii="Times New Roman" w:hAnsi="Times New Roman"/>
          <w:sz w:val="28"/>
          <w:szCs w:val="28"/>
        </w:rPr>
        <w:t xml:space="preserve">, которые обнаруживаются в ободочной кишке и включают в себя преимущественно грамотрицательные аэробные и анаэробные виды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rkasmgu67","properties":{"formattedCitation":"[90]","plainCitation":"[90]","noteIndex":0},"citationItems":[{"id":262,"uris":["http://zotero.org/users/7388323/items/X47W7ZLH"],"uri":["http://zotero.org/users/7388323/items/X47W7ZLH"],"itemData":{"id":262,"type":"article-journal","container-title":"Archives of Surgery","DOI":"10.1001/archsurg.2011.55","ISSN":"0004-0010","issue":"4","journalAbbreviation":"Arch Surg","language":"en","page":"444","source":"DOI.org (Crossref)","title":"Small Intestinal Bacterial Overgrowth in Patients With Lower Gastrointestinal Symptoms and a History of Previous Abdominal Surgery","URL":"http://archsurg.jamanetwork.com/article.aspx?doi=10.1001/archsurg.2011.55","volume":"146","author":[{"family":"Petrone","given":"Patrizio"}],"accessed":{"date-parts":[["2020",7,7]]},"issued":{"date-parts":[["2011",4,1]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[126]</w:t>
      </w:r>
      <w:r w:rsidRPr="00903DE3">
        <w:rPr>
          <w:rFonts w:ascii="Times New Roman" w:hAnsi="Times New Roman"/>
          <w:sz w:val="28"/>
          <w:szCs w:val="28"/>
        </w:rPr>
        <w:fldChar w:fldCharType="end"/>
      </w:r>
      <w:r w:rsidRPr="00903DE3">
        <w:rPr>
          <w:rFonts w:ascii="Times New Roman" w:hAnsi="Times New Roman"/>
          <w:sz w:val="28"/>
          <w:szCs w:val="28"/>
        </w:rPr>
        <w:t xml:space="preserve">. Бактерии, попадая в тонкую кишку, ферментируют углеводы, продуцирующие газ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ddldmcp3k","properties":{"formattedCitation":"[91]","plainCitation":"[91]","noteIndex":0},"citationItems":[{"id":187,"uris":["http://zotero.org/users/7388323/items/5LJYI25D"],"uri":["http://zotero.org/users/7388323/items/5LJYI25D"],"itemData":{"id":187,"type":"article-journal","abstract":"Irritable bowel syndrome (IBS) is the most common gastrointestinal condition effecting adults in developed countries worldwide. Over the last decade, evidence has emerged suggesting that gut bacteria play a role in the pathophysiology of IBS. While difficult to identify using noninvasive means, one of the most common attributable bacterial concepts in IBS is the small intestinal bacterial overgrowth hypothesis (SIBO). In this article, we review the different mechanisms by which gut flora and, specifically, SIBO may contribute to IBS and the evidence supporting the use of various antibiotic therapies in treating IBS.","container-title":"Current Gastroenterology Reports","DOI":"10.1007/s11894-012-0284-2","ISSN":"1522-8037, 1534-312X","issue":"5","journalAbbreviation":"Curr Gastroenterol Rep","language":"en","page":"439-445","source":"DOI.org (Crossref)","title":"Antibiotics for Irritable Bowel Syndrome: Rationale and Current Evidence","title-short":"Antibiotics for Irritable Bowel Syndrome","URL":"http://link.springer.com/10.1007/s11894-012-0284-2","volume":"14","author":[{"family":"Sachdev","given":"Amit H."},{"family":"Pimentel","given":"Mark"}],"accessed":{"date-parts":[["2020",7,12]]},"issued":{"date-parts":[["2012",10]]}}}],"schema":"https://github.com/citation-style-language/schema/raw/master/csl-citation.json"}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[127]</w:t>
      </w:r>
      <w:r w:rsidRPr="00903DE3">
        <w:rPr>
          <w:rFonts w:ascii="Times New Roman" w:hAnsi="Times New Roman"/>
          <w:sz w:val="28"/>
          <w:szCs w:val="28"/>
        </w:rPr>
        <w:fldChar w:fldCharType="end"/>
      </w:r>
      <w:r w:rsidRPr="00903DE3">
        <w:rPr>
          <w:rFonts w:ascii="Times New Roman" w:hAnsi="Times New Roman"/>
          <w:sz w:val="28"/>
          <w:szCs w:val="28"/>
        </w:rPr>
        <w:t xml:space="preserve">. С конца 1990-х годов СИБР является фокусом внимания многих исследователей. Интерес к СИБР усилился благодаря расширению знаний о </w:t>
      </w:r>
      <w:proofErr w:type="spellStart"/>
      <w:r w:rsidRPr="00903DE3">
        <w:rPr>
          <w:rFonts w:ascii="Times New Roman" w:hAnsi="Times New Roman"/>
          <w:sz w:val="28"/>
          <w:szCs w:val="28"/>
        </w:rPr>
        <w:t>микробиоме</w:t>
      </w:r>
      <w:proofErr w:type="spellEnd"/>
      <w:r w:rsidRPr="00903DE3">
        <w:rPr>
          <w:rFonts w:ascii="Times New Roman" w:hAnsi="Times New Roman"/>
          <w:sz w:val="28"/>
          <w:szCs w:val="28"/>
        </w:rPr>
        <w:t xml:space="preserve"> кишечника и его роли в здоровье человека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fsnstvsu1","properties":{"formattedCitation":"[92]","plainCitation":"[92]","noteIndex":0},"citationItems":[{"id":186,"uris":["http://zotero.org/users/7388323/items/NIL584E9"],"uri":["http://zotero.org/users/7388323/items/NIL584E9"],"itemData":{"id":186,"type":"article-journal","container-title":"Nature","DOI":"10.1038/nature06244","ISSN":"0028-0836, 1476-4687","issue":"7164","journalAbbreviation":"Nature","language":"en","page":"804-810","source":"DOI.org (Crossref)","title":"The Human Microbiome Project","URL":"http://www.nature.com/articles/nature06244","volume":"449","author":[{"family":"Turnbaugh","given":"Peter J."},{"family":"Ley","given":"Ruth E."},{"family":"Hamady","given":"Micah"},{"family":"Fraser-Liggett","given":"Claire M."},{"family":"Knight","given":"Rob"},{"family":"Gordon","given":"Jeffrey I."}],"accessed":{"date-parts":[["2020",7,12]]},"issued":{"date-parts":[["2007",10]]}}}],"schema":"https://github.com/citation-style-language/schema/raw/master/csl-citation.json"}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[128]</w:t>
      </w:r>
      <w:r w:rsidRPr="00903DE3">
        <w:rPr>
          <w:rFonts w:ascii="Times New Roman" w:hAnsi="Times New Roman"/>
          <w:sz w:val="28"/>
          <w:szCs w:val="28"/>
        </w:rPr>
        <w:fldChar w:fldCharType="end"/>
      </w:r>
      <w:r w:rsidRPr="00903DE3">
        <w:rPr>
          <w:rFonts w:ascii="Times New Roman" w:hAnsi="Times New Roman"/>
          <w:sz w:val="28"/>
          <w:szCs w:val="28"/>
        </w:rPr>
        <w:t xml:space="preserve">. Опубликованы серии статей, описывающих связь СИБР с такими заболеваниями, как синдром раздраженного кишечника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gg9ji4513","properties":{"formattedCitation":"[87,93]","plainCitation":"[87,93]","noteIndex":0},"citationItems":[{"id":185,"uris":["http://zotero.org/users/7388323/items/GIRU52YP"],"uri":["http://zotero.org/users/7388323/items/GIRU52YP"],"itemData":{"id":185,"type":"article-journal","container-title":"Gut","ISSN":"1468-3288","issue":"9","journalAbbreviation":"Gut","language":"eng","note":"PMID: 18719147","page":"1334-1335; author reply 1335","source":"PubMed","title":"The prevalence of small intestinal bacterial overgrowth in irritable bowel syndrome: IBS vs healthy controls (not historical definitions)","title-short":"The prevalence of small intestinal bacterial overgrowth in irritable bowel syndrome","volume":"57","author":[{"family":"Pimentel","given":"M."}],"issued":{"date-parts":[["2008",9]]}}},{"id":184,"uris":["http://zotero.org/users/7388323/items/I4J4YKCG"],"uri":["http://zotero.org/users/7388323/items/I4J4YKCG"],"itemData":{"id":184,"type":"article-journal","abstract":"PURPOSE: Small intestinal bacterial overgrowth (SIBO) may coexist with irritable bowel syndrome (IBS) and eradication therapy has been reported as effective in reducing IBS symptoms. Aims of this study were to: (1) Assess the clinical profiles of IBS patients, who underwent breath testing with a glucose substrate--glucose breath test (GBT); (2) Evaluate hydrogen and methane parameters in various IBS groups; (3) Assess the role of inhibition of gastric acid in contributing to SIBO; (4) Investigate efficacy and safety of non-absorbable antibiotic rifamixin for eradication and symptom relief.\nMETHODS: 204 IBS patients met the ROME II criteria for IBS (170F &amp; 34M; mean age 46.4; range 18-88) and underwent GBT. 8 of these patients with positive GBT were treated with rifaximin 200 mg, 4 times a day for 1 month and symptom assessments and GBT were repeated.\nRESULTS: 93 (46%) had a positive GBT. 68 (73%) of these 93 IBS-diarrhea dominant (IBS-D), 12 (13%) were constipation dominant (IBS-C) and 13 (14%) IBS with alternating bowel pattern. 48% of SIBO positive patients were receiving PPI therapy compared to 40% of IBS patients with negative GBT. 61 (66%) produced only hydrogen, 27 (29%) methane only, and 5 (5%) both-hydrogen and methane. There were more methane producers in IBS-C then IBS-D group (58% vs 28%) while IBS-D had more hydrogen formers (71% vs 42%). 8 patients with SIBO (7F &amp; IM; mean age 55, range 31-85) received rifamixin 800 mg/day. Repeat GBT was normal in 6 (75%), 1 patient (12.5%) normalized according to hydrogen criteria but methane remained positive. Symptoms score improved in 7 (87.5%) patients and no adverse events were noted.\nCONCLUSIONS: (1) SIBO was present in nearly half of this large cohort of IBS patients based on the results of GBT; (2) Chronic PPI use was not associated with SIBO; (3) Methane formers on the GBT are more likely to be constipated; (4) Rifaximin is effective in treatment of SIBO in IBS and controlled trials are warranted.","container-title":"Advances in Medical Sciences","ISSN":"1896-1126","journalAbbreviation":"Adv Med Sci","language":"eng","note":"PMID: 18217406","page":"139-142","source":"PubMed","title":"Results of small intestinal bacterial overgrowth testing in irritable bowel syndrome patients: clinical profiles and effects of antibiotic trial","title-short":"Results of small intestinal bacterial overgrowth testing in irritable bowel syndrome patients","volume":"52","author":[{"family":"Majewski","given":"M."},{"family":"McCallum","given":"R. W."}],"issued":{"date-parts":[["2007"]]}}}],"schema":"https://github.com/citation-style-language/schema/raw/master/csl-citation.json"}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[123,129]</w:t>
      </w:r>
      <w:r w:rsidRPr="00903DE3">
        <w:rPr>
          <w:rFonts w:ascii="Times New Roman" w:hAnsi="Times New Roman"/>
          <w:sz w:val="28"/>
          <w:szCs w:val="28"/>
        </w:rPr>
        <w:fldChar w:fldCharType="end"/>
      </w:r>
      <w:r w:rsidRPr="00903DE3">
        <w:rPr>
          <w:rFonts w:ascii="Times New Roman" w:hAnsi="Times New Roman"/>
          <w:sz w:val="28"/>
          <w:szCs w:val="28"/>
        </w:rPr>
        <w:t xml:space="preserve"> воспалительное заболевание кишечника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rmni6qdo9","properties":{"formattedCitation":"[94]","plainCitation":"[94]","noteIndex":0},"citationItems":[{"id":183,"uris":["http://zotero.org/users/7388323/items/7GVG2UCZ"],"uri":["http://zotero.org/users/7388323/items/7GVG2UCZ"],"itemData":{"id":183,"type":"article-journal","abstract":"BACKGROUND: Current data on small intestinal bacterial overgrowth (SIBO) in patients with inflammatory bowel diseases (IBD) are controversial.\nAIM: To conduct a systematic review and meta-analysis to determine the prevalence of SIBO in patients with ulcerative colitis (UC) and Crohn's disease (CD).\nMETHODS: Electronic databases were searched up to May 2018 for studies reporting prevalence of SIBO in IBD patients. The prevalence rate of SIBO among IBD patients and the odds ratio (OR) and 95% CI of SIBO in IBD patients compared with controls were calculated.\nRESULTS: The final dataset included 11 studies (1175 adult patients with IBD and 407 controls), all utilising breath test for diagnosis of SIBO. The proportion of SIBO in IBD patients was 22.3% (95% CI 19.92-24.68). The OR for SIBO in IBD patients was 9.51 (95% CI 3.39-26.68) compared to non-IBD controls, and high in both CD (OR = 10.86; 95% CI 2.76-42.69) and UC (OR = 7.96; 95% CI 1.66-38.35). In patients with CD, subgroup analysis showed the presence of fibrostenosing disease (OR = 7.47; 95% CI 2.51-22.20) and prior bowel surgery (OR = 2.38; 95% CI 1.65-3.44), especially resection of the ileocecal valve, increased the odds of SIBO. Individual studies suggest that combined small and large bowel disease but not disease activity may be associated with SIBO.\nCONCLUSIONS: Overall, there is a substantial increase in the prevalence of SIBO in IBD patients compared to controls. Prior surgery and the presence of fibrostenosing disease are risk factors for SIBO in IBD.","container-title":"Alimentary Pharmacology &amp; Therapeutics","DOI":"10.1111/apt.15133","ISSN":"1365-2036","issue":"6","journalAbbreviation":"Aliment. Pharmacol. Ther.","language":"eng","note":"PMID: 30735254","page":"624-635","source":"PubMed","title":"Systematic review with meta-analysis: the prevalence of small intestinal bacterial overgrowth in inflammatory bowel disease","title-short":"Systematic review with meta-analysis","volume":"49","author":[{"family":"Shah","given":"Ayesha"},{"family":"Morrison","given":"Mark"},{"family":"Burger","given":"Daniel"},{"family":"Martin","given":"Neal"},{"family":"Rich","given":"Justin"},{"family":"Jones","given":"Mike"},{"family":"Koloski","given":"Natasha"},{"family":"Walker","given":"Marjorie M."},{"family":"Talley","given":"Nicholas J."},{"family":"Holtmann","given":"Gerald J."}],"issued":{"date-parts":[["2019"]]}}}],"schema":"https://github.com/citation-style-language/schema/raw/master/csl-citation.json"}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[130]</w:t>
      </w:r>
      <w:r w:rsidRPr="00903DE3">
        <w:rPr>
          <w:rFonts w:ascii="Times New Roman" w:hAnsi="Times New Roman"/>
          <w:sz w:val="28"/>
          <w:szCs w:val="28"/>
        </w:rPr>
        <w:fldChar w:fldCharType="end"/>
      </w:r>
      <w:r w:rsidRPr="00903DE3">
        <w:rPr>
          <w:rFonts w:ascii="Times New Roman" w:hAnsi="Times New Roman"/>
          <w:sz w:val="28"/>
          <w:szCs w:val="28"/>
        </w:rPr>
        <w:t xml:space="preserve">, системный склероз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6h7VRn1Q","properties":{"formattedCitation":"[95]","plainCitation":"[95]","noteIndex":0},"citationItems":[{"id":182,"uris":["http://zotero.org/users/7388323/items/X64XTTJZ"],"uri":["http://zotero.org/users/7388323/items/X64XTTJZ"],"itemData":{"id":182,"type":"article-journal","abstract":"OBJECTIVES: There is a paucity of data available on small intestinal bacterial overgrowth (SIBO) in systemic sclerosis (SSc). The objectives of the study were to estimate the prevalence of SIBO in SSc patients exhibiting intestinal symptoms and identify patients at risk of SIBO regarding clinical and biological presentations and gastrointestinal symptoms captured by standardized questionnaires.\nMETHODS: Between 2011 and 2012, patients exhibiting intestinal complaints underwent glucose H2/CH4 breath tests (BT) and blood assays. They were interviewed using the University of California Los Angeles Scleroderma Clinical Trial Consortium Gastrointestinal Tract Instrument 2.0 (UCLA SCTC GTI) and the Short Form-36 (SF-36). For patients diagnosed with SIBO, BT was repeated 1 to 4 months after the end of antibiotics.\nRESULTS: Among 120 consecutive patients, 37 patients (29 women) exhibiting intestinal complaints were included (median age: 60 years). Fourteen patients (38%) were diagnosed with SIBO; patients from this subset had a longer disease duration (p=0.02), a significant weight loss within the past 6 months (p=0.03) and a higher total UCLA SCTC GTI score (p=0.03). The SF-36 assessment was not discriminant. Among the 14 patients treated for SIBO, 6 had a negative control BT, 4 remained positive, 2 failed to repeat the test and 2 patients died due to severe chronic malabsorption.\nCONCLUSIONS: SIBO is a not uncommon, late onset, severe and not easy to treat complication of SSc. Higher UCLA SCTC GTI score and weight loss appeared to be strongly associated with SIBO.","container-title":"Clinical and Experimental Rheumatology","ISSN":"0392-856X","issue":"6 Suppl 86","journalAbbreviation":"Clin. Exp. Rheumatol.","language":"eng","note":"PMID: 25372792","page":"S-82-87","source":"PubMed","title":"Prevalence and predictors of small intestinal bacterial overgrowth in systemic sclerosis patients with gastrointestinal symptoms","volume":"32","author":[{"family":"Tauber","given":"M."},{"family":"Avouac","given":"J."},{"family":"Benahmed","given":"A."},{"family":"Barbot","given":"L."},{"family":"Coustet","given":"B."},{"family":"Kahan","given":"A."},{"family":"Allanore","given":"Y."}],"issued":{"date-parts":[["2014",12]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[131]</w:t>
      </w:r>
      <w:r w:rsidRPr="00903DE3">
        <w:rPr>
          <w:rFonts w:ascii="Times New Roman" w:hAnsi="Times New Roman"/>
          <w:sz w:val="28"/>
          <w:szCs w:val="28"/>
        </w:rPr>
        <w:fldChar w:fldCharType="end"/>
      </w:r>
      <w:r w:rsidRPr="00903DE3">
        <w:rPr>
          <w:rFonts w:ascii="Times New Roman" w:hAnsi="Times New Roman"/>
          <w:sz w:val="28"/>
          <w:szCs w:val="28"/>
        </w:rPr>
        <w:t xml:space="preserve">, нарушения моторики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UGgZ6XgL","properties":{"formattedCitation":"[96,97]","plainCitation":"[96,97]","noteIndex":0},"citationItems":[{"id":181,"uris":["http://zotero.org/users/7388323/items/DUSLAL3F"],"uri":["http://zotero.org/users/7388323/items/DUSLAL3F"],"itemData":{"id":181,"type":"webpage","title":"The Interdigestive Motor Complex of Normal Subjects and Patients With Bacterial Overgrowth of the Small Intestine - PubMed","URL":"https://pubmed.ncbi.nlm.nih.gov/864008/","accessed":{"date-parts":[["2020",7,12]]}}},{"id":180,"uris":["http://zotero.org/users/7388323/items/Q5XSJBRZ"],"uri":["http://zotero.org/users/7388323/items/Q5XSJBRZ"],"itemData":{"id":180,"type":"article-journal","abstract":"BACKGROUND &amp; AIMS: Bacterial overgrowth and intestinal pseudo-obstruction may succeed abdominal radiotherapy, and absence of intestinal migrating motor complex (MMC) has been reported in bacterial overgrowth. The aims of this study were to address the relationship between intestinal patterns of motility and gastrointestinal microflora and to elucidate the pathogenesis of late radiation enteropathy.\nMETHODS: Forty-one consecutive female patients with symptoms of late radiation enteropathy were examined by prolonged ambulatory manometry, culture of gastric and duodenal samples with quantification of gram-negative bacilli (GNB) by the glucose gas test, the [14C]D-xylose breath test, and determination of pH and short-chain fatty acids in gastric juice.\nRESULTS: The intensity of MMC explained 61% (P &lt; 0.001) and 71% (P &lt; 0.001) of the variability of GNB in the stomach and duodenum, respectively, corresponding to the severity of disease. Abnormal MMC index and presence of irregular bursts were the best predictors of GNB (86%; P &lt; 0.001, multiple regression). Fasting gastric pH explained gastric bacterial counts (63%; P &lt; 0.001) but did not predict GNB.\nCONCLUSIONS: Impaired motility emerges as a causal factor for gastrointestinal colonization with GNB, whereas hypochlorhydria facilitates unspecific gastric colonization. Abnormal motility and GNB in the proximal small intestine are essential factors in the pathogenesis of severe late radiation enteropathy.","container-title":"Gastroenterology","DOI":"10.1016/0016-5085(95)90565-0","ISSN":"0016-5085","issue":"4","journalAbbreviation":"Gastroenterology","language":"eng","note":"PMID: 7557072","page":"1078-1089","source":"PubMed","title":"Abnormal intestinal motor patterns explain enteric colonization with gram-negative bacilli in late radiation enteropathy","volume":"109","author":[{"family":"Husebye","given":"E."},{"family":"Skar","given":"V."},{"family":"Høverstad","given":"T."},{"family":"Iversen","given":"T."},{"family":"Melby","given":"K."}],"issued":{"date-parts":[["1995",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[132, 133]</w:t>
      </w:r>
      <w:r w:rsidRPr="00903DE3">
        <w:rPr>
          <w:rFonts w:ascii="Times New Roman" w:hAnsi="Times New Roman"/>
          <w:sz w:val="28"/>
          <w:szCs w:val="28"/>
        </w:rPr>
        <w:fldChar w:fldCharType="end"/>
      </w:r>
      <w:r w:rsidRPr="00903DE3">
        <w:rPr>
          <w:rFonts w:ascii="Times New Roman" w:hAnsi="Times New Roman"/>
          <w:sz w:val="28"/>
          <w:szCs w:val="28"/>
        </w:rPr>
        <w:t xml:space="preserve"> и множество других состояний. Таким образом, </w:t>
      </w:r>
      <w:r w:rsidRPr="00903DE3">
        <w:rPr>
          <w:rFonts w:ascii="Times New Roman" w:hAnsi="Times New Roman"/>
          <w:sz w:val="28"/>
          <w:szCs w:val="28"/>
        </w:rPr>
        <w:lastRenderedPageBreak/>
        <w:t xml:space="preserve">СИБР часто ассоциируется с </w:t>
      </w:r>
      <w:proofErr w:type="spellStart"/>
      <w:r w:rsidRPr="00903DE3">
        <w:rPr>
          <w:rFonts w:ascii="Times New Roman" w:hAnsi="Times New Roman"/>
          <w:sz w:val="28"/>
          <w:szCs w:val="28"/>
        </w:rPr>
        <w:t>гипохлоргидрией</w:t>
      </w:r>
      <w:proofErr w:type="spellEnd"/>
      <w:r w:rsidRPr="00903DE3">
        <w:rPr>
          <w:rFonts w:ascii="Times New Roman" w:hAnsi="Times New Roman"/>
          <w:sz w:val="28"/>
          <w:szCs w:val="28"/>
        </w:rPr>
        <w:t xml:space="preserve"> (например, как результат терапии ингибиторами протонной помпы), с нарушением подвижности тонкой кишки (например, склеродермия, диабет) и изменением анатомической целостности (</w:t>
      </w:r>
      <w:proofErr w:type="spellStart"/>
      <w:r w:rsidRPr="00903DE3">
        <w:rPr>
          <w:rFonts w:ascii="Times New Roman" w:hAnsi="Times New Roman"/>
          <w:sz w:val="28"/>
          <w:szCs w:val="28"/>
        </w:rPr>
        <w:t>илеоцекальные</w:t>
      </w:r>
      <w:proofErr w:type="spellEnd"/>
      <w:r w:rsidRPr="00903DE3">
        <w:rPr>
          <w:rFonts w:ascii="Times New Roman" w:hAnsi="Times New Roman"/>
          <w:sz w:val="28"/>
          <w:szCs w:val="28"/>
        </w:rPr>
        <w:t xml:space="preserve"> резекции и т.д.)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FWYZKJGt","properties":{"formattedCitation":"[98]","plainCitation":"[98]","noteIndex":0},"citationItems":[{"id":266,"uris":["http://zotero.org/users/7388323/items/I9QDL2IT"],"uri":["http://zotero.org/users/7388323/items/I9QDL2IT"],"itemData":{"id":266,"type":"article-journal","abstract":"Background Small intestinal bacterial overgrowth (SIBO) is an increasingly recognized clinical syndrome; however, its etiophathogenesis is poorly understood. We hypothesized that loss of gastric acid, a delayed intestinal transit, and ileocecal valve dysfunction may contribute to the genesis of this syndrome.","container-title":"Digestive Diseases and Sciences","DOI":"10.1007/s10620-017-4726-4","ISSN":"0163-2116, 1573-2568","issue":"12","journalAbbreviation":"Dig Dis Sci","language":"en","page":"3525-3535","source":"DOI.org (Crossref)","title":"A Prospective Evaluation of Ileocecal Valve Dysfunction and Intestinal Motility Derangements in Small Intestinal Bacterial Overgrowth","URL":"http://link.springer.com/10.1007/s10620-017-4726-4","volume":"62","author":[{"family":"Chander Roland","given":"Bani"},{"family":"Mullin","given":"Gerard E."},{"family":"Passi","given":"Monica"},{"family":"Zheng","given":"Xi"},{"family":"Salem","given":"Ahmed"},{"family":"Yolken","given":"Robert"},{"family":"Pasricha","given":"Pankaj Jay"}],"accessed":{"date-parts":[["2020",7,7]]},"issued":{"date-parts":[["2017",12]]}}}],"schema":"https://github.com/citation-style-language/schema/raw/master/csl-citation.json"}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[134]</w:t>
      </w:r>
      <w:r w:rsidRPr="00903DE3">
        <w:rPr>
          <w:rFonts w:ascii="Times New Roman" w:hAnsi="Times New Roman"/>
          <w:sz w:val="28"/>
          <w:szCs w:val="28"/>
        </w:rPr>
        <w:fldChar w:fldCharType="end"/>
      </w:r>
      <w:r w:rsidRPr="00903DE3">
        <w:rPr>
          <w:rFonts w:ascii="Times New Roman" w:hAnsi="Times New Roman"/>
          <w:sz w:val="28"/>
          <w:szCs w:val="28"/>
        </w:rPr>
        <w:t xml:space="preserve">. Кроме того, было высказано предположение, что нарушение илеоцекального барьера, предрасполагающий к рефлюксу бактериального содержимого из ободочной в тонкую кишку, может быть существенным фактором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Xp0mnr6k","properties":{"formattedCitation":"[86]","plainCitation":"[86]","noteIndex":0},"citationItems":[{"id":263,"uris":["http://zotero.org/users/7388323/items/RYTWTEWB"],"uri":["http://zotero.org/users/7388323/items/RYTWTEWB"],"itemData":{"id":263,"type":"article-journal","container-title":"The American Journal of Gastroenterology","DOI":"10.14309/ajg.0000000000000501","ISSN":"0002-9270","issue":"2","journalAbbreviation":"The American Journal of Gastroenterology","language":"en","page":"165-178","source":"DOI.org (Crossref)","title":"ACG Clinical Guideline: Small Intestinal Bacterial Overgrowth","title-short":"ACG Clinical Guideline","URL":"http://journals.lww.com/10.14309/ajg.0000000000000501","volume":"115","author":[{"family":"Pimentel","given":"Mark"},{"family":"Saad","given":"Richard J."},{"family":"Long","given":"Millie D."},{"family":"Rao","given":"Satish S. C."}],"accessed":{"date-parts":[["2020",7,7]]},"issued":{"date-parts":[["2020",2]]}}}],"schema":"https://github.com/citation-style-language/schema/raw/master/csl-citation.json"}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[122]</w:t>
      </w:r>
      <w:r w:rsidRPr="00903DE3">
        <w:rPr>
          <w:rFonts w:ascii="Times New Roman" w:hAnsi="Times New Roman"/>
          <w:sz w:val="28"/>
          <w:szCs w:val="28"/>
        </w:rPr>
        <w:fldChar w:fldCharType="end"/>
      </w:r>
      <w:r w:rsidRPr="00903DE3">
        <w:rPr>
          <w:rFonts w:ascii="Times New Roman" w:hAnsi="Times New Roman"/>
          <w:sz w:val="28"/>
          <w:szCs w:val="28"/>
        </w:rPr>
        <w:t>.</w:t>
      </w:r>
    </w:p>
    <w:p w14:paraId="740FB646"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Исследователями также была предложена гипотеза о том, что критическим элементом в развитии СИБР могут быть специфичные </w:t>
      </w:r>
      <w:proofErr w:type="spellStart"/>
      <w:r w:rsidRPr="00903DE3">
        <w:rPr>
          <w:rFonts w:ascii="Times New Roman" w:hAnsi="Times New Roman"/>
          <w:sz w:val="28"/>
          <w:szCs w:val="28"/>
        </w:rPr>
        <w:t>паттерные</w:t>
      </w:r>
      <w:proofErr w:type="spellEnd"/>
      <w:r w:rsidRPr="00903DE3">
        <w:rPr>
          <w:rFonts w:ascii="Times New Roman" w:hAnsi="Times New Roman"/>
          <w:sz w:val="28"/>
          <w:szCs w:val="28"/>
        </w:rPr>
        <w:t xml:space="preserve"> движения дистального отдела подвздошной кишки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w3uI9fAk","properties":{"formattedCitation":"[99,100]","plainCitation":"[99,100]","noteIndex":0},"citationItems":[{"id":142,"uris":["http://zotero.org/users/7388323/items/ULL8IBY4"],"uri":["http://zotero.org/users/7388323/items/ULL8IBY4"],"itemData":{"id":142,"type":"article-journal","abstract":"Studies of interdigestive motor activity in the distal ileum, ileocolonic sphincter, and proximal colon were performed in two groups of dogs: (i) in those with ileocolonic loops that maintained neuromuscular continuity with the proximal intestine, we used an intraluminal side-hole assembly; (ii) in those with intact bowel, we attached extraluminal strain gauge transducers. Both groups of animals were equipped also with serosal electrodes. Positioning of motor sensors could be defined accurately by (a) a clear separation of rhythmic frequencies between those of the distal ileum (mean 10.8 cycles/min) and proximal colon (mean 6.2 cycles/min) and (b) the characteristic motor patterns of the ileocolonic sphincter. Analysis of motor activity in the segment demonstrated four distinct patterns: (i) irregular, apparently random phasic waves, (ii) rhythmic bursts of contractions corresponding to phase III of the migrating motor complex, (iii) other slowly propagated bursts of rhythmic activity (mean duration 3.6 min) recurring on average every 10 min, and (iv) single, prolonged (mean duration 16.7 s), high amplitude (mean 271 cmH2O) waves that propagated rapidly (\"prolonged propagated contractions\"). The latter two patterns appear unique to, or unusually prominent in, this region. A high degree of motor coordination between the distal ileum, ileocolonic sphincter, and proximal colon was also recognized. Thus, the patterns of motor activity suggest a specialized function for the distal 30 cm of ileum, the ileocolonic sphincter, and the proximal colon. These unique and coordinated patterns of motility deserve further exploration, especially in relation to ileocolonic transit and actions of the sphincter as a barrier to colo-ileal reflux.","container-title":"Gastroenterology","ISSN":"0016-5085","issue":"4","journalAbbreviation":"Gastroenterology","language":"eng","note":"PMID: 6468872","page":"836-844","source":"PubMed","title":"Distinctive patterns of interdigestive motility at the canine ileocolonic junction","volume":"87","author":[{"family":"Quigley","given":"E. M."},{"family":"Phillips","given":"S. F."},{"family":"Dent","given":"J."}],"issued":{"date-parts":[["1984",10]]}}},{"id":141,"uris":["http://zotero.org/users/7388323/items/MI5N8CNM"],"uri":["http://zotero.org/users/7388323/items/MI5N8CNM"],"itemData":{"id":141,"type":"article-journal","abstract":"Factors controlling the transit of contents between the ileum and cecum should be important determinants of intestinal function; however, the dynamics of the ileocecal region remain largely unexplored in healthy humans. Accordingly, prolonged recordings of intraluminal pressure were obtained from the distal ileum, across the ileocecal sphincter, and from the proximal colon of healthy adults. In one set of studies, 16 subjects each contributed 6 h of basal, fasting recordings; in 2 of the 16, postprandial patterns were also recorded. In a second set, 6 fasting subjects were studied for a total of 120 h. Less than 10% of interdigestive cycles (migrating motor complexes) reached the ileocecal sphincter. The remainder faded out and merged into an active, apparently random pattern of pressure waves that became more intense closer to the sphincter. Discrete, short bursts of phasic pressures migrated rapidly for long distances in the distal ileum and a unique peristaltic wave also migrated rapidly, though infrequently, through the region. Tonic pressures were recorded across the ileocecal sphincter but were present only during the passage of phasic pressure waves; basal tone was minimal. We believe these are the first prolonged observations of motility from the ileocecal sphincter of healthy humans. These descriptions provide insights into and a basis for further studies of a largely unexplored area of the human bowel.","container-title":"Gastroenterology","ISSN":"0016-5085","issue":"4","journalAbbreviation":"Gastroenterology","language":"eng","note":"PMID: 6468873","page":"857-866","source":"PubMed","title":"Motility of the terminal ileum and ileocecal sphincter in healthy humans","volume":"87","author":[{"family":"Quigley","given":"E. M."},{"family":"Borody","given":"T. J."},{"family":"Phillips","given":"S. F."},{"family":"Wienbeck","given":"M."},{"family":"Tucker","given":"R. L."},{"family":"Haddad","given":"A."}],"issued":{"date-parts":[["1984",10]]}}}],"schema":"https://github.com/citation-style-language/schema/raw/master/csl-citation.json"}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[136, 137]</w:t>
      </w:r>
      <w:r w:rsidRPr="00903DE3">
        <w:rPr>
          <w:rFonts w:ascii="Times New Roman" w:hAnsi="Times New Roman"/>
          <w:sz w:val="28"/>
          <w:szCs w:val="28"/>
        </w:rPr>
        <w:fldChar w:fldCharType="end"/>
      </w:r>
      <w:r w:rsidRPr="00903DE3">
        <w:rPr>
          <w:rFonts w:ascii="Times New Roman" w:hAnsi="Times New Roman"/>
          <w:sz w:val="28"/>
          <w:szCs w:val="28"/>
        </w:rPr>
        <w:t xml:space="preserve">. Таким образом, это исследование прояснило механизмы, которые могут привести к СИБР и позволило разработать рабочую классификацию на основе трех патофизиологических групп: Тип 1: высокий желудочный/кишечный </w:t>
      </w:r>
      <w:proofErr w:type="spellStart"/>
      <w:r w:rsidRPr="00903DE3">
        <w:rPr>
          <w:rFonts w:ascii="Times New Roman" w:hAnsi="Times New Roman"/>
          <w:sz w:val="28"/>
          <w:szCs w:val="28"/>
        </w:rPr>
        <w:t>pH</w:t>
      </w:r>
      <w:proofErr w:type="spellEnd"/>
      <w:r w:rsidRPr="00903DE3">
        <w:rPr>
          <w:rFonts w:ascii="Times New Roman" w:hAnsi="Times New Roman"/>
          <w:sz w:val="28"/>
          <w:szCs w:val="28"/>
        </w:rPr>
        <w:t xml:space="preserve"> (группа «с низким содержанием желудочной кислоты»). Тип 2: медленный транзит (группа «с кишечной </w:t>
      </w:r>
      <w:proofErr w:type="spellStart"/>
      <w:r w:rsidRPr="00903DE3">
        <w:rPr>
          <w:rFonts w:ascii="Times New Roman" w:hAnsi="Times New Roman"/>
          <w:sz w:val="28"/>
          <w:szCs w:val="28"/>
        </w:rPr>
        <w:t>дисмобильностью</w:t>
      </w:r>
      <w:proofErr w:type="spellEnd"/>
      <w:r w:rsidRPr="00903DE3">
        <w:rPr>
          <w:rFonts w:ascii="Times New Roman" w:hAnsi="Times New Roman"/>
          <w:sz w:val="28"/>
          <w:szCs w:val="28"/>
        </w:rPr>
        <w:t xml:space="preserve">») и Тип 3: нарушение илеоцекального клапана (группа « с </w:t>
      </w:r>
      <w:proofErr w:type="spellStart"/>
      <w:r w:rsidRPr="00903DE3">
        <w:rPr>
          <w:rFonts w:ascii="Times New Roman" w:hAnsi="Times New Roman"/>
          <w:sz w:val="28"/>
          <w:szCs w:val="28"/>
        </w:rPr>
        <w:t>дисфункциональным</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илеоцекальным</w:t>
      </w:r>
      <w:proofErr w:type="spellEnd"/>
      <w:r w:rsidRPr="00903DE3">
        <w:rPr>
          <w:rFonts w:ascii="Times New Roman" w:hAnsi="Times New Roman"/>
          <w:sz w:val="28"/>
          <w:szCs w:val="28"/>
        </w:rPr>
        <w:t xml:space="preserve"> клапаном»)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2TJyKXqS","properties":{"formattedCitation":"[86]","plainCitation":"[86]","noteIndex":0},"citationItems":[{"id":263,"uris":["http://zotero.org/users/7388323/items/RYTWTEWB"],"uri":["http://zotero.org/users/7388323/items/RYTWTEWB"],"itemData":{"id":263,"type":"article-journal","container-title":"The American Journal of Gastroenterology","DOI":"10.14309/ajg.0000000000000501","ISSN":"0002-9270","issue":"2","journalAbbreviation":"The American Journal of Gastroenterology","language":"en","page":"165-178","source":"DOI.org (Crossref)","title":"ACG Clinical Guideline: Small Intestinal Bacterial Overgrowth","title-short":"ACG Clinical Guideline","URL":"http://journals.lww.com/10.14309/ajg.0000000000000501","volume":"115","author":[{"family":"Pimentel","given":"Mark"},{"family":"Saad","given":"Richard J."},{"family":"Long","given":"Millie D."},{"family":"Rao","given":"Satish S. C."}],"accessed":{"date-parts":[["2020",7,7]]},"issued":{"date-parts":[["2020",2]]}}}],"schema":"https://github.com/citation-style-language/schema/raw/master/csl-citation.json"}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[122]</w:t>
      </w:r>
      <w:r w:rsidRPr="00903DE3">
        <w:rPr>
          <w:rFonts w:ascii="Times New Roman" w:hAnsi="Times New Roman"/>
          <w:sz w:val="28"/>
          <w:szCs w:val="28"/>
        </w:rPr>
        <w:fldChar w:fldCharType="end"/>
      </w:r>
      <w:r w:rsidRPr="00903DE3">
        <w:rPr>
          <w:rFonts w:ascii="Times New Roman" w:hAnsi="Times New Roman"/>
          <w:sz w:val="28"/>
          <w:szCs w:val="28"/>
        </w:rPr>
        <w:t xml:space="preserve">. Схема стратификации по группам, основанная на </w:t>
      </w:r>
      <w:proofErr w:type="spellStart"/>
      <w:r w:rsidRPr="00903DE3">
        <w:rPr>
          <w:rFonts w:ascii="Times New Roman" w:hAnsi="Times New Roman"/>
          <w:sz w:val="28"/>
          <w:szCs w:val="28"/>
        </w:rPr>
        <w:t>этиопатогенезе</w:t>
      </w:r>
      <w:proofErr w:type="spellEnd"/>
      <w:r w:rsidRPr="00903DE3">
        <w:rPr>
          <w:rFonts w:ascii="Times New Roman" w:hAnsi="Times New Roman"/>
          <w:sz w:val="28"/>
          <w:szCs w:val="28"/>
        </w:rPr>
        <w:t xml:space="preserve">, может обеспечить ключевую основу для понимания все более распространенного, но, несомненно, гетерогенного синдрома. Данная система классификации может также обеспечить основу для разработки более целевых методов лечения для эффективной терапии СИБР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TrUhdHJ9","properties":{"formattedCitation":"[98]","plainCitation":"[98]","noteIndex":0},"citationItems":[{"id":266,"uris":["http://zotero.org/users/7388323/items/I9QDL2IT"],"uri":["http://zotero.org/users/7388323/items/I9QDL2IT"],"itemData":{"id":266,"type":"article-journal","abstract":"Background Small intestinal bacterial overgrowth (SIBO) is an increasingly recognized clinical syndrome; however, its etiophathogenesis is poorly understood. We hypothesized that loss of gastric acid, a delayed intestinal transit, and ileocecal valve dysfunction may contribute to the genesis of this syndrome.","container-title":"Digestive Diseases and Sciences","DOI":"10.1007/s10620-017-4726-4","ISSN":"0163-2116, 1573-2568","issue":"12","journalAbbreviation":"Dig Dis Sci","language":"en","page":"3525-3535","source":"DOI.org (Crossref)","title":"A Prospective Evaluation of Ileocecal Valve Dysfunction and Intestinal Motility Derangements in Small Intestinal Bacterial Overgrowth","URL":"http://link.springer.com/10.1007/s10620-017-4726-4","volume":"62","author":[{"family":"Chander Roland","given":"Bani"},{"family":"Mullin","given":"Gerard E."},{"family":"Passi","given":"Monica"},{"family":"Zheng","given":"Xi"},{"family":"Salem","given":"Ahmed"},{"family":"Yolken","given":"Robert"},{"family":"Pasricha","given":"Pankaj Jay"}],"accessed":{"date-parts":[["2020",7,7]]},"issued":{"date-parts":[["2017",12]]}}}],"schema":"https://github.com/citation-style-language/schema/raw/master/csl-citation.json"}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[135]</w:t>
      </w:r>
      <w:r w:rsidRPr="00903DE3">
        <w:rPr>
          <w:rFonts w:ascii="Times New Roman" w:hAnsi="Times New Roman"/>
          <w:sz w:val="28"/>
          <w:szCs w:val="28"/>
        </w:rPr>
        <w:fldChar w:fldCharType="end"/>
      </w:r>
      <w:r w:rsidRPr="00903DE3">
        <w:rPr>
          <w:rFonts w:ascii="Times New Roman" w:hAnsi="Times New Roman"/>
          <w:sz w:val="28"/>
          <w:szCs w:val="28"/>
        </w:rPr>
        <w:t>.</w:t>
      </w:r>
    </w:p>
    <w:p w14:paraId="19D07EDD"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Американская коллегия гастроэнтерологов указала ведущие причины, способствующие развитию СИБР, среди которых хирургические вмешательства на тонкую и ободочную кишку стоят в первых рядах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qQ5VaoTF","properties":{"formattedCitation":"[86]","plainCitation":"[86]","noteIndex":0},"citationItems":[{"id":263,"uris":["http://zotero.org/users/7388323/items/RYTWTEWB"],"uri":["http://zotero.org/users/7388323/items/RYTWTEWB"],"itemData":{"id":263,"type":"article-journal","container-title":"The American Journal of Gastroenterology","DOI":"10.14309/ajg.0000000000000501","ISSN":"0002-9270","issue":"2","journalAbbreviation":"The American Journal of Gastroenterology","language":"en","page":"165-178","source":"DOI.org (Crossref)","title":"ACG Clinical Guideline: Small Intestinal Bacterial Overgrowth","title-short":"ACG Clinical Guideline","URL":"http://journals.lww.com/10.14309/ajg.0000000000000501","volume":"115","author":[{"family":"Pimentel","given":"Mark"},{"family":"Saad","given":"Richard J."},{"family":"Long","given":"Millie D."},{"family":"Rao","given":"Satish S. C."}],"accessed":{"date-parts":[["2020",7,7]]},"issued":{"date-parts":[["2020",2]]}}}],"schema":"https://github.com/citation-style-language/schema/raw/master/csl-citation.json"}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[122]</w:t>
      </w:r>
      <w:r w:rsidRPr="00903DE3">
        <w:rPr>
          <w:rFonts w:ascii="Times New Roman" w:hAnsi="Times New Roman"/>
          <w:sz w:val="28"/>
          <w:szCs w:val="28"/>
        </w:rPr>
        <w:fldChar w:fldCharType="end"/>
      </w:r>
      <w:r w:rsidRPr="00903DE3">
        <w:rPr>
          <w:rFonts w:ascii="Times New Roman" w:hAnsi="Times New Roman"/>
          <w:sz w:val="28"/>
          <w:szCs w:val="28"/>
        </w:rPr>
        <w:t xml:space="preserve">. </w:t>
      </w:r>
      <w:proofErr w:type="spellStart"/>
      <w:r w:rsidRPr="00903DE3">
        <w:rPr>
          <w:rFonts w:ascii="Times New Roman" w:hAnsi="Times New Roman"/>
          <w:sz w:val="28"/>
          <w:szCs w:val="28"/>
        </w:rPr>
        <w:t>Petrone</w:t>
      </w:r>
      <w:proofErr w:type="spellEnd"/>
      <w:r w:rsidRPr="00903DE3">
        <w:rPr>
          <w:rFonts w:ascii="Times New Roman" w:hAnsi="Times New Roman"/>
          <w:sz w:val="28"/>
          <w:szCs w:val="28"/>
        </w:rPr>
        <w:t xml:space="preserve"> P. и соавт, отмечают, что при обследовании больных с СИБР 82 % имели в анамнезе хирургическое вмешательство на ЖКТ. Так же авторы предполагают о возможной роли послеоперационного спаечного процесса, который способствует развитию СИБР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ue912I2g","properties":{"formattedCitation":"[90]","plainCitation":"[90]","noteIndex":0},"citationItems":[{"id":262,"uris":["http://zotero.org/users/7388323/items/X47W7ZLH"],"uri":["http://zotero.org/users/7388323/items/X47W7ZLH"],"itemData":{"id":262,"type":"article-journal","container-title":"Archives of Surgery","DOI":"10.1001/archsurg.2011.55","ISSN":"0004-0010","issue":"4","journalAbbreviation":"Arch Surg","language":"en","page":"444","source":"DOI.org (Crossref)","title":"Small Intestinal Bacterial Overgrowth in Patients With Lower Gastrointestinal Symptoms and a History of Previous Abdominal Surgery","URL":"http://archsurg.jamanetwork.com/article.aspx?doi=10.1001/archsurg.2011.55","volume":"146","author":[{"family":"Petrone","given":"Patrizio"}],"accessed":{"date-parts":[["2020",7,7]]},"issued":{"date-parts":[["2011",4,1]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[126]</w:t>
      </w:r>
      <w:r w:rsidRPr="00903DE3">
        <w:rPr>
          <w:rFonts w:ascii="Times New Roman" w:hAnsi="Times New Roman"/>
          <w:sz w:val="28"/>
          <w:szCs w:val="28"/>
        </w:rPr>
        <w:fldChar w:fldCharType="end"/>
      </w:r>
      <w:r w:rsidRPr="00903DE3">
        <w:rPr>
          <w:rFonts w:ascii="Times New Roman" w:hAnsi="Times New Roman"/>
          <w:sz w:val="28"/>
          <w:szCs w:val="28"/>
        </w:rPr>
        <w:t>.</w:t>
      </w:r>
    </w:p>
    <w:p w14:paraId="6E9F9942"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Симптомы СИБР проявляются вследствие нарушения всасывания питательных веществ, изменения проницаемости слизистой кишечника, воспаления и/или иммунной активации, возникающих в результате патологической бактериальной ферментации в тонкой кишке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xAx6W2Iy","properties":{"formattedCitation":"[101]","plainCitation":"[101]","noteIndex":0},"citationItems":[{"id":177,"uris":["http://zotero.org/users/7388323/items/CAHPDKCW"],"uri":["http://zotero.org/users/7388323/items/CAHPDKCW"],"itemData":{"id":177,"type":"article-journal","abstract":"Gut microbiota is the largest organ of the human body. Although growth of bacteria more than 105 colony forming unit (CFU) per milliliter in culture of upper gut aspirate is used to diagnosis small intestinal bacterial overgrowth (SIBO), 103 CFU or more is being considered to suggest the diagnosis, particularly if colonic type bacteria are present in the upper gut. Although neither very sensitive nor specific, hydrogen breath tests are widely used to diagnose SIBO. Rifaximin is the best treatment for SIBO due to its broad spectrum, lack of systemic absorption, and safety profile.","container-title":"Gastroenterology Clinics of North America","DOI":"10.1016/j.gtc.2016.09.008","ISSN":"1558-1942","issue":"1","journalAbbreviation":"Gastroenterol. Clin. North Am.","language":"eng","note":"PMID: 28164845","page":"103-120","source":"PubMed","title":"Small Intestinal Bacterial Overgrowth and Other Intestinal Disorders","volume":"46","author":[{"family":"Ghoshal","given":"Uday C."},{"family":"Ghoshal","given":"Ujjala"}],"issued":{"date-parts":[["2017"]]}}}],"schema":"https://github.com/citation-style-language/schema/raw/master/csl-citation.json"}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[138]</w:t>
      </w:r>
      <w:r w:rsidRPr="00903DE3">
        <w:rPr>
          <w:rFonts w:ascii="Times New Roman" w:hAnsi="Times New Roman"/>
          <w:sz w:val="28"/>
          <w:szCs w:val="28"/>
        </w:rPr>
        <w:fldChar w:fldCharType="end"/>
      </w:r>
      <w:r w:rsidRPr="00903DE3">
        <w:rPr>
          <w:rFonts w:ascii="Times New Roman" w:hAnsi="Times New Roman"/>
          <w:sz w:val="28"/>
          <w:szCs w:val="28"/>
        </w:rPr>
        <w:t xml:space="preserve">. К клиническим симптомам СИБР относятся тошнота, вздутие живота, спазмы в животе, боль в животе, диарею и/или запор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UsNDWASj","properties":{"formattedCitation":"[90]","plainCitation":"[90]","noteIndex":0},"citationItems":[{"id":262,"uris":["http://zotero.org/users/7388323/items/X47W7ZLH"],"uri":["http://zotero.org/users/7388323/items/X47W7ZLH"],"itemData":{"id":262,"type":"article-journal","container-title":"Archives of Surgery","DOI":"10.1001/archsurg.2011.55","ISSN":"0004-0010","issue":"4","journalAbbreviation":"Arch Surg","language":"en","page":"444","source":"DOI.org (Crossref)","title":"Small Intestinal Bacterial Overgrowth in Patients With Lower Gastrointestinal Symptoms and a History of Previous Abdominal Surgery","URL":"http://archsurg.jamanetwork.com/article.aspx?doi=10.1001/archsurg.2011.55","volume":"146","author":[{"family":"Petrone","given":"Patrizio"}],"accessed":{"date-parts":[["2020",7,7]]},"issued":{"date-parts":[["2011",4,1]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[126]</w:t>
      </w:r>
      <w:r w:rsidRPr="00903DE3">
        <w:rPr>
          <w:rFonts w:ascii="Times New Roman" w:hAnsi="Times New Roman"/>
          <w:sz w:val="28"/>
          <w:szCs w:val="28"/>
        </w:rPr>
        <w:fldChar w:fldCharType="end"/>
      </w:r>
      <w:r w:rsidRPr="00903DE3">
        <w:rPr>
          <w:rFonts w:ascii="Times New Roman" w:hAnsi="Times New Roman"/>
          <w:sz w:val="28"/>
          <w:szCs w:val="28"/>
        </w:rPr>
        <w:t xml:space="preserve">. Хирургическая резекция кишки способствует развитию </w:t>
      </w:r>
      <w:proofErr w:type="spellStart"/>
      <w:r w:rsidRPr="00903DE3">
        <w:rPr>
          <w:rFonts w:ascii="Times New Roman" w:hAnsi="Times New Roman"/>
          <w:sz w:val="28"/>
          <w:szCs w:val="28"/>
        </w:rPr>
        <w:t>стеатореи</w:t>
      </w:r>
      <w:proofErr w:type="spellEnd"/>
      <w:r w:rsidRPr="00903DE3">
        <w:rPr>
          <w:rFonts w:ascii="Times New Roman" w:hAnsi="Times New Roman"/>
          <w:sz w:val="28"/>
          <w:szCs w:val="28"/>
        </w:rPr>
        <w:t xml:space="preserve">, потери веса, анемии, дефицита витамина В 12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fPO1nm3I","properties":{"formattedCitation":"[102,103]","plainCitation":"[102,103]","noteIndex":0},"citationItems":[{"id":176,"uris":["http://zotero.org/users/7388323/items/PTID297M"],"uri":["http://zotero.org/users/7388323/items/PTID297M"],"itemData":{"id":176,"type":"article-journal","abstract":"Systemic sclerosis (SSc) is a chronic, connective tissue disease with an autoimmune pattern characterized by inflammation, fibrosis and microcirculation changes leading to internal organs malfunctions. Recently, the presence of uncharacteristic gastrointestinal symptoms in the course of SSc has been underlined. The possible cause of such clinical presentation is the small intestinal bacterial overgrowth (SIBO). Nevertheless, these manifestations resulting from gastrointestinal tract hypomotility may occur in numerous disease entities. The systematic review of the literature was performed on MEDLINE database using the relevant MeSH terms including all sub-headings. After further investigation, the initial number of 56 records was limited to 7 results. The study analysis showed an increased presence of SIBO in 39% of patients suffering from SSc. The average SSc duration was longer in SSc patients with coexisting SIBO. SIBO remains a diagnostic and therapeutic challenge and therefore is a significant clinical problem among patients suffering from SSc.","container-title":"Archives of Dermatological Research","DOI":"10.1007/s00403-018-1874-0","ISSN":"1432-069X","issue":"1","journalAbbreviation":"Arch. Dermatol. Res.","language":"eng","note":"PMID: 30382339\nPMCID: PMC6326989","page":"1-8","source":"PubMed","title":"Small intestinal bacterial overgrowth in systemic sclerosis: a review of the literature","title-short":"Small intestinal bacterial overgrowth in systemic sclerosis","volume":"311","author":[{"family":"Polkowska-Pruszyńska","given":"Beata"},{"family":"Gerkowicz","given":"Agnieszka"},{"family":"Szczepanik-Kułak","given":"Paulina"},{"family":"Krasowska","given":"Dorota"}],"issued":{"date-parts":[["2019",1]]}}},{"id":259,"uris":["http://zotero.org/users/7388323/items/FIQ75TCV"],"uri":["http://zotero.org/users/7388323/items/FIQ75TCV"],"itemData":{"id":259,"type":"article-journal","container-title":"Gastroenterology","DOI":"10.1053/j.gastro.2005.11.046","ISSN":"00165085","issue":"2","journalAbbreviation":"Gastroenterology","language":"en","page":"S78-S90","source":"DOI.org (Crossref)","title":"Small Intestinal Bacterial Overgrowth: Roles of Antibiotics, Prebiotics, and Probiotics","title-short":"Small Intestinal Bacterial Overgrowth","URL":"https://linkinghub.elsevier.com/retrieve/pii/S0016508505024200","volume":"130","author":[{"family":"Quigley","given":"Eamonn M.M."},{"family":"Quera","given":"Rodrigo"}],"accessed":{"date-parts":[["2020",7,7]]},"issued":{"date-parts":[["2006",2]]}}}],"schema":"https://github.com/citation-style-language/schema/raw/master/csl-citation.json"}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[139, 140]</w:t>
      </w:r>
      <w:r w:rsidRPr="00903DE3">
        <w:rPr>
          <w:rFonts w:ascii="Times New Roman" w:hAnsi="Times New Roman"/>
          <w:sz w:val="28"/>
          <w:szCs w:val="28"/>
        </w:rPr>
        <w:fldChar w:fldCharType="end"/>
      </w:r>
      <w:r w:rsidRPr="00903DE3">
        <w:rPr>
          <w:rFonts w:ascii="Times New Roman" w:hAnsi="Times New Roman"/>
          <w:sz w:val="28"/>
          <w:szCs w:val="28"/>
        </w:rPr>
        <w:t xml:space="preserve">. Имеющиеся данные свидетельствуют о том, что боль в животе, метеоризм и диарея являются наиболее распространенными симптомами у пациентов с СИБР и выявляются более чем у 2/3 пациентов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iU5Qd6YA","properties":{"formattedCitation":"[104\\uc0\\u8211{}106]","plainCitation":"[104–106]","noteIndex":0},"citationItems":[{"id":174,"uris":["http://zotero.org/users/7388323/items/4I2NHJV5"],"uri":["http://zotero.org/users/7388323/items/4I2NHJV5"],"itemData":{"id":174,"type":"article-journal","abstract":"Small intestinal fungal overgrowth (SIFO) is characterized by the presence of excessive number of fungal organisms in the small intestine associated with gastrointestinal (GI) symptoms. Candidiasis is known to cause GI symptoms particularly in immunocompromised patients or those receiving steroids or antibiotics. However, only recently, there is emerging literature that an overgrowth of fungus in the small intestine of non-immunocompromised subjects may cause unexplained GI symptoms. Two recent studies showed that 26 % (24/94) and 25.3 % (38/150) of a series of patients with unexplained GI symptoms had SIFO. The most common symptoms observed in these patients were belching, bloating, indigestion, nausea, diarrhea, and gas. The underlying mechanism(s) that predisposes to SIFO is unclear but small intestinal dysmotility and use of proton pump inhibitors has been implicated. However, further studies are needed; both to confirm these observations and to examine the clinical relevance of fungal overgrowth, both in healthy subjects and in patients with otherwise unexplained GI symptoms. Importantly, whether eradication or its treatment leads to resolution of symptoms remains unclear; at present, a 2-3-week course of antifungal therapy is recommended and may be effective in improving symptoms, but evidence for eradication is lacking.","container-title":"Current Gastroenterology Reports","DOI":"10.1007/s11894-015-0436-2","ISSN":"1534-312X","issue":"4","journalAbbreviation":"Curr Gastroenterol Rep","language":"eng","note":"PMID: 25786900","page":"16","source":"PubMed","title":"Small intestinal fungal overgrowth","volume":"17","author":[{"family":"Erdogan","given":"Askin"},{"family":"Rao","given":"Satish S. C."}],"issued":{"date-parts":[["2015",4]]}}},{"id":173,"uris":["http://zotero.org/users/7388323/items/UDMM8HJA"],"uri":["http://zotero.org/users/7388323/items/UDMM8HJA"],"itemData":{"id":173,"type":"article-journal","abstract":"BACKGROUND: The diagnosis of small intestinal bacterial overgrowth (SIBO) remains challenging. Our aim was to examine the diagnostic yield of duodenal aspiration/culture and glucose breath test (GBT), and effects of gender, race and demographics on prevalence of SIBO.\nMETHODS: Patients with unexplained gas, bloating and diarrhea and negative endoscopy, imaging and blood tests were prospectively enrolled in two centers in USA. Randomly, within 1 week each patient underwent both duodenal aspiration/culture and GBT. The diagnostic yield of each test and relationship of symptoms, and effects of ethnicity, age, and gender on prevalence of SIBO were assessed and compared.\nKEY RESULTS: Duodenal culture was positive in 62/139 (44.6%) subjects and GBT was positive in 38/139 (27.3%) subjects with an overall diagnostic agreement of 65.5%. The sensitivity, specificity, positive and negative predictive value of GBT was 42%, 84%, 68%, and 64%, respectively. Ethnicity or gender did not influence SIBO, but SIBO positive patients were older (p = 0.0018). Symptom patterns were similar except bloating was more prevalent in GBT positive and gas in culture positive subjects.\nCONCLUSIONS &amp; INFERENCES: Duodenal aspiration/culture identifies 45% of patients with suspected SIBO. GBT has lower sensitivity but good specificity for detection of SIBO. There were no ethnic or gender differences in the prevalence of SIBO, but patients with SIBO were older. Because GBT is non-invasive, it should be considered first in patients with suspected SIBO.","container-title":"Neurogastroenterology and Motility: The Official Journal of the European Gastrointestinal Motility Society","DOI":"10.1111/nmo.12516","ISSN":"1365-2982","issue":"4","journalAbbreviation":"Neurogastroenterol. Motil.","language":"eng","note":"PMID: 25600077","page":"481-489","source":"PubMed","title":"Small intestinal bacterial overgrowth: duodenal aspiration vs glucose breath test","title-short":"Small intestinal bacterial overgrowth","volume":"27","author":[{"family":"Erdogan","given":"A."},{"family":"Rao","given":"S. S. C."},{"family":"Gulley","given":"D."},{"family":"Jacobs","given":"C."},{"family":"Lee","given":"Y. Y."},{"family":"Badger","given":"C."}],"issued":{"date-parts":[["2015",4]]}}},{"id":172,"uris":["http://zotero.org/users/7388323/items/AD4WKMHG"],"uri":["http://zotero.org/users/7388323/items/AD4WKMHG"],"itemData":{"id":172,"type":"article-journal","abstract":"BACKGROUND: Whether intestinal dysmotility and the use of a proton pump inhibitor (PPI) either independently or together contributes to small intestinal bacterial overgrowth (SIBO), and/or small intestinal fungal overgrowth (SIFO) is not known.\nAIM: To investigate the role of dysmotility and PPI use in patients with persistent gastrointestinal complaints.\nMETHODS: Patients with unexplained gastrointestinal symptoms and negative endoscopy/radiology tests completed a validated symptom questionnaire and underwent 24-h ambulatory antro-duodeno-jejunal manometry (ADJM). Simultaneously, duodenal aspirate was obtained for aerobic, anaerobic and fungal culture. Dysmotility was diagnosed by (&gt;2): absent phase III MMC, absent/diminished postprandial response, diminished amplitude of antral/intestinal phasic activity, impaired antro-duodenal coordination. Bacterial growth ≥10³ CFU/mL or fungal growth was considered evidence for SIBO/SIFO. PPI use was documented. Correlation of symptoms with presence of SIBO or SIFO was assessed.\nRESULTS: One hundred and fifty subjects (M/F = 47/103) were evaluated; 94/150 (63%) had overgrowth: 38/94 (40%) had SIBO, 24/94 (26%) had SIFO and 32/94 (34%) had mixed SIBO/SIFO. SIBO was predominately due to Streptococcus, Enterococcus, Klebsiella and E. coli. SIFO was due to Candida. Eighty of 150 (53%) patients had dysmotility and 65/150 (43%) used PPI. PPI use (P = 0.0063) and dysmotility (P = 0.0003) were independent significant risk factors (P &lt; 0.05) for overgrowth, but together did not pose additional risk. Symptom profiles were similar between those with or without SIBO/SIFO.\nCONCLUSIONS: Dysmotility and PPI use were independent risk factors for SIBO or SIFO and were present in over 50% of subjects with unexplained gastrointestinal symptoms. Diagnosis of overgrowth requires testing because symptoms were poor predictors of overgrowth.","container-title":"Alimentary Pharmacology &amp; Therapeutics","DOI":"10.1111/apt.12304","ISSN":"1365-2036","issue":"11","journalAbbreviation":"Aliment. Pharmacol. Ther.","language":"eng","note":"PMID: 23574267\nPMCID: PMC3764612","page":"1103-1111","source":"PubMed","title":"Dysmotility and proton pump inhibitor use are independent risk factors for small intestinal bacterial and/or fungal overgrowth","volume":"37","author":[{"family":"Jacobs","given":"C."},{"family":"Coss Adame","given":"E."},{"family":"Attaluri","given":"A."},{"family":"Valestin","given":"J."},{"family":"Rao","given":"S. S. C."}],"issued":{"date-parts":[["2013",6]]}}}],"schema":"https://github.com/citation-style-language/schema/raw/master/csl-citation.json"}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[141-143]</w:t>
      </w:r>
      <w:r w:rsidRPr="00903DE3">
        <w:rPr>
          <w:rFonts w:ascii="Times New Roman" w:hAnsi="Times New Roman"/>
          <w:sz w:val="28"/>
          <w:szCs w:val="28"/>
        </w:rPr>
        <w:fldChar w:fldCharType="end"/>
      </w:r>
      <w:r w:rsidRPr="00903DE3">
        <w:rPr>
          <w:rFonts w:ascii="Times New Roman" w:hAnsi="Times New Roman"/>
          <w:sz w:val="28"/>
          <w:szCs w:val="28"/>
        </w:rPr>
        <w:t xml:space="preserve">. В ряде случаев пациенты отмечают усталость и снижение внимания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QNnuuX7Y","properties":{"formattedCitation":"[107]","plainCitation":"[107]","noteIndex":0},"citationItems":[{"id":169,"uris":["http://zotero.org/users/7388323/items/UVPE8U86"],"uri":["http://zotero.org/users/7388323/items/UVPE8U86"],"itemData":{"id":169,"type":"article-journal","abstract":"BACKGROUND: D-lactic acidosis is characterized by brain fogginess (BF) and elevated D-lactate and occurs in short bowel syndrome. Whether it occurs in patients with an intact gut and unexplained gas and bloating is unknown. We aimed to determine if BF, gas and bloating is associated with D-lactic acidosis and small intestinal bacterial overgrowth (SIBO).\nMETHODS: Patients with gas, bloating, BF, intact gut, and negative endoscopic and radiological tests, and those without BF were evaluated. SIBO was assessed with glucose breath test (GBT) and duodenal aspiration/culture. Metabolic assessments included urinary D-lactic acid and blood L-lactic acid, and ammonia levels. Bowel symptoms, and gastrointestinal transit were assessed.\nRESULTS: Thirty patients with BF and 8 without BF were evaluated. Abdominal bloating, pain, distension and gas were the most severe symptoms and their prevalence was similar between groups. In BF group, all consumed probiotics. SIBO was more prevalent in BF than non-BF group (68 vs. 28%, p = 0.05). D-lactic acidosis was more prevalent in BF compared to non-BF group (77 vs. 25%, p = 0.006). BF was reproduced in 20/30 (66%) patients. Gastrointestinal transit was slow in 10/30 (33%) patients with BF and 2/8 (25%) without. Other metabolic tests were unremarkable. After discontinuation of probiotics and a course of antibiotics, BF resolved and gastrointestinal symptoms improved significantly (p = 0.005) in 23/30 (77%).\nCONCLUSIONS: We describe a syndrome of BF, gas and bloating, possibly related to probiotic use, SIBO, and D-lactic acidosis in a cohort without short bowel. Patients with BF exhibited higher prevalence of SIBO and D-lactic acidosis. Symptoms improved with antibiotics and stopping probiotics. Clinicians should recognize and treat this condition.","container-title":"Clinical and Translational Gastroenterology","DOI":"10.1038/s41424-018-0030-7","ISSN":"2155-384X","issue":"6","journalAbbreviation":"Clin Transl Gastroenterol","language":"eng","note":"PMID: 29915215\nPMCID: PMC6006167","page":"162","source":"PubMed","title":"Brain fogginess, gas and bloating: a link between SIBO, probiotics and metabolic acidosis","title-short":"Brain fogginess, gas and bloating","volume":"9","author":[{"family":"Rao","given":"Satish S. C."},{"family":"Rehman","given":"Abdul"},{"family":"Yu","given":"Siegfried"},{"family":"Andino","given":"Nicole Martinez","dropping-particle":"de"}],"issued":{"date-parts":[["2018"]],"season":"19"}}}],"schema":"https://github.com/citation-style-language/schema/raw/master/csl-citation.json"}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[144]</w:t>
      </w:r>
      <w:r w:rsidRPr="00903DE3">
        <w:rPr>
          <w:rFonts w:ascii="Times New Roman" w:hAnsi="Times New Roman"/>
          <w:sz w:val="28"/>
          <w:szCs w:val="28"/>
        </w:rPr>
        <w:fldChar w:fldCharType="end"/>
      </w:r>
      <w:r w:rsidRPr="00903DE3">
        <w:rPr>
          <w:rFonts w:ascii="Times New Roman" w:hAnsi="Times New Roman"/>
          <w:sz w:val="28"/>
          <w:szCs w:val="28"/>
        </w:rPr>
        <w:t xml:space="preserve">. Проведенные исследования свидетельствует о том, что причиной вышеуказанных жалоб у больных после хирургического вмешательства по поводу колоректального рака возникают в следствии развития СИБР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nrHx6JsQ","properties":{"formattedCitation":"[90]","plainCitation":"[90]","noteIndex":0},"citationItems":[{"id":262,"uris":["http://zotero.org/users/7388323/items/X47W7ZLH"],"uri":["http://zotero.org/users/7388323/items/X47W7ZLH"],"itemData":{"id":262,"type":"article-journal","container-title":"Archives of Surgery","DOI":"10.1001/archsurg.2011.55","ISSN":"0004-0010","issue":"4","journalAbbreviation":"Arch Surg","language":"en","page":"444","source":"DOI.org (Crossref)","title":"Small Intestinal Bacterial Overgrowth in Patients With Lower Gastrointestinal Symptoms and a History of Previous Abdominal Surgery","URL":"http://archsurg.jamanetwork.com/article.aspx?doi=10.1001/archsurg.2011.55","volume":"146","author":[{"family":"Petrone","given":"Patrizio"}],"accessed":{"date-parts":[["2020",7,7]]},"issued":{"date-parts":[["2011",4,1]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[126]</w:t>
      </w:r>
      <w:r w:rsidRPr="00903DE3">
        <w:rPr>
          <w:rFonts w:ascii="Times New Roman" w:hAnsi="Times New Roman"/>
          <w:sz w:val="28"/>
          <w:szCs w:val="28"/>
        </w:rPr>
        <w:fldChar w:fldCharType="end"/>
      </w:r>
      <w:r w:rsidRPr="00903DE3">
        <w:rPr>
          <w:rFonts w:ascii="Times New Roman" w:hAnsi="Times New Roman"/>
          <w:sz w:val="28"/>
          <w:szCs w:val="28"/>
        </w:rPr>
        <w:t xml:space="preserve">. Однако не один симптом не является специфичным для СИБР. К примеру у больных, подвергшихся резекции илеоцекального клапана, симптомы как боли в животе, вздутие живота и диарея </w:t>
      </w:r>
      <w:r w:rsidRPr="00903DE3">
        <w:rPr>
          <w:rFonts w:ascii="Times New Roman" w:hAnsi="Times New Roman"/>
          <w:sz w:val="28"/>
          <w:szCs w:val="28"/>
        </w:rPr>
        <w:lastRenderedPageBreak/>
        <w:t xml:space="preserve">могут быть результатом не только СИБР, но и воспаления, мальабсорбции желчных кислот, послеоперационных стриктур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nNaNzdoI","properties":{"formattedCitation":"[86]","plainCitation":"[86]","noteIndex":0},"citationItems":[{"id":263,"uris":["http://zotero.org/users/7388323/items/RYTWTEWB"],"uri":["http://zotero.org/users/7388323/items/RYTWTEWB"],"itemData":{"id":263,"type":"article-journal","container-title":"The American Journal of Gastroenterology","DOI":"10.14309/ajg.0000000000000501","ISSN":"0002-9270","issue":"2","journalAbbreviation":"The American Journal of Gastroenterology","language":"en","page":"165-178","source":"DOI.org (Crossref)","title":"ACG Clinical Guideline: Small Intestinal Bacterial Overgrowth","title-short":"ACG Clinical Guideline","URL":"http://journals.lww.com/10.14309/ajg.0000000000000501","volume":"115","author":[{"family":"Pimentel","given":"Mark"},{"family":"Saad","given":"Richard J."},{"family":"Long","given":"Millie D."},{"family":"Rao","given":"Satish S. C."}],"accessed":{"date-parts":[["2020",7,7]]},"issued":{"date-parts":[["2020",2]]}}}],"schema":"https://github.com/citation-style-language/schema/raw/master/csl-citation.json"}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[122]</w:t>
      </w:r>
      <w:r w:rsidRPr="00903DE3">
        <w:rPr>
          <w:rFonts w:ascii="Times New Roman" w:hAnsi="Times New Roman"/>
          <w:sz w:val="28"/>
          <w:szCs w:val="28"/>
        </w:rPr>
        <w:fldChar w:fldCharType="end"/>
      </w:r>
      <w:r w:rsidRPr="00903DE3">
        <w:rPr>
          <w:rFonts w:ascii="Times New Roman" w:hAnsi="Times New Roman"/>
          <w:sz w:val="28"/>
          <w:szCs w:val="28"/>
        </w:rPr>
        <w:t>.</w:t>
      </w:r>
    </w:p>
    <w:p w14:paraId="7BC762EC"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Осложнениям типа F характерны нарушения микробиоценоза кишечника. Согласно данным Лазебник Л.Б. и соавт. больные после левосторонней гемиколэктомии больше подвержены дисбактериозу по сравнению с больными после правосторонней гемиколэктомии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d8ldfnsl2","properties":{"formattedCitation":"[17]","plainCitation":"[17]","noteIndex":0},"citationItems":[{"id":826,"uris":["http://zotero.org/users/7388323/items/SKN2X3NF"],"uri":["http://zotero.org/users/7388323/items/SKN2X3NF"],"itemData":{"id":826,"type":"article","title":"metabolizm-lipidov-mikrobiotsenoz-kishechnika-i-endotoksinemiya-u-pozhilyh-bolnyh-posle-gemikolektomii (1).pdf"}}],"schema":"https://github.com/citation-style-language/schema/raw/master/csl-citation.json"}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[18]</w:t>
      </w:r>
      <w:r w:rsidRPr="00903DE3">
        <w:rPr>
          <w:rFonts w:ascii="Times New Roman" w:hAnsi="Times New Roman"/>
          <w:sz w:val="28"/>
          <w:szCs w:val="28"/>
        </w:rPr>
        <w:fldChar w:fldCharType="end"/>
      </w:r>
      <w:r w:rsidRPr="00903DE3">
        <w:rPr>
          <w:rFonts w:ascii="Times New Roman" w:hAnsi="Times New Roman"/>
          <w:sz w:val="28"/>
          <w:szCs w:val="28"/>
        </w:rPr>
        <w:t xml:space="preserve">. Изменение активности и видового спектра микробиоты ободочной кишки способствуют возникновению иммунных сдвигов: повышению </w:t>
      </w:r>
      <w:proofErr w:type="spellStart"/>
      <w:r w:rsidRPr="00903DE3">
        <w:rPr>
          <w:rFonts w:ascii="Times New Roman" w:hAnsi="Times New Roman"/>
          <w:sz w:val="28"/>
          <w:szCs w:val="28"/>
        </w:rPr>
        <w:t>интерлейкина</w:t>
      </w:r>
      <w:proofErr w:type="spellEnd"/>
      <w:r w:rsidRPr="00903DE3">
        <w:rPr>
          <w:rFonts w:ascii="Times New Roman" w:hAnsi="Times New Roman"/>
          <w:sz w:val="28"/>
          <w:szCs w:val="28"/>
        </w:rPr>
        <w:t xml:space="preserve"> 6 и фактора некроза опухоли. У больных после левосторонней гемиколэктомии наблюдается повышение холестерина, липопротеидов низкой плотности, триглицеридов. При правосторонней гемиколэктомии диагностируется рост липопротеидов высокой плотности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bg4l92i7k","properties":{"formattedCitation":"[17]","plainCitation":"[17]","noteIndex":0},"citationItems":[{"id":826,"uris":["http://zotero.org/users/7388323/items/SKN2X3NF"],"uri":["http://zotero.org/users/7388323/items/SKN2X3NF"],"itemData":{"id":826,"type":"article","title":"metabolizm-lipidov-mikrobiotsenoz-kishechnika-i-endotoksinemiya-u-pozhilyh-bolnyh-posle-gemikolektomii (1).pdf"}}],"schema":"https://github.com/citation-style-language/schema/raw/master/csl-citation.json"}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[18]</w:t>
      </w:r>
      <w:r w:rsidRPr="00903DE3">
        <w:rPr>
          <w:rFonts w:ascii="Times New Roman" w:hAnsi="Times New Roman"/>
          <w:sz w:val="28"/>
          <w:szCs w:val="28"/>
        </w:rPr>
        <w:fldChar w:fldCharType="end"/>
      </w:r>
      <w:r w:rsidRPr="00903DE3">
        <w:rPr>
          <w:rFonts w:ascii="Times New Roman" w:hAnsi="Times New Roman"/>
          <w:sz w:val="28"/>
          <w:szCs w:val="28"/>
        </w:rPr>
        <w:t>.</w:t>
      </w:r>
    </w:p>
    <w:p w14:paraId="2B2AF1F2"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Таким образом, в результате анализа мировой и отечественной литературы выяснено, что исследователями изучены патогенетические аспекты развития функциональных последствий хирургических вмешательств на желудочно-кишечном тракте, в частности после резекции пищевода, </w:t>
      </w:r>
      <w:proofErr w:type="spellStart"/>
      <w:r w:rsidRPr="00903DE3">
        <w:rPr>
          <w:rFonts w:ascii="Times New Roman" w:hAnsi="Times New Roman"/>
          <w:sz w:val="28"/>
          <w:szCs w:val="28"/>
        </w:rPr>
        <w:t>гастрэктомии</w:t>
      </w:r>
      <w:proofErr w:type="spellEnd"/>
      <w:r w:rsidRPr="00903DE3">
        <w:rPr>
          <w:rFonts w:ascii="Times New Roman" w:hAnsi="Times New Roman"/>
          <w:sz w:val="28"/>
          <w:szCs w:val="28"/>
        </w:rPr>
        <w:t xml:space="preserve">, резекции тонкой кишки, сочетанных резекции кишки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bg4l92i7k","properties":{"formattedCitation":"[17]","plainCitation":"[17]","noteIndex":0},"citationItems":[{"id":826,"uris":["http://zotero.org/users/7388323/items/SKN2X3NF"],"uri":["http://zotero.org/users/7388323/items/SKN2X3NF"],"itemData":{"id":826,"type":"article","title":"metabolizm-lipidov-mikrobiotsenoz-kishechnika-i-endotoksinemiya-u-pozhilyh-bolnyh-posle-gemikolektomii (1).pdf"}}],"schema":"https://github.com/citation-style-language/schema/raw/master/csl-citation.json"}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[19, 20, 21]</w:t>
      </w:r>
      <w:r w:rsidRPr="00903DE3">
        <w:rPr>
          <w:rFonts w:ascii="Times New Roman" w:hAnsi="Times New Roman"/>
          <w:sz w:val="28"/>
          <w:szCs w:val="28"/>
        </w:rPr>
        <w:fldChar w:fldCharType="end"/>
      </w:r>
      <w:r w:rsidRPr="00903DE3">
        <w:rPr>
          <w:rFonts w:ascii="Times New Roman" w:hAnsi="Times New Roman"/>
          <w:sz w:val="28"/>
          <w:szCs w:val="28"/>
        </w:rPr>
        <w:t xml:space="preserve">. Ключевым механизмом в патогенезе функциональных последствий на кишечнике является развитие синдрома избыточного бактериального роста, дисбактериоза, нутритивной недостаточности. Однако небольшое количество исследований функциональных последствий после радикального хирургического лечения рака ободочной кишки свидетельствует о необходимости изучения данной проблемы. </w:t>
      </w:r>
    </w:p>
    <w:p w14:paraId="29908E48" w14:textId="77777777" w:rsidR="00403127" w:rsidRPr="00903DE3" w:rsidRDefault="00403127" w:rsidP="00403127">
      <w:pPr>
        <w:spacing w:after="0" w:line="240" w:lineRule="auto"/>
        <w:jc w:val="both"/>
        <w:rPr>
          <w:rFonts w:ascii="Times New Roman" w:hAnsi="Times New Roman"/>
          <w:b/>
          <w:bCs/>
          <w:sz w:val="28"/>
          <w:szCs w:val="28"/>
        </w:rPr>
      </w:pPr>
    </w:p>
    <w:p w14:paraId="29AF30EE" w14:textId="77777777" w:rsidR="00403127" w:rsidRPr="00903DE3" w:rsidRDefault="00403127" w:rsidP="00403127">
      <w:pPr>
        <w:spacing w:after="0" w:line="240" w:lineRule="auto"/>
        <w:ind w:firstLine="567"/>
        <w:jc w:val="both"/>
        <w:rPr>
          <w:rFonts w:ascii="Times New Roman" w:hAnsi="Times New Roman"/>
          <w:b/>
          <w:bCs/>
          <w:sz w:val="28"/>
          <w:szCs w:val="28"/>
        </w:rPr>
      </w:pPr>
      <w:r w:rsidRPr="00903DE3">
        <w:rPr>
          <w:rFonts w:ascii="Times New Roman" w:hAnsi="Times New Roman"/>
          <w:b/>
          <w:bCs/>
          <w:sz w:val="28"/>
          <w:szCs w:val="28"/>
        </w:rPr>
        <w:t xml:space="preserve">1.5 </w:t>
      </w:r>
      <w:r w:rsidRPr="00903DE3">
        <w:rPr>
          <w:rFonts w:ascii="Times New Roman" w:hAnsi="Times New Roman"/>
          <w:b/>
          <w:bCs/>
          <w:sz w:val="28"/>
          <w:szCs w:val="28"/>
          <w:lang w:bidi="kn-IN"/>
        </w:rPr>
        <w:t>Частота развития функциональных осложнений после хирургического лечения злокачественных новообразований ободочной кишки</w:t>
      </w:r>
    </w:p>
    <w:p w14:paraId="40F4ECF5"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Нарушение физиологии и функции органов желудочно-кишечного тракта проявляется различными осложнениями после радикальной хирургической резекции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gAuqf27z","properties":{"formattedCitation":"[108,109]","plainCitation":"[108,109]","noteIndex":0},"citationItems":[{"id":297,"uris":["http://zotero.org/users/7388323/items/MSTDGXBT"],"uri":["http://zotero.org/users/7388323/items/MSTDGXBT"],"itemData":{"id":297,"type":"article-journal","abstract":"Diarrhoea induced by chemotherapy in cancer patients is common, causes notable morbidity and mortality, and is managed inconsistently. Previous management guidelines were based on poor evidence and neglect physiological causes of chemotherapy-induced diarrhoea. In the absence of level 1 evidence from randomised controlled trials, we developed practical guidance for clinicians based on a literature review by a multidisciplinary team of clinical oncologists, dietitians, gastroenterologists, medical oncologists, nurses, pharmacist, and a surgeon. Education of patients and their carers about the risks associated with, and management of, chemotherapy-induced diarrhoea is the foundation for optimum treatment of toxic effects. Adequate--and, if necessary, repeated--assessment, appropriate use of loperamide, and knowledge of fluid resuscitation requirements of affected patients is the second crucial step. Use of octreotide and seeking specialist advice early for patients who do not respond to treatment will reduce morbidity and mortality. In view of the burden of chemotherapy-induced diarrhoea, appropriate multidisciplinary research to assess meaningful endpoints is urgently required.","container-title":"The Lancet. Oncology","DOI":"10.1016/S1470-2045(14)70006-3","ISSN":"1474-5488","issue":"10","journalAbbreviation":"Lancet Oncol.","language":"eng","note":"PMID: 25186048","page":"e447-460","source":"PubMed","title":"Guidance on the management of diarrhoea during cancer chemotherapy","volume":"15","author":[{"family":"Andreyev","given":"Jervoise"},{"family":"Ross","given":"Paul"},{"family":"Donnellan","given":"Clare"},{"family":"Lennan","given":"Elaine"},{"family":"Leonard","given":"Pauline"},{"family":"Waters","given":"Caroline"},{"family":"Wedlake","given":"Linda"},{"family":"Bridgewater","given":"John"},{"family":"Glynne-Jones","given":"Rob"},{"family":"Allum","given":"William"},{"family":"Chau","given":"Ian"},{"family":"Wilson","given":"Richard"},{"family":"Ferry","given":"David"}],"issued":{"date-parts":[["2014",9]]}}},{"id":296,"uris":["http://zotero.org/users/7388323/items/737MQTZI"],"uri":["http://zotero.org/users/7388323/items/737MQTZI"],"itemData":{"id":296,"type":"article-journal","abstract":"In an era when extensive research is being funded to mitigate the radiation risks of a human traveling to Mars or the potential effects of a nuclear detonation in an urban environment, it is difficult to understand why the medical and research community remains largely uninterested in pelvic radiation disease (PRD), a condition that afflicts half a million patients every year after radiotherapy for pelvic cancer. There has been significant progress in understanding the nature of normal tissue injury, especially as it affects the GI tract. Clear clinical data exist on how best to assess and improve symptoms and there are a number of options for how to modulate the underlying progressive pathophysiology of PRD. Annually, there are more patients who develop PRD than inflammatory bowel disease (IBD). Despite the similarity in PRD and IBD symptoms, the same expertise that promotes assessment, treatment and disease-modifying approaches as standard of care in IBD is almost nonexistent for those suffering from PRD, and as a result the unmet need is enormous. Curing or controlling cancer without addressing quality of life is no longer acceptable when half of all patients diagnosed with cancer live for 10 years after treatment. For those patients afflicted with PRD it can cause significant misery, and this situation is unacceptable; investment in training and research cannot be delayed any longer.","container-title":"Radiation Research","DOI":"10.1667/RR14272.1","ISSN":"1938-5404","issue":"4","journalAbbreviation":"Radiat. Res.","language":"eng","note":"PMID: 27018776","page":"341-348","source":"PubMed","title":"GI Consequences of Cancer Treatment: A Clinical Perspective","title-short":"GI Consequences of Cancer Treatment","volume":"185","author":[{"family":"Andreyev","given":"H. Jervoise N."}],"issued":{"date-parts":[["2016"]]}}}],"schema":"https://github.com/citation-style-language/schema/raw/master/csl-citation.json"}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[144]</w:t>
      </w:r>
      <w:r w:rsidRPr="00903DE3">
        <w:rPr>
          <w:rFonts w:ascii="Times New Roman" w:hAnsi="Times New Roman"/>
          <w:sz w:val="28"/>
          <w:szCs w:val="28"/>
        </w:rPr>
        <w:fldChar w:fldCharType="end"/>
      </w:r>
      <w:r w:rsidRPr="00903DE3">
        <w:rPr>
          <w:rFonts w:ascii="Times New Roman" w:hAnsi="Times New Roman"/>
          <w:sz w:val="28"/>
          <w:szCs w:val="28"/>
        </w:rPr>
        <w:t xml:space="preserve">. После хирургического и химиолучевого лечения колоректального рака среди гастроинтестинальных осложнений основным функциональным нарушением является диарея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gAuqf27z","properties":{"formattedCitation":"[108,109]","plainCitation":"[108,109]","noteIndex":0},"citationItems":[{"id":297,"uris":["http://zotero.org/users/7388323/items/MSTDGXBT"],"uri":["http://zotero.org/users/7388323/items/MSTDGXBT"],"itemData":{"id":297,"type":"article-journal","abstract":"Diarrhoea induced by chemotherapy in cancer patients is common, causes notable morbidity and mortality, and is managed inconsistently. Previous management guidelines were based on poor evidence and neglect physiological causes of chemotherapy-induced diarrhoea. In the absence of level 1 evidence from randomised controlled trials, we developed practical guidance for clinicians based on a literature review by a multidisciplinary team of clinical oncologists, dietitians, gastroenterologists, medical oncologists, nurses, pharmacist, and a surgeon. Education of patients and their carers about the risks associated with, and management of, chemotherapy-induced diarrhoea is the foundation for optimum treatment of toxic effects. Adequate--and, if necessary, repeated--assessment, appropriate use of loperamide, and knowledge of fluid resuscitation requirements of affected patients is the second crucial step. Use of octreotide and seeking specialist advice early for patients who do not respond to treatment will reduce morbidity and mortality. In view of the burden of chemotherapy-induced diarrhoea, appropriate multidisciplinary research to assess meaningful endpoints is urgently required.","container-title":"The Lancet. Oncology","DOI":"10.1016/S1470-2045(14)70006-3","ISSN":"1474-5488","issue":"10","journalAbbreviation":"Lancet Oncol.","language":"eng","note":"PMID: 25186048","page":"e447-460","source":"PubMed","title":"Guidance on the management of diarrhoea during cancer chemotherapy","volume":"15","author":[{"family":"Andreyev","given":"Jervoise"},{"family":"Ross","given":"Paul"},{"family":"Donnellan","given":"Clare"},{"family":"Lennan","given":"Elaine"},{"family":"Leonard","given":"Pauline"},{"family":"Waters","given":"Caroline"},{"family":"Wedlake","given":"Linda"},{"family":"Bridgewater","given":"John"},{"family":"Glynne-Jones","given":"Rob"},{"family":"Allum","given":"William"},{"family":"Chau","given":"Ian"},{"family":"Wilson","given":"Richard"},{"family":"Ferry","given":"David"}],"issued":{"date-parts":[["2014",9]]}}},{"id":296,"uris":["http://zotero.org/users/7388323/items/737MQTZI"],"uri":["http://zotero.org/users/7388323/items/737MQTZI"],"itemData":{"id":296,"type":"article-journal","abstract":"In an era when extensive research is being funded to mitigate the radiation risks of a human traveling to Mars or the potential effects of a nuclear detonation in an urban environment, it is difficult to understand why the medical and research community remains largely uninterested in pelvic radiation disease (PRD), a condition that afflicts half a million patients every year after radiotherapy for pelvic cancer. There has been significant progress in understanding the nature of normal tissue injury, especially as it affects the GI tract. Clear clinical data exist on how best to assess and improve symptoms and there are a number of options for how to modulate the underlying progressive pathophysiology of PRD. Annually, there are more patients who develop PRD than inflammatory bowel disease (IBD). Despite the similarity in PRD and IBD symptoms, the same expertise that promotes assessment, treatment and disease-modifying approaches as standard of care in IBD is almost nonexistent for those suffering from PRD, and as a result the unmet need is enormous. Curing or controlling cancer without addressing quality of life is no longer acceptable when half of all patients diagnosed with cancer live for 10 years after treatment. For those patients afflicted with PRD it can cause significant misery, and this situation is unacceptable; investment in training and research cannot be delayed any longer.","container-title":"Radiation Research","DOI":"10.1667/RR14272.1","ISSN":"1938-5404","issue":"4","journalAbbreviation":"Radiat. Res.","language":"eng","note":"PMID: 27018776","page":"341-348","source":"PubMed","title":"GI Consequences of Cancer Treatment: A Clinical Perspective","title-short":"GI Consequences of Cancer Treatment","volume":"185","author":[{"family":"Andreyev","given":"H. Jervoise N."}],"issued":{"date-parts":[["2016"]]}}}],"schema":"https://github.com/citation-style-language/schema/raw/master/csl-citation.json"}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[145, 146]</w:t>
      </w:r>
      <w:r w:rsidRPr="00903DE3">
        <w:rPr>
          <w:rFonts w:ascii="Times New Roman" w:hAnsi="Times New Roman"/>
          <w:sz w:val="28"/>
          <w:szCs w:val="28"/>
        </w:rPr>
        <w:fldChar w:fldCharType="end"/>
      </w:r>
      <w:r w:rsidRPr="00903DE3">
        <w:rPr>
          <w:rFonts w:ascii="Times New Roman" w:hAnsi="Times New Roman"/>
          <w:sz w:val="28"/>
          <w:szCs w:val="28"/>
        </w:rPr>
        <w:t xml:space="preserve">. В исследовании случай-контроль, в которое было включено 175 больных после хирургического лечения рака ободочной и прямой кишки и 525 больных контрольной группы, распространенность диареи составляла 16% в основной группе и 10% в контрольной группе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6sG4mgzP","properties":{"formattedCitation":"[110]","plainCitation":"[110]","noteIndex":0},"citationItems":[{"id":295,"uris":["http://zotero.org/users/7388323/items/UKUY877F"],"uri":["http://zotero.org/users/7388323/items/UKUY877F"],"itemData":{"id":295,"type":"webpage","title":"Self-reported Health and Use of Health Care Services in Long-Term Cancer Survivors - PubMed","URL":"https://pubmed.ncbi.nlm.nih.gov/15543613/","accessed":{"date-parts":[["2020",7,4]]}}}],"schema":"https://github.com/citation-style-language/schema/raw/master/csl-citation.json"}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[147]</w:t>
      </w:r>
      <w:r w:rsidRPr="00903DE3">
        <w:rPr>
          <w:rFonts w:ascii="Times New Roman" w:hAnsi="Times New Roman"/>
          <w:sz w:val="28"/>
          <w:szCs w:val="28"/>
        </w:rPr>
        <w:fldChar w:fldCharType="end"/>
      </w:r>
      <w:r w:rsidRPr="00903DE3">
        <w:rPr>
          <w:rFonts w:ascii="Times New Roman" w:hAnsi="Times New Roman"/>
          <w:sz w:val="28"/>
          <w:szCs w:val="28"/>
        </w:rPr>
        <w:t xml:space="preserve">. Несмотря на то, что желудочно-кишечные симптомы уменьшаются в течение первого года после операции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ebfPeSsm","properties":{"formattedCitation":"[111]","plainCitation":"[111]","noteIndex":0},"citationItems":[{"id":294,"uris":["http://zotero.org/users/7388323/items/7XIHP5VF"],"uri":["http://zotero.org/users/7388323/items/7XIHP5VF"],"itemData":{"id":294,"type":"article-journal","abstract":"Background and Aims: Chronic diarrhea affects about 5% of the population overall. Altered bile acid metabolism is a common but frequently undiagnosed cause.\nMethods: We performed a systematic search of publication databases for studies of assessment and management of bile acid diarrhea (BAD). The certainty (quality) of evidence and strength of recommendations were rated according to the Grading of Recommendation Assessment, Development and Evaluation approach. Patient population, intervention, comparator and outcome questions were developed through an iterative process and were voted on by a group of specialists.\nResults: The certainty of evidence was generally rated as very low. Therefore, 16 of 17 recommendations are conditional. In patients with chronic diarrhea, consideration of risk factors (terminal ileal resection, cholecystectomy or abdominal radiotherapy), but not additional symptoms, was recommended for identification of patients with possible BAD. The group suggested testing using 75selenium homocholic acid taurine (where available) or 7α-hydroxy-4-cholesten-3-one, including patients with irritable bowel syndrome with diarrhea, functional diarrhea and Crohn's disease without inflammation. Testing was suggested over empiric bile acid sequestrant therapy (BAST). Once remediable causes are managed, the group suggested cholestyramine as initial therapy, with alternate BAST when tolerability is an issue. The group suggested against BAST for patients with extensive ileal Crohn's disease or resection and suggested alternative antidiarrheal agents if BAST is not tolerated. Maintenance BAST should be given at the lowest effective dose, with a trial of intermittent, on-demand administration, concurrent medication review and reinvestigation for patients whose symptoms persist despite BAST.\nConclusions: Based on a systematic review, BAD should be considered for patients with chronic diarrhea. For patients with positive results from tests for BAD, a trial of BAST, initially with cholestyramine, is suggested.","container-title":"Journal of the Canadian Association of Gastroenterology","DOI":"10.1093/jcag/gwz038","ISSN":"2515-2092","issue":"1","journalAbbreviation":"J Can Assoc Gastroenterol","language":"eng","note":"PMID: 32010878\nPMCID: PMC6985689","page":"e10-e27","source":"PubMed","title":"Canadian Association of Gastroenterology Clinical Practice Guideline on the Management of Bile Acid Diarrhea","volume":"3","author":[{"family":"Sadowski","given":"Daniel C."},{"family":"Camilleri","given":"Michael"},{"family":"Chey","given":"William D."},{"family":"Leontiadis","given":"Grigorios I."},{"family":"Marshall","given":"John K."},{"family":"Shaffer","given":"Eldon A."},{"family":"Tse","given":"Frances"},{"family":"Walters","given":"Julian R. F."}],"issued":{"date-parts":[["2020",2]]}}}],"schema":"https://github.com/citation-style-language/schema/raw/master/csl-citation.json"}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[148]</w:t>
      </w:r>
      <w:r w:rsidRPr="00903DE3">
        <w:rPr>
          <w:rFonts w:ascii="Times New Roman" w:hAnsi="Times New Roman"/>
          <w:sz w:val="28"/>
          <w:szCs w:val="28"/>
        </w:rPr>
        <w:fldChar w:fldCharType="end"/>
      </w:r>
      <w:r w:rsidRPr="00903DE3">
        <w:rPr>
          <w:rFonts w:ascii="Times New Roman" w:hAnsi="Times New Roman"/>
          <w:sz w:val="28"/>
          <w:szCs w:val="28"/>
        </w:rPr>
        <w:t xml:space="preserve">, большинство больных продолжают страдать от частых дефекаций, недержания кала и снижения качества жизни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xZLEuL46","properties":{"formattedCitation":"[112,113]","plainCitation":"[112,113]","noteIndex":0},"citationItems":[{"id":293,"uris":["http://zotero.org/users/7388323/items/GZHT82EI"],"uri":["http://zotero.org/users/7388323/items/GZHT82EI"],"itemData":{"id":293,"type":"article-journal","abstract":"PURPOSE: The bowel and sexual function of colorectal cancer patients undergoing either sphincter-saving or sphincter-sacrificing surgical procedures may be impaired. A legitimate question is how these different surgical techniques affect the patients' quality of life.\nMETHODS: Seventeen studies were identified that compared at least one of four aspects of patient functioning (i.e., physical, psychologic, social, and sexual) between stoma patients and nonstoma patients.\nRESULTS: Although the literature does not yield entirely consistent findings, some long-term effects of surgery can be identified: 1) both patient groups are troubled by frequent or irregular bowel movements and diarrhea; 2) stoma patients report higher levels of psychologic distress than do nonstoma patients; 3) although both stoma patients and nonstoma patients report restrictions in their level of social functioning, such problems are more prevalent among patients with a colostomy; 4) sexual functioning of male and female stoma patients is consistently more impaired than that of male and female patients with intact sphincters. Results of the current review were compared with those of other, related areas.\nCONCLUSIONS: Although nonstoma patients generally fare better than do stoma patients, they also suffer from physical impairments induced by sphincter-saving procedures (e.g., impaired bowel and sexual function). These impairments may become more prevalent as ultralow anastomosis is more frequently applied, resulting in bowel and sexual dysfunction and related psychologic distress. Well-designed studies are needed that examine whether quality-of-life benefits are to be gained by use of ultralow anastomosis compared with colostomy.","container-title":"Diseases of the Colon and Rectum","DOI":"10.1007/BF02054222","ISSN":"0012-3706","issue":"4","journalAbbreviation":"Dis. Colon Rectum","language":"eng","note":"PMID: 7720441","page":"361-369","source":"PubMed","title":"Quality of life in colorectal cancer. Stoma vs. nonstoma patients","volume":"38","author":[{"family":"Sprangers","given":"M. A."},{"family":"Taal","given":"B. G."},{"family":"Aaronson","given":"N. K."},{"family":"Velde","given":"A.","non-dropping-particle":"te"}],"issued":{"date-parts":[["1995",4]]}}},{"id":292,"uris":["http://zotero.org/users/7388323/items/AQGJFFUX"],"uri":["http://zotero.org/users/7388323/items/AQGJFFUX"],"itemData":{"id":292,"type":"webpage","title":"Restrictions in Quality of Life in Colorectal Cancer Patients Over Three Years After Diagnosis: A Population Based Study - PubMed","URL":"https://pubmed.ncbi.nlm.nih.gov/16829069/","accessed":{"date-parts":[["2020",7,4]]}}}],"schema":"https://github.com/citation-style-language/schema/raw/master/csl-citation.json"}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[149, 150]</w:t>
      </w:r>
      <w:r w:rsidRPr="00903DE3">
        <w:rPr>
          <w:rFonts w:ascii="Times New Roman" w:hAnsi="Times New Roman"/>
          <w:sz w:val="28"/>
          <w:szCs w:val="28"/>
        </w:rPr>
        <w:fldChar w:fldCharType="end"/>
      </w:r>
      <w:r w:rsidRPr="00903DE3">
        <w:rPr>
          <w:rFonts w:ascii="Times New Roman" w:hAnsi="Times New Roman"/>
          <w:sz w:val="28"/>
          <w:szCs w:val="28"/>
        </w:rPr>
        <w:t>.</w:t>
      </w:r>
    </w:p>
    <w:p w14:paraId="0F334C52"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Исследователями достаточно хорошо изучены долгосрочные функциональные результаты после хирургического лечения рака прямой кишки. Частым проявлением которых являются синдром низкой передней резекции (</w:t>
      </w:r>
      <w:proofErr w:type="spellStart"/>
      <w:r w:rsidRPr="00903DE3">
        <w:rPr>
          <w:rFonts w:ascii="Times New Roman" w:hAnsi="Times New Roman"/>
          <w:sz w:val="28"/>
          <w:szCs w:val="28"/>
        </w:rPr>
        <w:t>Low</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Anterior</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Resection</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Syndrome</w:t>
      </w:r>
      <w:proofErr w:type="spellEnd"/>
      <w:r w:rsidRPr="00903DE3">
        <w:rPr>
          <w:rFonts w:ascii="Times New Roman" w:hAnsi="Times New Roman"/>
          <w:sz w:val="28"/>
          <w:szCs w:val="28"/>
        </w:rPr>
        <w:t xml:space="preserve">)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MxVk7XHH","properties":{"formattedCitation":"[22]","plainCitation":"[22]","noteIndex":0},"citationItems":[{"id":291,"uris":["http://zotero.org/users/7388323/items/55WRCC9I"],"uri":["http://zotero.org/users/7388323/items/55WRCC9I"],"itemData":{"id":291,"type":"article-journal","abstract":"OBJECTIVE: The aim of this study was to develop and validate a scoring system for bowel dysfunction after low anterior resection (LAR) for rectal cancer, on the basis of symptoms and impact on quality of life (QoL).\nBACKGROUND: LAR for rectal cancer often results in severe bowel dysfunction (LAR syndrome [LARS]) with incontinence, urgency, and frequent bowel movements. Several studies have investigated functional outcome, but the terminology is inconsistent hereby complicating comparison of results.\nMETHODS: Questionnaires regarding bowel function was sent to all 1143 LAR patients eligible for inclusion identified in the national Colorectal Cancer Database. Associations between items and QoL were computed by binomial regression analyses. The important items were selected and regression analysis was performed to find the adjusted risk ratios. Individual score values were designated items to form the LARS score, which was divided into \"no LARS,\" \"minor LARS,\" and \"major LARS.\" Validity was tested by receiver operating characteristic (ROC) curve and Spearman's rank correlation and discriminant validity was tested by Student t tests.\nRESULTS: A total of 961 patients returned completed questionnaires. The 5 most important items were \"incontinence for flatus,\" \"incontinence for liquid stools,\" \"frequency,\" \"clustering,\" and \"urgency.\" The range (0-42) was divided into 0 to 20 (no LARS), 21 to 29 (minor LARS), and 30 to 42 (major LARS). The score showed good correlation and a high sensitivity (72.54%) and specificity (82.52%) for major LARS. Discriminant validity showed significant differences between groups with and without radiotherapy (P &lt; 0.0001), tumor height more or less than 5 cm (P &lt; 0.0001), and total mesorectal excision/partial mesorectal excision (P = 0.0163).\nCONCLUSIONS: We have constructed a valid and reliable LARS score correlated to QoL--a simple tool for quick clinical evaluation of the severity of LARS.","container-title":"Annals of Surgery","DOI":"10.1097/SLA.0b013e31824f1c21","ISSN":"1528-1140","issue":"5","journalAbbreviation":"Ann. Surg.","language":"eng","note":"PMID: 22504191","page":"922-928","source":"PubMed","title":"Low anterior resection syndrome score: development and validation of a symptom-based scoring system for bowel dysfunction after low anterior resection for rectal cancer","title-short":"Low anterior resection syndrome score","volume":"255","author":[{"family":"Emmertsen","given":"Katrine J."},{"family":"Laurberg","given":"Søren"}],"issued":{"date-parts":[["2012",5]]}}}],"schema":"https://github.com/citation-style-language/schema/raw/master/csl-citation.json"}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[26]</w:t>
      </w:r>
      <w:r w:rsidRPr="00903DE3">
        <w:rPr>
          <w:rFonts w:ascii="Times New Roman" w:hAnsi="Times New Roman"/>
          <w:sz w:val="28"/>
          <w:szCs w:val="28"/>
        </w:rPr>
        <w:fldChar w:fldCharType="end"/>
      </w:r>
      <w:r w:rsidRPr="00903DE3">
        <w:rPr>
          <w:rFonts w:ascii="Times New Roman" w:hAnsi="Times New Roman"/>
          <w:sz w:val="28"/>
          <w:szCs w:val="28"/>
        </w:rPr>
        <w:t xml:space="preserve">. На сегодняшний день разработаны и широко применяются алгоритмы диагностики и лечения синдрома низкой передней резекции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uQ9RiCkC","properties":{"formattedCitation":"[22,23]","plainCitation":"[22,23]","noteIndex":0},"citationItems":[{"id":291,"uris":["http://zotero.org/users/7388323/items/55WRCC9I"],"uri":["http://zotero.org/users/7388323/items/55WRCC9I"],"itemData":{"id":291,"type":"article-journal","abstract":"OBJECTIVE: The aim of this study was to develop and validate a scoring system for bowel dysfunction after low anterior resection (LAR) for rectal cancer, on the basis of symptoms and impact on quality of life (QoL).\nBACKGROUND: LAR for rectal cancer often results in severe bowel dysfunction (LAR syndrome [LARS]) with incontinence, urgency, and frequent bowel movements. Several studies have investigated functional outcome, but the terminology is inconsistent hereby complicating comparison of results.\nMETHODS: Questionnaires regarding bowel function was sent to all 1143 LAR patients eligible for inclusion identified in the national Colorectal Cancer Database. Associations between items and QoL were computed by binomial regression analyses. The important items were selected and regression analysis was performed to find the adjusted risk ratios. Individual score values were designated items to form the LARS score, which was divided into \"no LARS,\" \"minor LARS,\" and \"major LARS.\" Validity was tested by receiver operating characteristic (ROC) curve and Spearman's rank correlation and discriminant validity was tested by Student t tests.\nRESULTS: A total of 961 patients returned completed questionnaires. The 5 most important items were \"incontinence for flatus,\" \"incontinence for liquid stools,\" \"frequency,\" \"clustering,\" and \"urgency.\" The range (0-42) was divided into 0 to 20 (no LARS), 21 to 29 (minor LARS), and 30 to 42 (major LARS). The score showed good correlation and a high sensitivity (72.54%) and specificity (82.52%) for major LARS. Discriminant validity showed significant differences between groups with and without radiotherapy (P &lt; 0.0001), tumor height more or less than 5 cm (P &lt; 0.0001), and total mesorectal excision/partial mesorectal excision (P = 0.0163).\nCONCLUSIONS: We have constructed a valid and reliable LARS score correlated to QoL--a simple tool for quick clinical evaluation of the severity of LARS.","container-title":"Annals of Surgery","DOI":"10.1097/SLA.0b013e31824f1c21","ISSN":"1528-1140","issue":"5","journalAbbreviation":"Ann. Surg.","language":"eng","note":"PMID: 22504191","page":"922-928","source":"PubMed","title":"Low anterior resection syndrome score: development and validation of a symptom-based scoring system for bowel dysfunction after low anterior resection for rectal cancer","title-short":"Low anterior resection syndrome score","volume":"255","author":[{"family":"Emmertsen","given":"Katrine J."},{"family":"Laurberg","given":"Søren"}],"issued":{"date-parts":[["2012",5]]}}},{"id":290,"uris":["http://zotero.org/users/7388323/items/9HLRWILS"],"uri":["http://zotero.org/users/7388323/items/9HLRWILS"],"itemData":{"id":290,"type":"webpage","title":"Low Anterior Resection Syndrome and Quality of Life: An International Multicenter Study - PubMed","URL":"https://pubmed.ncbi.nlm.nih.gov/24819098/","accessed":{"date-parts":[["2020",7,4]]}}}],"schema":"https://github.com/citation-style-language/schema/raw/master/csl-citation.json"}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[26, 27]</w:t>
      </w:r>
      <w:r w:rsidRPr="00903DE3">
        <w:rPr>
          <w:rFonts w:ascii="Times New Roman" w:hAnsi="Times New Roman"/>
          <w:sz w:val="28"/>
          <w:szCs w:val="28"/>
        </w:rPr>
        <w:fldChar w:fldCharType="end"/>
      </w:r>
      <w:r w:rsidRPr="00903DE3">
        <w:rPr>
          <w:rFonts w:ascii="Times New Roman" w:hAnsi="Times New Roman"/>
          <w:sz w:val="28"/>
          <w:szCs w:val="28"/>
        </w:rPr>
        <w:t xml:space="preserve">. В отличие от этого, небольшое количество исследований посвящены частоте и патологической физиологии отдаленных осложнений после хирургического лечения рака ободочной кишки. Однако </w:t>
      </w:r>
      <w:r w:rsidRPr="00903DE3">
        <w:rPr>
          <w:rFonts w:ascii="Times New Roman" w:hAnsi="Times New Roman"/>
          <w:sz w:val="28"/>
          <w:szCs w:val="28"/>
        </w:rPr>
        <w:lastRenderedPageBreak/>
        <w:t xml:space="preserve">проанализировав имеющиеся литературные данные и публикации, где нашли отражение осложнения, возникшие после колэктомии можно сделать соответствующие выводы. Таким образом, мы предоставили клинически ориентированный обзор распространенности и возможных механизмов хронической диареи после лечения рака ободочной кишки. В обзор включены клинически значимые исследования. У большинства больных диарея после резекции ободочной кишки сопровождается стандартным лечением, если установлен конкретный диагноз. </w:t>
      </w:r>
    </w:p>
    <w:p w14:paraId="3E03AD0C"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Функция кишечника после операции по поводу рака ободочной кишки в основном зависит от следующих факторов: вида произведенной операции, части резецированной ободочной кишки, длины удаленной терминальной части ободочной кишки.</w:t>
      </w:r>
    </w:p>
    <w:p w14:paraId="2E12753C" w14:textId="77777777" w:rsidR="00403127" w:rsidRPr="00903DE3" w:rsidRDefault="00403127" w:rsidP="00403127">
      <w:pPr>
        <w:pStyle w:val="a6"/>
        <w:spacing w:after="0" w:line="240" w:lineRule="auto"/>
        <w:ind w:left="0" w:firstLine="567"/>
        <w:jc w:val="both"/>
        <w:rPr>
          <w:rFonts w:ascii="Times New Roman" w:hAnsi="Times New Roman"/>
          <w:sz w:val="28"/>
          <w:szCs w:val="28"/>
        </w:rPr>
      </w:pPr>
      <w:r w:rsidRPr="00903DE3">
        <w:rPr>
          <w:rFonts w:ascii="Times New Roman" w:hAnsi="Times New Roman"/>
          <w:sz w:val="28"/>
          <w:szCs w:val="28"/>
        </w:rPr>
        <w:t xml:space="preserve">В исследовании с количеством участников 93 больных после резекции ободочной кишки с формированием илеоректального или илеосигмоидного анастомоза по поводу рака ободочной кишки (32%), </w:t>
      </w:r>
      <w:proofErr w:type="spellStart"/>
      <w:r w:rsidRPr="00903DE3">
        <w:rPr>
          <w:rFonts w:ascii="Times New Roman" w:hAnsi="Times New Roman"/>
          <w:sz w:val="28"/>
          <w:szCs w:val="28"/>
        </w:rPr>
        <w:t>полипоза</w:t>
      </w:r>
      <w:proofErr w:type="spellEnd"/>
      <w:r w:rsidRPr="00903DE3">
        <w:rPr>
          <w:rFonts w:ascii="Times New Roman" w:hAnsi="Times New Roman"/>
          <w:sz w:val="28"/>
          <w:szCs w:val="28"/>
        </w:rPr>
        <w:t xml:space="preserve"> (53%), </w:t>
      </w:r>
      <w:proofErr w:type="spellStart"/>
      <w:r w:rsidRPr="00903DE3">
        <w:rPr>
          <w:rFonts w:ascii="Times New Roman" w:hAnsi="Times New Roman"/>
          <w:sz w:val="28"/>
          <w:szCs w:val="28"/>
        </w:rPr>
        <w:t>невоспалительных</w:t>
      </w:r>
      <w:proofErr w:type="spellEnd"/>
      <w:r w:rsidRPr="00903DE3">
        <w:rPr>
          <w:rFonts w:ascii="Times New Roman" w:hAnsi="Times New Roman"/>
          <w:sz w:val="28"/>
          <w:szCs w:val="28"/>
        </w:rPr>
        <w:t xml:space="preserve"> заболеваний толстого кишечника (15%) среднее количество дефекации в день составляло 3 раза, оставаясь без изменений в течение 10 последующих лет. Приблизительно у 14% больных с недержанием кала был диагностирован жидкий стул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RwCdWxfY","properties":{"formattedCitation":"[114]","plainCitation":"[114]","noteIndex":0},"citationItems":[{"id":289,"uris":["http://zotero.org/users/7388323/items/IJLMURJ7"],"uri":["http://zotero.org/users/7388323/items/IJLMURJ7"],"itemData":{"id":289,"type":"article-journal","abstract":"AIM: Total/subtotal colectomy with ileorectal (IRA) or ileosigmoid (ISA) anastomosis is associated with various reported rates of morbidity, function and quality of life. Our object was to determine these end-points in a series of patients undergoing these operations in our institution.\nMETHOD: All patients who underwent IRA or ISA between 1994 and 2009 were retrospectively reviewed.\nRESULTS: A total of 320 patients (female 49%) with a median age of 54.2 (16.8-90.6) years underwent 338 IRA or ISA (in 18 patients the anastomosis was done twice) for inflammatory bowel disease (n = 96), polyposis (n = 95) and colorectal cancer (n = 97). Mortality and morbidity rates were 1.2% (n = 4) and 19.5% (n = 66) and 47 surgical complications (13.9%) occurred, including 26 (7.7%) cases of anastomotic leakage, leading to 23 re-operations. After a median follow-up of 49 (0-196) months, 262 patients still had a functioning anastomosis; 45 patients had died and 13 had a proctectomy. Information on function was obtained in 51.4% (133/259) of the cohort after a median follow-up of 77 (10-196) months. The mean (± standard deviation) rates of 24 h and nocturnal defaecation were 3.6 ± 2.4 and 0.5 ± 0.9. A disturbance of faecal or flatus continence occurred in 20% and 21% of patients. There was no case of faecal incontinence to solid stool. The mean SF-36 Physical and Mental Health Summary Scales were 46.3 ± 9.3 and 51.9 ± 9.3. Multivariate analysis showed that IRA and inflammatory bowel disease were both independently associated with poorer long-term function.\nCONCLUSION: Colectomy with IRA or ISA is safe with low postoperative morbidity and mortality. The employment of IRA and inflammatory bowel disease appear to be independent negative factors on function in multivariate analysis.","container-title":"Colorectal Disease: The Official Journal of the Association of Coloproctology of Great Britain and Ireland","DOI":"10.1111/codi.12558","ISSN":"1463-1318","issue":"8","journalAbbreviation":"Colorectal Dis","language":"eng","note":"PMID: 24428330","page":"O288-296","source":"PubMed","title":"Immediate outcome, long-term function and quality of life after extended colectomy with ileorectal or ileosigmoid anastomosis","volume":"16","author":[{"family":"Duclos","given":"J."},{"family":"Lefevre","given":"J. H."},{"family":"Lefrançois","given":"M."},{"family":"Lupinacci","given":"R."},{"family":"Shields","given":"C."},{"family":"Chafai","given":"N."},{"family":"Tiret","given":"E."},{"family":"Parc","given":"Y."}],"issued":{"date-parts":[["2014",8]]}}}],"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[151]</w:t>
      </w:r>
      <w:r w:rsidRPr="00903DE3">
        <w:rPr>
          <w:rFonts w:ascii="Times New Roman" w:hAnsi="Times New Roman"/>
          <w:sz w:val="28"/>
          <w:szCs w:val="28"/>
        </w:rPr>
        <w:fldChar w:fldCharType="end"/>
      </w:r>
      <w:r w:rsidRPr="00903DE3">
        <w:rPr>
          <w:rFonts w:ascii="Times New Roman" w:hAnsi="Times New Roman"/>
          <w:sz w:val="28"/>
          <w:szCs w:val="28"/>
        </w:rPr>
        <w:t xml:space="preserve">. Среди 104 больных с наследственным </w:t>
      </w:r>
      <w:proofErr w:type="spellStart"/>
      <w:r w:rsidRPr="00903DE3">
        <w:rPr>
          <w:rFonts w:ascii="Times New Roman" w:hAnsi="Times New Roman"/>
          <w:sz w:val="28"/>
          <w:szCs w:val="28"/>
        </w:rPr>
        <w:t>неполипозным</w:t>
      </w:r>
      <w:proofErr w:type="spellEnd"/>
      <w:r w:rsidRPr="00903DE3">
        <w:rPr>
          <w:rFonts w:ascii="Times New Roman" w:hAnsi="Times New Roman"/>
          <w:sz w:val="28"/>
          <w:szCs w:val="28"/>
        </w:rPr>
        <w:t xml:space="preserve"> колоректальным раком, которые перенесли тотальную колэктомию, обнаружены проблемы с дефекацией, частый стул и влияние вышеуказанных нарушений на социальную активность были более тяжелыми, чем у больных, перенесших субтотальную колэктомию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Fm7H91zl","properties":{"formattedCitation":"[115]","plainCitation":"[115]","noteIndex":0},"citationItems":[{"id":288,"uris":["http://zotero.org/users/7388323/items/5DRNH45B"],"uri":["http://zotero.org/users/7388323/items/5DRNH45B"],"itemData":{"id":288,"type":"article-journal","abstract":"BACKGROUND: Lynch syndrome is a disorder caused by mismatch repair gene mutations. Mutation carriers have a high risk of developing colorectal cancer. In patients with Lynch syndrome in whom colon cancer has been diagnosed, in general, subtotal colectomy instead of partial colectomy is recommended because of the substantial risk of metachronous colorectal cancer. However, the effect of more extensive surgery on quality of life and functional outcome is unknown.\nOBJECTIVE: The aim of this study was to investigate quality of life and functional outcome in patients with Lynch syndrome after partial colectomy and subtotal colectomy.\nDESIGN: This is a nationwide cross-sectional study in the Netherlands.\nSETTINGS: Two quality-of-life questionnaires (Short Form-36 and The European Organization for Research and Treatment of Cancer Colorectal Cancer-specific Quality of Life Questionnaire Module) and a functional outcome questionnaire (Colorectal Functional Outcome) were used.\nPATIENTS: Patients with Lynch syndrome who underwent surgery for colon cancer were included.\nMAIN OUTCOME MEASURES: The primary outcomes measured were quality of life and functional outcome.\nRESULTS: Questionnaires were sent to 192 patients with Lynch syndrome who underwent surgery for colorectal cancer. A total of 136 patients returned the questionnaire (response rate, 71%). Eighteen patients with rectal cancer, 9 patients with a permanent ileostomy, and 5 patients with an IPAA were excluded. Fifty-one patients underwent partial colectomy, and 53 underwent subtotal colectomy. None of the scales of the Short Form-36 survey showed a significant difference. Analysis of the Colorectal Functional Outcome questionnaire revealed that, after subtotal colectomy, patients have a significantly higher stool frequency (p ≤ 0.01) and a significantly higher score on stool-related aspects (p = 0.06) and social impact (p = 0.03). The European Organization for Research and Treatment of Cancer Colorectal Cancer-specific Quality of Life Questionnaire Module presented more problems with defecation after subtotal colectomy (p ≤ 0.01).\nLIMITATIONS: Certain selection bias cannot be ruled out.\nCONCLUSIONS: Although functional outcome is worse after subtotal colectomy than after partial colectomy, generic quality of life does not differ after the 2 types of surgery in Lynch syndrome. When discussing the options for surgery with the patient, all advantages and disadvantages of both surgical procedures, including quality of life and functional outcome, should be discussed.","container-title":"Diseases of the Colon and Rectum","DOI":"10.1097/DCR.0b013e31824f5392","ISSN":"1530-0358","issue":"6","journalAbbreviation":"Dis. Colon Rectum","language":"eng","note":"PMID: 22595844","page":"653-659","source":"PubMed","title":"Quality of life after surgery for colon cancer in patients with Lynch syndrome: partial versus subtotal colectomy","title-short":"Quality of life after surgery for colon cancer in patients with Lynch syndrome","volume":"55","author":[{"family":"Haanstra","given":"Jasmijn F."},{"family":"Vos Tot Nederveen Cappel","given":"Wouter H.","non-dropping-particle":"de"},{"family":"Gopie","given":"Jessica P."},{"family":"Vecht","given":"Juda"},{"family":"Vanhoutvin","given":"Steven A. L. W."},{"family":"Cats","given":"Annemieke"},{"family":"Zaag-Loonen","given":"Hester J.","non-dropping-particle":"van der"},{"family":"Langers","given":"Alexandra M. J."},{"family":"Bergmann","given":"Jerry H. W."},{"family":"Meeberg","given":"Paul C.","non-dropping-particle":"van de"},{"family":"Dekker","given":"Evelien"},{"family":"Kleibeuker","given":"Jan H."},{"family":"Vasen","given":"Hans F. A."},{"family":"Nagengast","given":"Fokko M."},{"family":"Duijvendijk","given":"Peter","non-dropping-particle":"van"}],"issued":{"date-parts":[["2012",6]]}}}],"schema":"https://github.com/citation-style-language/schema/raw/master/csl-citation.json"}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[152]</w:t>
      </w:r>
      <w:r w:rsidRPr="00903DE3">
        <w:rPr>
          <w:rFonts w:ascii="Times New Roman" w:hAnsi="Times New Roman"/>
          <w:sz w:val="28"/>
          <w:szCs w:val="28"/>
        </w:rPr>
        <w:fldChar w:fldCharType="end"/>
      </w:r>
      <w:r w:rsidRPr="00903DE3">
        <w:rPr>
          <w:rFonts w:ascii="Times New Roman" w:hAnsi="Times New Roman"/>
          <w:sz w:val="28"/>
          <w:szCs w:val="28"/>
        </w:rPr>
        <w:t xml:space="preserve">. У 10% больных после субтотальной колэктомии или после формирования илеосигмоидного анастомоза зафиксированы шесть и более дефекаций в день. Так же при условии сохранения более 16 см сигмовидной кишки отмечается значительное урежение частоты стула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rDdXNyR7","properties":{"formattedCitation":"[116]","plainCitation":"[116]","noteIndex":0},"citationItems":[{"id":287,"uris":["http://zotero.org/users/7388323/items/GZ679XAD"],"uri":["http://zotero.org/users/7388323/items/GZ679XAD"],"itemData":{"id":287,"type":"article-journal","abstract":"AIM: We report on our experience of elective subtotal colectomy and ileosigmoid anastomosis for colon cancer with focus on postoperative results, function and quality of life.\nMETHOD: Between 1998 and 2011, 106 consecutive patients with colonic malignancy underwent this procedure electively. Function and quality of life (EORTC QLQ-C30) were evaluated retrospectively with questionnaires sent to all patients free of recurrence.\nRESULTS: There were 62 men and 44 women (mean age 63 years). Postoperative mortality and morbidity rates were 1.9 and 26.4%, respectively. Persistent ileus was the main early complication (16%). After a mean follow-up of 67 ± 36 months, 50 (78.1) out of 64 patients have been evaluated for function and quality of life. The mean number of bowel movements per 24 h was 3 ± 2 and significantly lower when the length of the remaining sigmoid colon was more than 15 cm (P = 0.049). Compared with a European reference population for EORTC QLQ-C30 results, our patients had significantly more diarrhoea (26 vs 3, P = 0.0002) but less pain (10 vs 25, P &lt; 0.0001) and better global quality of life (77 vs 62, P &lt; 0.0001).\nCONCLUSION: Elective subtotal colectomy for colon cancer is safe and associated with good function and quality of life. Ileosigmoid anastomosis should be discussed when extended colectomy is required, providing the rectosigmoid junction and its vascular supply can be oncologically preserved. For tumours located in the transverse colon or at the splenic flexure, this procedure may be the best surgical option.","container-title":"Colorectal Disease: The Official Journal of the Association of Coloproctology of Great Britain and Ireland","DOI":"10.1111/codi.12237","ISSN":"1463-1318","issue":"9","journalAbbreviation":"Colorectal Dis","language":"eng","note":"PMID: 23570604","page":"1078-1085","source":"PubMed","title":"Elective subtotal colectomy with ileosigmoid anastomosis for colon cancer preserves bowel function and quality of life","volume":"15","author":[{"family":"Manceau","given":"G."},{"family":"Annunzio","given":"E.","non-dropping-particle":"d'"},{"family":"Karoui","given":"M."},{"family":"Breton","given":"S."},{"family":"Rousseau","given":"G."},{"family":"Blanchet","given":"A. S."},{"family":"Vaillant","given":"J. C."},{"family":"Hannoun","given":"L."}],"issued":{"date-parts":[["2013",9]]}}}],"schema":"https://github.com/citation-style-language/schema/raw/master/csl-citation.json"}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[153]</w:t>
      </w:r>
      <w:r w:rsidRPr="00903DE3">
        <w:rPr>
          <w:rFonts w:ascii="Times New Roman" w:hAnsi="Times New Roman"/>
          <w:sz w:val="28"/>
          <w:szCs w:val="28"/>
        </w:rPr>
        <w:fldChar w:fldCharType="end"/>
      </w:r>
      <w:r w:rsidRPr="00903DE3">
        <w:rPr>
          <w:rFonts w:ascii="Times New Roman" w:hAnsi="Times New Roman"/>
          <w:sz w:val="28"/>
          <w:szCs w:val="28"/>
        </w:rPr>
        <w:t>.</w:t>
      </w:r>
    </w:p>
    <w:p w14:paraId="15284A67" w14:textId="77777777" w:rsidR="00403127" w:rsidRPr="00903DE3" w:rsidRDefault="00403127" w:rsidP="00403127">
      <w:pPr>
        <w:spacing w:after="0" w:line="240" w:lineRule="auto"/>
        <w:ind w:firstLine="567"/>
        <w:jc w:val="both"/>
        <w:rPr>
          <w:rFonts w:ascii="Times New Roman" w:hAnsi="Times New Roman"/>
          <w:sz w:val="28"/>
          <w:szCs w:val="28"/>
        </w:rPr>
      </w:pPr>
      <w:proofErr w:type="spellStart"/>
      <w:r w:rsidRPr="00903DE3">
        <w:rPr>
          <w:rFonts w:ascii="Times New Roman" w:hAnsi="Times New Roman"/>
          <w:sz w:val="28"/>
          <w:szCs w:val="28"/>
        </w:rPr>
        <w:t>You</w:t>
      </w:r>
      <w:proofErr w:type="spellEnd"/>
      <w:r w:rsidRPr="00903DE3">
        <w:rPr>
          <w:rFonts w:ascii="Times New Roman" w:hAnsi="Times New Roman"/>
          <w:sz w:val="28"/>
          <w:szCs w:val="28"/>
        </w:rPr>
        <w:t xml:space="preserve"> Y.N. и соавт</w:t>
      </w:r>
      <w:proofErr w:type="gramStart"/>
      <w:r w:rsidRPr="00903DE3">
        <w:rPr>
          <w:rFonts w:ascii="Times New Roman" w:hAnsi="Times New Roman"/>
          <w:sz w:val="28"/>
          <w:szCs w:val="28"/>
        </w:rPr>
        <w:t>. провели</w:t>
      </w:r>
      <w:proofErr w:type="gramEnd"/>
      <w:r w:rsidRPr="00903DE3">
        <w:rPr>
          <w:rFonts w:ascii="Times New Roman" w:hAnsi="Times New Roman"/>
          <w:sz w:val="28"/>
          <w:szCs w:val="28"/>
        </w:rPr>
        <w:t xml:space="preserve"> исследование выборкой 241 человек. В анамнезе респондентов присутствовала резекция ободочной кишки по различным причинам. Проведен опрос о функциональных нарушениях ободочной кишки и качестве жизни больных. Выяснено, что больные после расширенных резекции ободочной кишки с удалением илеоцекального клапана по сравнению с больными с сохраненным </w:t>
      </w:r>
      <w:proofErr w:type="spellStart"/>
      <w:r w:rsidRPr="00903DE3">
        <w:rPr>
          <w:rFonts w:ascii="Times New Roman" w:hAnsi="Times New Roman"/>
          <w:sz w:val="28"/>
          <w:szCs w:val="28"/>
        </w:rPr>
        <w:t>илеоцекальным</w:t>
      </w:r>
      <w:proofErr w:type="spellEnd"/>
      <w:r w:rsidRPr="00903DE3">
        <w:rPr>
          <w:rFonts w:ascii="Times New Roman" w:hAnsi="Times New Roman"/>
          <w:sz w:val="28"/>
          <w:szCs w:val="28"/>
        </w:rPr>
        <w:t xml:space="preserve"> клапаном имели более частые дефекации, в связи с чем были вынуждены ограничиваться в выборе продуктов питания, что несомненно отрицательно сказывалось на социальной активности и привело к ухудшению качества жизни больных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PxtNOnA","properties":{"formattedCitation":"[117]","plainCitation":"[117]","noteIndex":0},"citationItems":[{"id":286,"uris":["http://zotero.org/users/7388323/items/WQHPSHD8"],"uri":["http://zotero.org/users/7388323/items/WQHPSHD8"],"itemData":{"id":286,"type":"article-journal","abstract":"PURPOSE: The colon coordinates fecal elimination while reabsorbing excess fluid. Extended colonic resection removes synchronous and prevents metachronous disease but may adversely alter bowel function and health-related quality of life to a greater degree than segmental resection. This study examined the short-term morbidity and long-term function and quality of life after colon resections of different extents.\nMETHODS: Patients undergoing extended resections (n = 201, subtotal colectomy with ileosigmoid or total abdominal colectomy with ileorectal anastomosis) and segmental colonic resections (n = 321) during 1991 to 2003 were reviewed for perioperative outcomes and surveyed for bowel function and quality of life using an institutional questionnaire and a validated quality of life instrument (response rate: 70 percent).\nRESULTS: The most common indication for extended resections was multiple polyps, and for segmental resections, single malignancy. The complication-free rate was 75.4 percent after segmental resections, 42.8 percent after ileosigmoid anastomosis, and 60 percent after ileorectal anastomosis. Median daily stool frequency was two after segmental resections, four after ileosigmoid anastomosis, and five after ileorectal anastomosis, despite considerable dietary restrictions (55.6 percent) and medication use (19.6 percent daily) after ileorectal anastomosis. Significant proportions of patients felt restricted from preoperative social activity (31.5 percent), housework (20.4 percent), recreation (31.5 percent), and travel (42.6 percent) after ileorectal anastomosis. The overall quality of life after segmental resection, ileosigmoid anastomosis, and ileorectal anastomosis was 98.5, 94.9, and 91.2, respectively.\nCONCLUSIONS: Measurable compromises in long-term bowel function and quality of life were observed after extended vs. segmental resections. The relative differences in patient-related outcomes should be deliberated against the clinical benefits of extended resection for the individual patient.","container-title":"Diseases of the Colon and Rectum","DOI":"10.1007/s10350-008-9325-1","ISSN":"1530-0358","issue":"7","journalAbbreviation":"Dis. Colon Rectum","language":"eng","note":"PMID: 18470560","page":"1036-1043","source":"PubMed","title":"Segmental vs. extended colectomy: measurable differences in morbidity, function, and quality of life","title-short":"Segmental vs. extended colectomy","volume":"51","author":[{"family":"You","given":"Y. Nancy"},{"family":"Chua","given":"Heidi K."},{"family":"Nelson","given":"Heidi"},{"family":"Hassan","given":"Imran"},{"family":"Barnes","given":"Sunni A."},{"family":"Harrington","given":"Jeffrey"}],"issued":{"date-parts":[["2008",7]]}}}],"schema":"https://github.com/citation-style-language/schema/raw/master/csl-citation.json"}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[154]</w:t>
      </w:r>
      <w:r w:rsidRPr="00903DE3">
        <w:rPr>
          <w:rFonts w:ascii="Times New Roman" w:hAnsi="Times New Roman"/>
          <w:sz w:val="28"/>
          <w:szCs w:val="28"/>
        </w:rPr>
        <w:fldChar w:fldCharType="end"/>
      </w:r>
      <w:r w:rsidRPr="00903DE3">
        <w:rPr>
          <w:rFonts w:ascii="Times New Roman" w:hAnsi="Times New Roman"/>
          <w:sz w:val="28"/>
          <w:szCs w:val="28"/>
        </w:rPr>
        <w:t>.</w:t>
      </w:r>
    </w:p>
    <w:p w14:paraId="45BB0F75"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В первые 3 месяца после правосторонней гемиколэктомии  больные в меньшей степени страдали от констипации и неконтролируемых актов дефекации, чем больные после левосторонней гемиколэктомии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dUQZhUyz","properties":{"formattedCitation":"[118]","plainCitation":"[118]","noteIndex":0},"citationItems":[{"id":285,"uris":["http://zotero.org/users/7388323/items/DENKWDSB"],"uri":["http://zotero.org/users/7388323/items/DENKWDSB"],"itemData":{"id":285,"type":"article-journal","abstract":"BACKGROUND: Anatomical changes after intestinal resection and the effects of adjuvant treatment for colorectal cancer may lead to gastrointestinal disturbances. The aim of our study was to assess gastrointestinal function using validated health-related quality of life (HRQoL) questionnaires that are able to reliably quantify patients' symptoms.\nMETHODS: Two hundred and eighty-nine colorectal cancer patients underwent HRQoL assessment preoperatively and at 3,6 and 12 months postoperatively. They were evaluated with the Gastrointestinal Quality of Life Index (GIQLI) [\"global\" and \"symptoms\" scales and questions 3 (\"bloating\"), 4 (\"excessive gas\"), 6 (\"gurgling noises\"), 7 (\"frequent bowel movements (BMs)\"), 30 (\"urgent BMs\"), 31 (\"diarrhea\"), 32 (\"constipation\"), 36 (\"uncontrolled stools\")] and the European Organization for Research and Treatment of Cancer (EORTC) modules QLQ-C30 (symptom scales: \"constipation\" and \"diarrhea\") and QLQ-CR29 (symptom scales: \"defecation problems,\" \"incontinence,\" and \"bloating\").\nRESULTS: GIQLI \"global\" and \"symptom\" indices and the majority of single-item scores and the EORTC QLQ-C30 \"constipation\" and \"diarrhea\" subscales showed significant postoperative improvement (p &lt; 0.05). Females and younger age (&lt;70 years) patients appeared to have worse postoperative gastrointestinal function. Rectal cancer patients had more \"urgent BMs,\" \"uncontrolled stools\" and worse \"global\" and \"symptom\" scores at 3 months and more \"diarrhea\" at 3 and 6 months than colon cancer patients (p &lt; 0.03). Right colectomy patients had less \"excessive passage of gas,\" \"constipation,\" and \"uncontrolled stools\" than left colectomy patients (3 months, p &lt; 0.01). Anterior resection patients faced more gastrointestinal difficulties, especially in the first 6 months after surgery. Adverse effects related to stage and adjuvant treatment were predominant only at baseline (p &lt; 0.05). GIQLI \"diarrhea\" and \"constipation\" scores were correlated with the respective EORTC QLQ-C30 domains (p = 0.0001).\nCONCLUSIONS: Overall, gastrointestinal function is improved after colorectal cancer surgery. However, women and younger patients are at higher risk of postoperative gastrointestinal dysfunction.","container-title":"Techniques in Coloproctology","DOI":"10.1007/s10151-013-1008-9","ISSN":"1128-045X","issue":"5","journalAbbreviation":"Tech Coloproctol","language":"eng","note":"PMID: 23605189","page":"525-536","source":"PubMed","title":"Post-colectomy assessment of gastrointestinal function: a prospective study on colorectal cancer patients","title-short":"Post-colectomy assessment of gastrointestinal function","volume":"17","author":[{"family":"Theodoropoulos","given":"G. E."},{"family":"Papanikolaou","given":"I. G."},{"family":"Karantanos","given":"T."},{"family":"Zografos","given":"G."}],"issued":{"date-parts":[["2013",10]]}}}],"schema":"https://github.com/citation-style-language/schema/raw/master/csl-citation.json"}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[155]</w:t>
      </w:r>
      <w:r w:rsidRPr="00903DE3">
        <w:rPr>
          <w:rFonts w:ascii="Times New Roman" w:hAnsi="Times New Roman"/>
          <w:sz w:val="28"/>
          <w:szCs w:val="28"/>
        </w:rPr>
        <w:fldChar w:fldCharType="end"/>
      </w:r>
      <w:r w:rsidRPr="00903DE3">
        <w:rPr>
          <w:rFonts w:ascii="Times New Roman" w:hAnsi="Times New Roman"/>
          <w:sz w:val="28"/>
          <w:szCs w:val="28"/>
        </w:rPr>
        <w:t xml:space="preserve">. В самых ранних исследованиях </w:t>
      </w:r>
      <w:proofErr w:type="spellStart"/>
      <w:r w:rsidRPr="00903DE3">
        <w:rPr>
          <w:rFonts w:ascii="Times New Roman" w:hAnsi="Times New Roman"/>
          <w:sz w:val="28"/>
          <w:szCs w:val="28"/>
        </w:rPr>
        <w:t>Gazet</w:t>
      </w:r>
      <w:proofErr w:type="spellEnd"/>
      <w:r w:rsidRPr="00903DE3">
        <w:rPr>
          <w:rFonts w:ascii="Times New Roman" w:hAnsi="Times New Roman"/>
          <w:sz w:val="28"/>
          <w:szCs w:val="28"/>
        </w:rPr>
        <w:t xml:space="preserve"> J.C. и соавт. описывали более 3 актов дефекации у 60% больных после правосторонней гемиколэктомии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HPHPuwWA","properties":{"formattedCitation":"[119]","plainCitation":"[119]","noteIndex":0},"citationItems":[{"id":284,"uris":["http://zotero.org/users/7388323/items/XIQ3LJCZ"],"uri":["http://zotero.org/users/7388323/items/XIQ3LJCZ"],"itemData":{"id":284,"type":"article-journal","container-title":"Annals of the Royal College of Surgeons of England","ISSN":"0035-8843","issue":"1","journalAbbreviation":"Ann R Coll Surg Engl","language":"eng","note":"PMID: 4969706\nPMCID: PMC2312254","page":"19-38","source":"PubMed","title":"The surgical significance of the ileo-caecal junction","volume":"43","author":[{"family":"Gazet","given":"J. C."}],"issued":{"date-parts":[["1968",7]]}}}],"schema":"https://github.com/citation-style-language/schema/raw/master/csl-citation.json"}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[156]</w:t>
      </w:r>
      <w:r w:rsidRPr="00903DE3">
        <w:rPr>
          <w:rFonts w:ascii="Times New Roman" w:hAnsi="Times New Roman"/>
          <w:sz w:val="28"/>
          <w:szCs w:val="28"/>
        </w:rPr>
        <w:fldChar w:fldCharType="end"/>
      </w:r>
      <w:r w:rsidRPr="00903DE3">
        <w:rPr>
          <w:rFonts w:ascii="Times New Roman" w:hAnsi="Times New Roman"/>
          <w:sz w:val="28"/>
          <w:szCs w:val="28"/>
        </w:rPr>
        <w:t xml:space="preserve">. Больные после левосторонней гемиколэктомии в 74% случаях сообщили о нормальном функционировании ободочной кишки. Среди больных, перенесших хирургическую операцию на ободочную кишку 43% – после правосторонней гемиколэктомии и 2,5% – после левосторонней гемиколэктомии отмечали </w:t>
      </w:r>
      <w:r w:rsidRPr="00903DE3">
        <w:rPr>
          <w:rFonts w:ascii="Times New Roman" w:hAnsi="Times New Roman"/>
          <w:sz w:val="28"/>
          <w:szCs w:val="28"/>
        </w:rPr>
        <w:lastRenderedPageBreak/>
        <w:t xml:space="preserve">наличие жидкого частого стула частотой более 3 раз в течение дня. Оформленный твердый стул отмечался у 10% больных после левосторонней гемиколэктомии и ни у одного больного после правосторонней гемиколэктомии. Таким образом, по результатам проведенного исследования диарея была распространенным осложнением у больных после правосторонней гемиколэктомии. В течение 10 лет последующего наблюдения не было отмечено уменьшение тяжести диареи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jYLLqUB1","properties":{"formattedCitation":"[119]","plainCitation":"[119]","noteIndex":0},"citationItems":[{"id":284,"uris":["http://zotero.org/users/7388323/items/XIQ3LJCZ"],"uri":["http://zotero.org/users/7388323/items/XIQ3LJCZ"],"itemData":{"id":284,"type":"article-journal","container-title":"Annals of the Royal College of Surgeons of England","ISSN":"0035-8843","issue":"1","journalAbbreviation":"Ann R Coll Surg Engl","language":"eng","note":"PMID: 4969706\nPMCID: PMC2312254","page":"19-38","source":"PubMed","title":"The surgical significance of the ileo-caecal junction","volume":"43","author":[{"family":"Gazet","given":"J. C."}],"issued":{"date-parts":[["1968",7]]}}}],"schema":"https://github.com/citation-style-language/schema/raw/master/csl-citation.json"}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[156]</w:t>
      </w:r>
      <w:r w:rsidRPr="00903DE3">
        <w:rPr>
          <w:rFonts w:ascii="Times New Roman" w:hAnsi="Times New Roman"/>
          <w:sz w:val="28"/>
          <w:szCs w:val="28"/>
        </w:rPr>
        <w:fldChar w:fldCharType="end"/>
      </w:r>
      <w:r w:rsidRPr="00903DE3">
        <w:rPr>
          <w:rFonts w:ascii="Times New Roman" w:hAnsi="Times New Roman"/>
          <w:sz w:val="28"/>
          <w:szCs w:val="28"/>
        </w:rPr>
        <w:t>.</w:t>
      </w:r>
    </w:p>
    <w:p w14:paraId="344CE4A1"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В более недавних исследованиях Ohigashi S. и авторы отмечают частый стул в ночное время суток у больных после правосторонней гемиколэктомии (n=38), чем у больных после левосторонней гемиколэктомии, резекции сигмовидной и поперечно-ободочной кишки (n=44) по поводу рака ободочной кишки. Соответственно, качество жизни (КЖ) больных в большей степени страдало после правосторонней гемиколэктомии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cDksnxvg","properties":{"formattedCitation":"[120]","plainCitation":"[120]","noteIndex":0},"citationItems":[{"id":283,"uris":["http://zotero.org/users/7388323/items/MPYB7QNS"],"uri":["http://zotero.org/users/7388323/items/MPYB7QNS"],"itemData":{"id":283,"type":"article-journal","abstract":"PURPOSE: We investigated the functional outcome and health-related quality of life (QOL) of patients who underwent a surgical resection of colorectal cancer, and reviewed the efficacy of probiotics for improving bowel function.\nMETHODS: A questionnaire was mailed to 193 patients. Questionnaires contained the Medical Outcomes Study Short-Form 36-Item Health Survey and the European Organization for Research and Treatment of Cancer Quality of Life Questionnaire C30 as QOL scores, the Wexner incontinence score, and original questionnaire items about bowel functions. Probiotics, containing Bacillus natto and Lactobacillus acidophilus, were given to 77 patients for 3 months; after 3 months of treatment, the same questionnaire was administered. The results were analyzed by location of the resected cancer: rectal, colonic, right, and left.\nRESULTS: In the rectal group, defecation frequency, anal pain, and the Wexner score were significantly worse than in the colonic group. In the right group, the fecal form was looser and nighttime defecation frequency was higher than those of the left group. Three items in the QOL score of the right group were significantly worse compared with the left group. Functional outcome including defecation frequency, feeling of incomplete defecation, and five items in the QOL score were significantly improved after taking probiotics. Improvement in functional outcome and/or QOL was observed in all groups.\nCONCLUSIONS: Not only rectal resection but also rightside colectomy affected bowel dysfunction. Probiotics could be an effective treatment for improvement in functional outcome and QOL after colorectal resection.","container-title":"Surgery Today","DOI":"10.1007/s00595-010-4450-6","ISSN":"1436-2813","issue":"9","journalAbbreviation":"Surg. Today","language":"eng","note":"PMID: 21874415","page":"1200-1206","source":"PubMed","title":"Functional outcome, quality of life, and efficacy of probiotics in postoperative patients with colorectal cancer","volume":"41","author":[{"family":"Ohigashi","given":"Seiji"},{"family":"Hoshino","given":"Yoshinori"},{"family":"Ohde","given":"Sachiko"},{"family":"Onodera","given":"Hisashi"}],"issued":{"date-parts":[["2011",9]]}}}],"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[157]</w:t>
      </w:r>
      <w:r w:rsidRPr="00903DE3">
        <w:rPr>
          <w:rFonts w:ascii="Times New Roman" w:hAnsi="Times New Roman"/>
          <w:sz w:val="28"/>
          <w:szCs w:val="28"/>
        </w:rPr>
        <w:fldChar w:fldCharType="end"/>
      </w:r>
      <w:r w:rsidRPr="00903DE3">
        <w:rPr>
          <w:rFonts w:ascii="Times New Roman" w:hAnsi="Times New Roman"/>
          <w:sz w:val="28"/>
          <w:szCs w:val="28"/>
        </w:rPr>
        <w:t xml:space="preserve">. В похожем исследовании, включающее 108 больных, наблюдение вели в течение 12 месяцев после операции на ободочную кишку. В 16% случаях после правосторонней гемиколэктомии и в 10% случаях после левосторонней гемиколэктомии отмечался жидкий стул. Более того у 11% больных после правосторонней гемиколэктомии наблюдались более 3 акта дефекации в течение дня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GdHIhUmP","properties":{"formattedCitation":"[121]","plainCitation":"[121]","noteIndex":0},"citationItems":[{"id":282,"uris":["http://zotero.org/users/7388323/items/EVZZHSG7"],"uri":["http://zotero.org/users/7388323/items/EVZZHSG7"],"itemData":{"id":282,"type":"article-journal","abstract":"PURPOSE: Long-term bowel function after right hemicolectomy (RHC), extended right hemicolectomy (ERHC), left hemicolectomy (LHC), sigmoid colectomy (SC), and anterior resection (AR) was evaluated.\nMETHOD: Three hundred fifteen patients (52.3 percent) replied to a questionnaire on stool frequency, fecal continence, and defecation problems. All patients had undergone surgery at least one year before questionnaire was sent to them. Patients with anastomotic leaks and recurrences were excluded.\nRESULTS: Stool frequency was one to two bowel movements per day in 78 percent of patients after RHC, 75 percent after ERHC, 57.6 percent after LHC, 64.3 percent after SC, and only 44.8 percent after AR (P = 0.01). Continence affected lifestyle in 32 percent of patients after AR, but affected only up to 11.5 percent of patients who had had more proximal resections (P = 0.001). Defecation problems occurred in less than 15.4 percent after RHC, ERHC, and LHC but were encountered more frequently after SC (25 percent) and AR (28.4 percent; P = 0.009).\nCONCLUSIONS: Problems with postoperative bowel function were appreciably more common after SC and AR.","container-title":"Diseases of the Colon and Rectum","DOI":"10.1007/BF02049473","ISSN":"0012-3706","issue":"3","journalAbbreviation":"Dis. Colon Rectum","language":"eng","note":"PMID: 8603553","page":"307-310","source":"PubMed","title":"Bowel function survey after segmental colorectal resections","volume":"39","author":[{"family":"Ho","given":"Y. H."},{"family":"Low","given":"D."},{"family":"Goh","given":"H. S."}],"issued":{"date-parts":[["1996",3]]}}}],"schema":"https://github.com/citation-style-language/schema/raw/master/csl-citation.json"}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[158]</w:t>
      </w:r>
      <w:r w:rsidRPr="00903DE3">
        <w:rPr>
          <w:rFonts w:ascii="Times New Roman" w:hAnsi="Times New Roman"/>
          <w:sz w:val="28"/>
          <w:szCs w:val="28"/>
        </w:rPr>
        <w:fldChar w:fldCharType="end"/>
      </w:r>
      <w:r w:rsidRPr="00903DE3">
        <w:rPr>
          <w:rFonts w:ascii="Times New Roman" w:hAnsi="Times New Roman"/>
          <w:sz w:val="28"/>
          <w:szCs w:val="28"/>
        </w:rPr>
        <w:t>.</w:t>
      </w:r>
    </w:p>
    <w:p w14:paraId="04EBC843" w14:textId="77777777" w:rsidR="00403127" w:rsidRPr="00903DE3" w:rsidRDefault="00403127" w:rsidP="00403127">
      <w:pPr>
        <w:spacing w:after="0" w:line="240" w:lineRule="auto"/>
        <w:ind w:firstLine="567"/>
        <w:jc w:val="both"/>
        <w:rPr>
          <w:rFonts w:ascii="Times New Roman" w:hAnsi="Times New Roman"/>
          <w:sz w:val="28"/>
          <w:szCs w:val="28"/>
        </w:rPr>
      </w:pPr>
      <w:proofErr w:type="spellStart"/>
      <w:r w:rsidRPr="00903DE3">
        <w:rPr>
          <w:rFonts w:ascii="Times New Roman" w:hAnsi="Times New Roman"/>
          <w:sz w:val="28"/>
          <w:szCs w:val="28"/>
        </w:rPr>
        <w:t>Magdeburg</w:t>
      </w:r>
      <w:proofErr w:type="spellEnd"/>
      <w:r w:rsidRPr="00903DE3">
        <w:rPr>
          <w:rFonts w:ascii="Times New Roman" w:hAnsi="Times New Roman"/>
          <w:sz w:val="28"/>
          <w:szCs w:val="28"/>
        </w:rPr>
        <w:t xml:space="preserve"> J. и соавт</w:t>
      </w:r>
      <w:proofErr w:type="gramStart"/>
      <w:r w:rsidRPr="00903DE3">
        <w:rPr>
          <w:rFonts w:ascii="Times New Roman" w:hAnsi="Times New Roman"/>
          <w:sz w:val="28"/>
          <w:szCs w:val="28"/>
        </w:rPr>
        <w:t>. выяснили</w:t>
      </w:r>
      <w:proofErr w:type="gramEnd"/>
      <w:r w:rsidRPr="00903DE3">
        <w:rPr>
          <w:rFonts w:ascii="Times New Roman" w:hAnsi="Times New Roman"/>
          <w:sz w:val="28"/>
          <w:szCs w:val="28"/>
        </w:rPr>
        <w:t xml:space="preserve">, что 45% больных после правосторонней гемиколэктомии по поводу рака ободочной кишки или </w:t>
      </w:r>
      <w:proofErr w:type="spellStart"/>
      <w:r w:rsidRPr="00903DE3">
        <w:rPr>
          <w:rFonts w:ascii="Times New Roman" w:hAnsi="Times New Roman"/>
          <w:sz w:val="28"/>
          <w:szCs w:val="28"/>
        </w:rPr>
        <w:t>дивертикулеза</w:t>
      </w:r>
      <w:proofErr w:type="spellEnd"/>
      <w:r w:rsidRPr="00903DE3">
        <w:rPr>
          <w:rFonts w:ascii="Times New Roman" w:hAnsi="Times New Roman"/>
          <w:sz w:val="28"/>
          <w:szCs w:val="28"/>
        </w:rPr>
        <w:t xml:space="preserve"> жалуются на жидкий стул более одного раз в месяц. Эта цифра значительно больше, чем в группе больных после левосторонней гемиколэктомии, где 39% респондентов отмечали жидкий стул более одного раза в месяц. Однако разница показателей качества жизни в обеих группах не была статистически достоверной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BHdH7EJl","properties":{"formattedCitation":"[122]","plainCitation":"[122]","noteIndex":0},"citationItems":[{"id":281,"uris":["http://zotero.org/users/7388323/items/W4X4HQ7R"],"uri":["http://zotero.org/users/7388323/items/W4X4HQ7R"],"itemData":{"id":281,"type":"article-journal","abstract":"AIM: Older data suggest that colonic resection has a negative impact on continence and quality of life. The aim of this study was to evaluate the functional outcome of colonic resections for colonic cancer and diverticulitis and its influence on quality of life.\nMETHODS: Patients who underwent colonic resection between 2005 and 2013 were identified from a prospective database. A survey with two questionnaires [Faecal Incontinence Quality of Life (FIQL) scale, Short Form 12 (SF-12)] and additional questions concerning bowel function was sent to all patients.\nRESULTS: Colonic resection was performed in 362 patients in the study period; 297 patients returned the questionnaires (response rate 82.0%). Faecal urgency or incontinence more than once a month was present in 15% of patients and 25% of patients reported that bowel symptoms limited their quality of life. The mean total FIQL score for all patients was 3.58. The SF-12 score was comparable to a reference population without prior colonic resection. Patients after right-sided resections had liquid stool more often than others (45.3% vs 38.7%, P = 0.011). No differences in bowel function and quality of life were detected between resections for colonic cancer and diverticulitis.\nCONCLUSION: Most patients experience no limitation in bowel function after segmental colectomy. Those with limitations in bowel function still seem to cope well, as the quality of life is not severely affected. Nevertheless, most patients with lower functional scores also had lower quality of life scores. Whether surgery is a relevant factor has to be questioned, as the prevalence of faecal incontinence in a comparable population without prior surgery is almost identical.","container-title":"Colorectal Disease: The Official Journal of the Association of Coloproctology of Great Britain and Ireland","DOI":"10.1111/codi.13526","ISSN":"1463-1318","issue":"11","journalAbbreviation":"Colorectal Dis","language":"eng","note":"PMID: 27647736","page":"O405-O413","source":"PubMed","title":"Long-term functional outcome of colonic resections: how much does faecal impairment influence quality of life?","title-short":"Long-term functional outcome of colonic resections","volume":"18","author":[{"family":"Magdeburg","given":"J."},{"family":"Glatz","given":"N."},{"family":"Post","given":"S."},{"family":"Kienle","given":"P."},{"family":"Rickert","given":"A."}],"issued":{"date-parts":[["2016",11]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[159]</w:t>
      </w:r>
      <w:r w:rsidRPr="00903DE3">
        <w:rPr>
          <w:rFonts w:ascii="Times New Roman" w:hAnsi="Times New Roman"/>
          <w:sz w:val="28"/>
          <w:szCs w:val="28"/>
        </w:rPr>
        <w:fldChar w:fldCharType="end"/>
      </w:r>
      <w:r w:rsidRPr="00903DE3">
        <w:rPr>
          <w:rFonts w:ascii="Times New Roman" w:hAnsi="Times New Roman"/>
          <w:sz w:val="28"/>
          <w:szCs w:val="28"/>
        </w:rPr>
        <w:t>.</w:t>
      </w:r>
    </w:p>
    <w:p w14:paraId="646E68A9"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В 2017 году </w:t>
      </w:r>
      <w:proofErr w:type="spellStart"/>
      <w:r w:rsidRPr="00903DE3">
        <w:rPr>
          <w:rFonts w:ascii="Times New Roman" w:hAnsi="Times New Roman"/>
          <w:sz w:val="28"/>
          <w:szCs w:val="28"/>
        </w:rPr>
        <w:t>Brigic</w:t>
      </w:r>
      <w:proofErr w:type="spellEnd"/>
      <w:r w:rsidRPr="00903DE3">
        <w:rPr>
          <w:rFonts w:ascii="Times New Roman" w:hAnsi="Times New Roman"/>
          <w:sz w:val="28"/>
          <w:szCs w:val="28"/>
        </w:rPr>
        <w:t xml:space="preserve"> А. и соавторы провели сравнительный анализ кишечной функции трех групп больных: в «раннюю» группу вошли 91 больных от 6 до 12 месяцев после операции, вторая группа состояла из 85 больных через 2-4 года после операции и третья группа составила 85 здоровых лиц. В результате исследования выяснилось, что 1/3 больных через 6-12 месяцев и ¼ больных через2-4 года после операции страдают частыми дефекациями по сравнению со здоровыми лицами [160</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BHdH7EJl","properties":{"formattedCitation":"[122]","plainCitation":"[122]","noteIndex":0},"citationItems":[{"id":281,"uris":["http://zotero.org/users/7388323/items/W4X4HQ7R"],"uri":["http://zotero.org/users/7388323/items/W4X4HQ7R"],"itemData":{"id":281,"type":"article-journal","abstract":"AIM: Older data suggest that colonic resection has a negative impact on continence and quality of life. The aim of this study was to evaluate the functional outcome of colonic resections for colonic cancer and diverticulitis and its influence on quality of life.\nMETHODS: Patients who underwent colonic resection between 2005 and 2013 were identified from a prospective database. A survey with two questionnaires [Faecal Incontinence Quality of Life (FIQL) scale, Short Form 12 (SF-12)] and additional questions concerning bowel function was sent to all patients.\nRESULTS: Colonic resection was performed in 362 patients in the study period; 297 patients returned the questionnaires (response rate 82.0%). Faecal urgency or incontinence more than once a month was present in 15% of patients and 25% of patients reported that bowel symptoms limited their quality of life. The mean total FIQL score for all patients was 3.58. The SF-12 score was comparable to a reference population without prior colonic resection. Patients after right-sided resections had liquid stool more often than others (45.3% vs 38.7%, P = 0.011). No differences in bowel function and quality of life were detected between resections for colonic cancer and diverticulitis.\nCONCLUSION: Most patients experience no limitation in bowel function after segmental colectomy. Those with limitations in bowel function still seem to cope well, as the quality of life is not severely affected. Nevertheless, most patients with lower functional scores also had lower quality of life scores. Whether surgery is a relevant factor has to be questioned, as the prevalence of faecal incontinence in a comparable population without prior surgery is almost identical.","container-title":"Colorectal Disease: The Official Journal of the Association of Coloproctology of Great Britain and Ireland","DOI":"10.1111/codi.13526","ISSN":"1463-1318","issue":"11","journalAbbreviation":"Colorectal Dis","language":"eng","note":"PMID: 27647736","page":"O405-O413","source":"PubMed","title":"Long-term functional outcome of colonic resections: how much does faecal impairment influence quality of life?","title-short":"Long-term functional outcome of colonic resections","volume":"18","author":[{"family":"Magdeburg","given":"J."},{"family":"Glatz","given":"N."},{"family":"Post","given":"S."},{"family":"Kienle","given":"P."},{"family":"Rickert","given":"A."}],"issued":{"date-parts":[["2016",11]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w:t>
      </w:r>
      <w:r w:rsidRPr="00903DE3">
        <w:rPr>
          <w:rFonts w:ascii="Times New Roman" w:hAnsi="Times New Roman"/>
          <w:sz w:val="28"/>
          <w:szCs w:val="28"/>
        </w:rPr>
        <w:fldChar w:fldCharType="end"/>
      </w:r>
      <w:r w:rsidRPr="00903DE3">
        <w:rPr>
          <w:rFonts w:ascii="Times New Roman" w:hAnsi="Times New Roman"/>
          <w:sz w:val="28"/>
          <w:szCs w:val="28"/>
        </w:rPr>
        <w:t>.</w:t>
      </w:r>
    </w:p>
    <w:p w14:paraId="7AB20FAE"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Среди больных, перенесших субтотальную колэктомию с формированием илеосигмоидного или ректального анастомоза по поводу рака ободочной кишки в 79% случаях отмечалось развитие диареи при условиях резецирования более 10 см подвздошной кишки. В случаях резецирования менее 10 см подвздошной кишки и сохранения более 10 см сигмовидной кишки диарея развивалась только у 13% больных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8eL3Ij6A","properties":{"formattedCitation":"[123]","plainCitation":"[123]","noteIndex":0},"citationItems":[{"id":280,"uris":["http://zotero.org/users/7388323/items/YZ48AGKH"],"uri":["http://zotero.org/users/7388323/items/YZ48AGKH"],"itemData":{"id":280,"type":"article-journal","abstract":"BACKGROUND: Subtotal colectomy has been criticized as causing increased frequency of stool passage, thus adding to the patients' morbidity. We review our experience with subtotal colectomy and determine the factors affecting postoperative diarrhea.\nSTUDY DESIGN: One hundred thirty-six patients with colon cancer were treated by primary subtotal colectomy. Of these, 30 percent underwent an emergency resection; 15 percent, semi-emergency resection; and 55 percent, elective subtotal colectomy. There were 29 complications and 3 deaths.\nRESULTS: The incidence of complications was higher when the operation was carried out on an emergency or semi-emergency basis. In assessing the patients' increased postoperative stool frequency, there was no difference between the groups; but, the length of the remaining colon and the resected terminal ileum had a significant effect on postoperative diarrhea. If less than 10 cm of terminal ileum is resected and more than 10 cm of colon is left above the peritoneal reflection, there is a marked decrease in the incidence of diarrhea after subtotal colectomy.\nCONCLUSIONS: Subtotal colectomy is an acceptable treatment for left colonic carcinoma, electively as well as in emergency situations. Postoperative diarrhea can be minimized by attention to the length of small bowel and sigmoid that are resected.","container-title":"Journal of the American College of Surgeons","ISSN":"1072-7515","issue":"3","journalAbbreviation":"J. Am. Coll. Surg.","language":"eng","note":"PMID: 9060924","page":"269-272","source":"PubMed","title":"Avoiding diarrhea after subtotal colectomy with primary anastomosis in the treatment of colon cancer","volume":"184","author":[{"family":"Papa","given":"M. Z."},{"family":"Karni","given":"T."},{"family":"Koller","given":"M."},{"family":"Klein","given":"E."},{"family":"Scott","given":"D."},{"family":"Bersuk","given":"D."},{"family":"Sareli","given":"M."},{"family":"Ben Ari","given":"G."}],"issued":{"date-parts":[["1997",3]]}}}],"schema":"https://github.com/citation-style-language/schema/raw/master/csl-citation.json"}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[161]</w:t>
      </w:r>
      <w:r w:rsidRPr="00903DE3">
        <w:rPr>
          <w:rFonts w:ascii="Times New Roman" w:hAnsi="Times New Roman"/>
          <w:sz w:val="28"/>
          <w:szCs w:val="28"/>
        </w:rPr>
        <w:fldChar w:fldCharType="end"/>
      </w:r>
      <w:r w:rsidRPr="00903DE3">
        <w:rPr>
          <w:rFonts w:ascii="Times New Roman" w:hAnsi="Times New Roman"/>
          <w:sz w:val="28"/>
          <w:szCs w:val="28"/>
        </w:rPr>
        <w:t xml:space="preserve">. </w:t>
      </w:r>
      <w:proofErr w:type="spellStart"/>
      <w:r w:rsidRPr="00903DE3">
        <w:rPr>
          <w:rFonts w:ascii="Times New Roman" w:hAnsi="Times New Roman"/>
          <w:sz w:val="28"/>
          <w:szCs w:val="28"/>
        </w:rPr>
        <w:t>Cummings</w:t>
      </w:r>
      <w:proofErr w:type="spellEnd"/>
      <w:r w:rsidRPr="00903DE3">
        <w:rPr>
          <w:rFonts w:ascii="Times New Roman" w:hAnsi="Times New Roman"/>
          <w:sz w:val="28"/>
          <w:szCs w:val="28"/>
        </w:rPr>
        <w:t xml:space="preserve"> J.H. и соавт.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ZO5iDMgJ","properties":{"formattedCitation":"[124]","plainCitation":"[124]","noteIndex":0},"citationItems":[{"id":279,"uris":["http://zotero.org/users/7388323/items/GHJZ9HGF"],"uri":["http://zotero.org/users/7388323/items/GHJZ9HGF"],"itemData":{"id":279,"type":"article-journal","container-title":"Lancet (London, England)","DOI":"10.1016/s0140-6736(73)90131-1","ISSN":"0140-6736","issue":"7799","journalAbbreviation":"Lancet","language":"eng","note":"PMID: 4121937","page":"344-347","source":"PubMed","title":"Role of the colon in ileal-resection diarrhoea","volume":"1","author":[{"family":"Cummings","given":"J. H."},{"family":"James","given":"W. P."},{"family":"Wiggins","given":"H. S."}],"issued":{"date-parts":[["1973",2,17]]}}}],"schema":"https://github.com/citation-style-language/schema/raw/master/csl-citation.json"}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[162]</w:t>
      </w:r>
      <w:r w:rsidRPr="00903DE3">
        <w:rPr>
          <w:rFonts w:ascii="Times New Roman" w:hAnsi="Times New Roman"/>
          <w:sz w:val="28"/>
          <w:szCs w:val="28"/>
        </w:rPr>
        <w:fldChar w:fldCharType="end"/>
      </w:r>
      <w:r w:rsidRPr="00903DE3">
        <w:rPr>
          <w:rFonts w:ascii="Times New Roman" w:hAnsi="Times New Roman"/>
          <w:sz w:val="28"/>
          <w:szCs w:val="28"/>
        </w:rPr>
        <w:t xml:space="preserve"> и </w:t>
      </w:r>
      <w:proofErr w:type="spellStart"/>
      <w:r w:rsidRPr="00903DE3">
        <w:rPr>
          <w:rFonts w:ascii="Times New Roman" w:hAnsi="Times New Roman"/>
          <w:sz w:val="28"/>
          <w:szCs w:val="28"/>
        </w:rPr>
        <w:t>Mitchell</w:t>
      </w:r>
      <w:proofErr w:type="spellEnd"/>
      <w:r w:rsidRPr="00903DE3">
        <w:rPr>
          <w:rFonts w:ascii="Times New Roman" w:hAnsi="Times New Roman"/>
          <w:sz w:val="28"/>
          <w:szCs w:val="28"/>
        </w:rPr>
        <w:t xml:space="preserve"> J.E. и соавт.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GplbaAIL","properties":{"formattedCitation":"[125]","plainCitation":"[125]","noteIndex":0},"citationItems":[{"id":278,"uris":["http://zotero.org/users/7388323/items/QJQTMRLP"],"uri":["http://zotero.org/users/7388323/items/QJQTMRLP"],"itemData":{"id":278,"type":"article-journal","abstract":"Fecal mass and electrolyte concentrations from 25 ileectomy and/or colectomy patients on known diets were used to assess those factors most responsible for their diarrhea. In 18 ileectomy patients the severity of diarrhea, expressed as a fecal weight, was a function of both percent of colon and centimeters of ileum removed. Linear regression analysis, however, showed that the extent of missing colon had three times the effect of missing ileum on fecal weight. Patients who lost the ileocecal valve and part of the right colon had more diarrhea than those who lost comparable lengths of ileum but had this area preserved. Fecal ion concentrations seemed independent of diet but were related to fecal weight and the amount of colon and ileum removed. Potassium concentration was strongly dependent on the amount of colon lost, while sodium concentration was more influenced by the length of resected ileum. Choloride was most dependent on fecal weight. As expected, fecal fat correlated strongly with the extent of ileum removed. Regresison equations were constructed from the electrolyte data which described and predicted the extent of lost ileum or colon. Our data were also used to separate patients with less than 100 cm of ileum removed from those with more extensive resections. The severity of diarrhea following ileal resection depends primarily on the amount of contiguous colon removed. Varying loss of ileum and colon produced predictable effects on fecal weight and electrolyte composition. Surgeons should preserve the maximum amount of colon possible to reduce the severity of diarrhea in these patients.","container-title":"Digestive Diseases and Sciences","DOI":"10.1007/BF01312730","ISSN":"0163-2116","issue":"1","journalAbbreviation":"Dig. Dis. Sci.","language":"eng","note":"PMID: 7353449","page":"33-41","source":"PubMed","title":"The colon influences ileal resection diarrhea","volume":"25","author":[{"family":"Mitchell","given":"J. E."},{"family":"Breuer","given":"R. I."},{"family":"Zuckerman","given":"L."},{"family":"Berlin","given":"J."},{"family":"Schilli","given":"R."},{"family":"Dunn","given":"J. K."}],"issued":{"date-parts":[["1980",1]]}}}],"schema":"https://github.com/citation-style-language/schema/raw/master/csl-citation.json"}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[163]</w:t>
      </w:r>
      <w:r w:rsidRPr="00903DE3">
        <w:rPr>
          <w:rFonts w:ascii="Times New Roman" w:hAnsi="Times New Roman"/>
          <w:sz w:val="28"/>
          <w:szCs w:val="28"/>
        </w:rPr>
        <w:fldChar w:fldCharType="end"/>
      </w:r>
      <w:r w:rsidRPr="00903DE3">
        <w:rPr>
          <w:rFonts w:ascii="Times New Roman" w:hAnsi="Times New Roman"/>
          <w:sz w:val="28"/>
          <w:szCs w:val="28"/>
        </w:rPr>
        <w:t xml:space="preserve"> сообщили о положительной корреляции между длинной резецированной ободочной кишки и ежедневным весом стула. Особо неблагоприятным считается сочетание нескольких симптомов функциональных осложнений после хирургического лечения рака ободочной кишки и </w:t>
      </w:r>
      <w:proofErr w:type="spellStart"/>
      <w:r w:rsidRPr="00903DE3">
        <w:rPr>
          <w:rFonts w:ascii="Times New Roman" w:hAnsi="Times New Roman"/>
          <w:sz w:val="28"/>
          <w:szCs w:val="28"/>
        </w:rPr>
        <w:t>однонаправленность</w:t>
      </w:r>
      <w:proofErr w:type="spellEnd"/>
      <w:r w:rsidRPr="00903DE3">
        <w:rPr>
          <w:rFonts w:ascii="Times New Roman" w:hAnsi="Times New Roman"/>
          <w:sz w:val="28"/>
          <w:szCs w:val="28"/>
        </w:rPr>
        <w:t xml:space="preserve"> в сторону электролитного и энергетического дисбаланса, нарушений всасывания в кишечнике и как следствие приводящих к снижению веса, кахексии, риску инфекционных осложнений и ослаблению ответа на химиотерапию. </w:t>
      </w:r>
    </w:p>
    <w:p w14:paraId="1C1082D2"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lastRenderedPageBreak/>
        <w:t xml:space="preserve">Частота встречаемости электролитных нарушения у онкологического больного колеблется от 30 до 70%. При этом ряд авторов отмечают, что </w:t>
      </w:r>
      <w:proofErr w:type="spellStart"/>
      <w:r w:rsidRPr="00903DE3">
        <w:rPr>
          <w:rFonts w:ascii="Times New Roman" w:hAnsi="Times New Roman"/>
          <w:sz w:val="28"/>
          <w:szCs w:val="28"/>
        </w:rPr>
        <w:t>гипонатриемия</w:t>
      </w:r>
      <w:proofErr w:type="spellEnd"/>
      <w:r w:rsidRPr="00903DE3">
        <w:rPr>
          <w:rFonts w:ascii="Times New Roman" w:hAnsi="Times New Roman"/>
          <w:sz w:val="28"/>
          <w:szCs w:val="28"/>
        </w:rPr>
        <w:t xml:space="preserve"> и </w:t>
      </w:r>
      <w:proofErr w:type="spellStart"/>
      <w:r w:rsidRPr="00903DE3">
        <w:rPr>
          <w:rFonts w:ascii="Times New Roman" w:hAnsi="Times New Roman"/>
          <w:sz w:val="28"/>
          <w:szCs w:val="28"/>
        </w:rPr>
        <w:t>гипокалиемия</w:t>
      </w:r>
      <w:proofErr w:type="spellEnd"/>
      <w:r w:rsidRPr="00903DE3">
        <w:rPr>
          <w:rFonts w:ascii="Times New Roman" w:hAnsi="Times New Roman"/>
          <w:sz w:val="28"/>
          <w:szCs w:val="28"/>
        </w:rPr>
        <w:t xml:space="preserve"> встречаются в 47-64%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25mcmr4tad","properties":{"formattedCitation":"[126,127]","plainCitation":"[126,127]","noteIndex":0},"citationItems":[{"id":42,"uris":["http://zotero.org/users/7388323/items/EHXY3F39"],"uri":["http://zotero.org/users/7388323/items/EHXY3F39"],"itemData":{"id":42,"type":"article-journal","abstract":"PURPOSE: Hyponatremia is a common and associated with poor clinical outcome in cancer patients. But little is known regarding hyponatremia in terminal cancer patients. The purpose of this study is to investigate the prognostic role of the hyponatremia in terminal cancer patients.\nMETHODS: A retrospective observational study was conducted between January 2010 and December 2012 in a tertiary hospital palliative care unit. Medical records were collected from hospitalized patients who were eligible for obtaining serum sodium level. Hyponatremia was defined as serum sodium &lt;136 mEq/L. And we classified patients into three groups; eunatremia (sodium 136-145 mEq/L), mild to moderate hyponatremia (sodium 126-135 mEq/L), and severe hyponatremia (sodium ≤125 mEq/L). Univariate and multivariate Cox regression analyses were performed to determine factors affecting survival time.\nRESULTS: Of the 576 patients, hyponatremia was present in 367 individuals (63.7 %). In the univariate analysis, serum CRP, PPS, and sodium ≤125 mEq/L were associated with survival time (HR = 1.22; p &lt; 0.001, HR = 0.69; p &lt; 0.001, HR = 1.91; p &lt; 0.001). In the multivariate analysis, serum CRP, PPS, sodium 126-135 mEq/L, and sodium ≤125 mEq/L were associated with survival time (HR = 1.16; p &lt; 0.001, HR = 0.70; p &lt; 0.001, HR = 1.19; p = 0.048, HR = 1.75; p &lt; 0.001).\nCONCLUSIONS: Hyponatremia is an independent prognostic factor in terminal cancer patients and careful clinical concern is needed. In the future, large prospective study is warranted in terminal cancer patients.","container-title":"Supportive Care in Cancer: Official Journal of the Multinational Association of Supportive Care in Cancer","DOI":"10.1007/s00520-014-2522-7","ISSN":"1433-7339","issue":"6","journalAbbreviation":"Support Care Cancer","language":"eng","note":"PMID: 25433438","page":"1735-1740","source":"PubMed","title":"Hyponatremia as an independent prognostic factor in patients with terminal cancer","volume":"23","author":[{"family":"Yoon","given":"Johi"},{"family":"Ahn","given":"Seo Hee"},{"family":"Lee","given":"Yong Joo"},{"family":"Kim","given":"Chul-Min"}],"issued":{"date-parts":[["2015",6]]}}},{"id":75,"uris":["http://zotero.org/users/7388323/items/UYCSHF8Q"],"uri":["http://zotero.org/users/7388323/items/UYCSHF8Q"],"itemData":{"id":75,"type":"article-journal","abstract":"Background: Hyponatremia is the most common electrolyte abnormality in clinical practice, yet little is known about its frequency in patients with cancer or its impact on their clinical outcomes. Study Design: Retrospective analysis of prospectively collected data. Setting &amp; Participants: Patients with cancer admitted to the University of Texas M.D. Anderson Cancer Center in 2006 for 3 months. Predictor: Serum sodium levels categorized as eunatremia (serum sodium, 135-147 mEq/L) and mild (134-130 mEq/L), moderate (129-120 mEq/L), and severe (Ͻ120 mEq/L) hyponatremia. Outcomes: (1) Length of hospital stay and (2) 90-day mortality.\nResults: In 4,702 admissions in 3,357 patients with cancer, hyponatremia (serum sodium Ͻ135 mEq/L) was noted in 47% of admissions. It was mild in 36%, moderate in 10%, and severe in 1%. Hyponatremia was acquired during the hospital stay in 24%. Using the ﬁrst admission data, mean length of stay was 5.6 Ϯ 5.0 days for patients with eunatremia and 9.9 Ϯ 9.2, 13.0 Ϯ 14.1, and 11.5 Ϯ 12.6 days for those with mild, moderate, and severe hyponatremia, respectively. The respective HRs in the multivariate Cox model for longer hospital stay, using patients with eunatremia as reference, were 1.92 (95% CI, 1.75-2.13; P Ͻ 0.01), 2.94 (95% CI, 2.56-3.45; P Ͻ 0.01), and 2.32 (95% CI, 1.32-4.00; P ϭ 0.01). 283 (8.4%) deaths occurred during 90 days, and in the multivariate model, the respective HRs for 90-day mortality for mild, moderate, and severe hyponatremia were 2.04 (95% CI, 1.42-2.91; P Ͻ 0.01); 4.74 (95% CI, 3.21-7.01; P Ͻ 0.01), and 3.46 (95% CI, 1.05-11.44; P ϭ 0.04). These ﬁndings were consistent when analyses were repeated with sodium levels in tertiles. Limitations: Observational study, retrospective, inability to adjust for all comorbid conditions.\nConclusion: Hyponatremia in patients with cancer is associated with longer hospital stay and higher mortality. Whether long-term correction of hyponatremia would improve these outcomes remains to be determined. Am J Kidney Dis. 59(2):222-228. © 2012 by the National Kidney Foundation, Inc.","container-title":"American Journal of Kidney Diseases","DOI":"10.1053/j.ajkd.2011.08.029","ISSN":"02726386","issue":"2","journalAbbreviation":"American Journal of Kidney Diseases","language":"en","page":"222-228","source":"DOI.org (Crossref)","title":"Hyponatremia in Hospitalized Cancer Patients and Its Impact on Clinical Outcomes","URL":"https://linkinghub.elsevier.com/retrieve/pii/S027263861101314X","volume":"59","author":[{"family":"Doshi","given":"Simit M."},{"family":"Shah","given":"Pankaj"},{"family":"Lei","given":"Xiudong"},{"family":"Lahoti","given":"Amit"},{"family":"Salahudeen","given":"Abdulla K."}],"accessed":{"date-parts":[["2020",8,8]]},"issued":{"date-parts":[["2012",2]]}}}],"schema":"https://github.com/citation-style-language/schema/raw/master/csl-citation.json"}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[164, 165]</w:t>
      </w:r>
      <w:r w:rsidRPr="00903DE3">
        <w:rPr>
          <w:rFonts w:ascii="Times New Roman" w:hAnsi="Times New Roman"/>
          <w:sz w:val="28"/>
          <w:szCs w:val="28"/>
        </w:rPr>
        <w:fldChar w:fldCharType="end"/>
      </w:r>
      <w:r w:rsidRPr="00903DE3">
        <w:rPr>
          <w:rFonts w:ascii="Times New Roman" w:hAnsi="Times New Roman"/>
          <w:sz w:val="28"/>
          <w:szCs w:val="28"/>
        </w:rPr>
        <w:t xml:space="preserve"> и 41-48%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8lfsuekbq","properties":{"formattedCitation":"[128]","plainCitation":"[128]","noteIndex":0},"citationItems":[{"id":38,"uris":["http://zotero.org/users/7388323/items/NI94977B"],"uri":["http://zotero.org/users/7388323/items/NI94977B"],"itemData":{"id":38,"type":"webpage","title":"Incidence and impact of baseline electrolyte abnormalities in patients admitted with chemotherapy induced febrile neutropenia - PubMed","URL":"https://pubmed.ncbi.nlm.nih.gov/21326626/","accessed":{"date-parts":[["2021",1,10]]}}}],"schema":"https://github.com/citation-style-language/schema/raw/master/csl-citation.json"}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[166]</w:t>
      </w:r>
      <w:r w:rsidRPr="00903DE3">
        <w:rPr>
          <w:rFonts w:ascii="Times New Roman" w:hAnsi="Times New Roman"/>
          <w:sz w:val="28"/>
          <w:szCs w:val="28"/>
        </w:rPr>
        <w:fldChar w:fldCharType="end"/>
      </w:r>
      <w:r w:rsidRPr="00903DE3">
        <w:rPr>
          <w:rFonts w:ascii="Times New Roman" w:hAnsi="Times New Roman"/>
          <w:sz w:val="28"/>
          <w:szCs w:val="28"/>
        </w:rPr>
        <w:t xml:space="preserve"> случаях соответственно. Снижение объема циркулирующей крови – основная причина </w:t>
      </w:r>
      <w:proofErr w:type="spellStart"/>
      <w:r w:rsidRPr="00903DE3">
        <w:rPr>
          <w:rFonts w:ascii="Times New Roman" w:hAnsi="Times New Roman"/>
          <w:sz w:val="28"/>
          <w:szCs w:val="28"/>
        </w:rPr>
        <w:t>гипонатриемии</w:t>
      </w:r>
      <w:proofErr w:type="spellEnd"/>
      <w:r w:rsidRPr="00903DE3">
        <w:rPr>
          <w:rFonts w:ascii="Times New Roman" w:hAnsi="Times New Roman"/>
          <w:sz w:val="28"/>
          <w:szCs w:val="28"/>
        </w:rPr>
        <w:t xml:space="preserve">, которая обычно </w:t>
      </w:r>
      <w:proofErr w:type="gramStart"/>
      <w:r w:rsidRPr="00903DE3">
        <w:rPr>
          <w:rFonts w:ascii="Times New Roman" w:hAnsi="Times New Roman"/>
          <w:sz w:val="28"/>
          <w:szCs w:val="28"/>
        </w:rPr>
        <w:t>возникает  при</w:t>
      </w:r>
      <w:proofErr w:type="gramEnd"/>
      <w:r w:rsidRPr="00903DE3">
        <w:rPr>
          <w:rFonts w:ascii="Times New Roman" w:hAnsi="Times New Roman"/>
          <w:sz w:val="28"/>
          <w:szCs w:val="28"/>
        </w:rPr>
        <w:t xml:space="preserve"> кровотечении, диарее, рвоте, асците, перитоните или кишечной непроходимости. Нутритивная недостаточность, анорексия, рвота и диарея могут быть причиной гипокалиемии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j9880sm3","properties":{"formattedCitation":"[129]","plainCitation":"[129]","noteIndex":0},"citationItems":[{"id":33,"uris":["http://zotero.org/users/7388323/items/WJ9EKZ9K"],"uri":["http://zotero.org/users/7388323/items/WJ9EKZ9K"],"itemData":{"id":33,"type":"article-journal","abstract":"Patients with cancer frequently exhibit acid-base and electrolyte disturbances that complicate their management and prolong their hospitalization. The mechanisms encountered for these abnormalities are multifactorial in origin. Both the underlying disease and the therapeutic interventions can contribute to the development of these disturbances. An understanding of the mechanisms involved in their pathogenesis is of paramount importance for their prevention and treatment in cancer patients. This article briefly reviews the causes and the pathophysiology of acid-base and electrolyte abnormalities observed in cancer patients.","container-title":"European Journal of Internal Medicine","DOI":"10.1016/j.ejim.2007.04.016","ISSN":"1879-0828","issue":"1","journalAbbreviation":"Eur J Intern Med","language":"eng","note":"PMID: 18206594","page":"1-7","source":"PubMed","title":"Causes and mechanisms of acid-base and electrolyte abnormalities in cancer patients","volume":"19","author":[{"family":"Miltiadous","given":"George"},{"family":"Christidis","given":"Dimitrios"},{"family":"Kalogirou","given":"Michalis"},{"family":"Elisaf","given":"Moses"}],"issued":{"date-parts":[["2008",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[167]</w:t>
      </w:r>
      <w:r w:rsidRPr="00903DE3">
        <w:rPr>
          <w:rFonts w:ascii="Times New Roman" w:hAnsi="Times New Roman"/>
          <w:sz w:val="28"/>
          <w:szCs w:val="28"/>
        </w:rPr>
        <w:fldChar w:fldCharType="end"/>
      </w:r>
      <w:r w:rsidRPr="00903DE3">
        <w:rPr>
          <w:rFonts w:ascii="Times New Roman" w:hAnsi="Times New Roman"/>
          <w:sz w:val="28"/>
          <w:szCs w:val="28"/>
        </w:rPr>
        <w:t xml:space="preserve">. Возникновение </w:t>
      </w:r>
      <w:proofErr w:type="spellStart"/>
      <w:r w:rsidRPr="00903DE3">
        <w:rPr>
          <w:rFonts w:ascii="Times New Roman" w:hAnsi="Times New Roman"/>
          <w:sz w:val="28"/>
          <w:szCs w:val="28"/>
        </w:rPr>
        <w:t>гипокальциемии</w:t>
      </w:r>
      <w:proofErr w:type="spellEnd"/>
      <w:r w:rsidRPr="00903DE3">
        <w:rPr>
          <w:rFonts w:ascii="Times New Roman" w:hAnsi="Times New Roman"/>
          <w:sz w:val="28"/>
          <w:szCs w:val="28"/>
        </w:rPr>
        <w:t xml:space="preserve"> может быть следствием недостаточности питания, </w:t>
      </w:r>
      <w:proofErr w:type="spellStart"/>
      <w:r w:rsidRPr="00903DE3">
        <w:rPr>
          <w:rFonts w:ascii="Times New Roman" w:hAnsi="Times New Roman"/>
          <w:sz w:val="28"/>
          <w:szCs w:val="28"/>
        </w:rPr>
        <w:t>гипоальбуминемии</w:t>
      </w:r>
      <w:proofErr w:type="spellEnd"/>
      <w:r w:rsidRPr="00903DE3">
        <w:rPr>
          <w:rFonts w:ascii="Times New Roman" w:hAnsi="Times New Roman"/>
          <w:sz w:val="28"/>
          <w:szCs w:val="28"/>
        </w:rPr>
        <w:t xml:space="preserve">, сепсиса или синдрома распада опухоли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lfqlpdo94","properties":{"formattedCitation":"[130,131]","plainCitation":"[130,131]","noteIndex":0},"citationItems":[{"id":32,"uris":["http://zotero.org/users/7388323/items/D3J6MS8Z"],"uri":["http://zotero.org/users/7388323/items/D3J6MS8Z"],"itemData":{"id":32,"type":"webpage","title":"The multifactorial basis for hypocalcemia during sepsis. Studies of the parathyroid hormone-vitamin D axis - PubMed","URL":"https://pubmed.ncbi.nlm.nih.gov/3592447/","accessed":{"date-parts":[["2021",1,11]]}}},{"id":31,"uris":["http://zotero.org/users/7388323/items/U2J2WIGB"],"uri":["http://zotero.org/users/7388323/items/U2J2WIGB"],"itemData":{"id":31,"type":"article-journal","abstract":"Hypocalcemia based on total calcium measurement is frequent in certain cancers (especially prostate) in association with osteosclerotic bone metastases. In a majority of these patients hypocalcemia is related to the low serum albumin and/or renal failure. True ionized hypocalcemia may be seen as a toxic effect of certain chemotherapeutic agents or as a consequence of hyperphosphatemia due to rapid tumor lysis. In addition, tumors may produce osteoblast-stimulating factor(s) which cause massive accretion of calcium by the skeleton. Isolation and purification of these factors may provide us with unique osteoblast-stimulating factors which may have therapeutic applications.","container-title":"Bone and Mineral","DOI":"10.1016/0169-6009(90)90259-i","ISSN":"0169-6009","issue":"3","journalAbbreviation":"Bone Miner","language":"eng","note":"PMID: 2224203","page":"161-169","source":"PubMed","title":"Hypocalcemia in cancer","volume":"10","author":[{"family":"Abramson","given":"E. C."},{"family":"Gajardo","given":"H."},{"family":"Kukreja","given":"S. C."}],"issued":{"date-parts":[["1990",9]]}}}],"schema":"https://github.com/citation-style-language/schema/raw/master/csl-citation.json"}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[168, 169]</w:t>
      </w:r>
      <w:r w:rsidRPr="00903DE3">
        <w:rPr>
          <w:rFonts w:ascii="Times New Roman" w:hAnsi="Times New Roman"/>
          <w:sz w:val="28"/>
          <w:szCs w:val="28"/>
        </w:rPr>
        <w:fldChar w:fldCharType="end"/>
      </w:r>
      <w:r w:rsidRPr="00903DE3">
        <w:rPr>
          <w:rFonts w:ascii="Times New Roman" w:hAnsi="Times New Roman"/>
          <w:sz w:val="28"/>
          <w:szCs w:val="28"/>
        </w:rPr>
        <w:t>.</w:t>
      </w:r>
    </w:p>
    <w:p w14:paraId="40776876"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Возникновение электролитных нарушений может вызвать такие симптомы, как делирий, усталость, запор, тошнота, рвота, в некоторых случаях являясь причиной смерти больных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m9ibnsmit","properties":{"formattedCitation":"[132,133]","plainCitation":"[132,133]","noteIndex":0},"citationItems":[{"id":78,"uris":["http://zotero.org/users/7388323/items/86U3RYFP"],"uri":["http://zotero.org/users/7388323/items/86U3RYFP"],"itemData":{"id":78,"type":"article-journal","abstract":"Electrolyte disturbances are frequently encountered in critically ill oncology patients. Hyponatremia and hypernatremia as well as hypocalcemia and hypercalcemia are among the most commonly encountered electrolyte abnormalities. In the intensive care unit, management of critical electrolyte disturbances is focused on initial evaluation and immediate treatment plan to prevent severe complications. A PubMed search was performed to identify best available evidence for evaluation and management of dysnatremias, hypocalcemia, and hypercalcemia. Current literature was reviewed regarding the management of electrolyte disturbances. The role of new therapeutic options, for example, vaptans for hyponatremia, teriparatide for hypocalcemia, and denosumab for hypercalcemia, is discussed. Early diagnosis and appropriate management are expected to reduce adverse outcomes.","container-title":"Journal of Intensive Care Medicine","DOI":"10.1177/0885066617706650","ISSN":"0885-0666, 1525-1489","issue":"3","journalAbbreviation":"J Intensive Care Med","language":"en","page":"147-158","source":"DOI.org (Crossref)","title":"Electrolyte Disturbances in Critically Ill Cancer Patients: An Endocrine Perspective","title-short":"Electrolyte Disturbances in Critically Ill Cancer Patients","URL":"http://journals.sagepub.com/doi/10.1177/0885066617706650","volume":"33","author":[{"family":"Khan","given":"Maryam I."},{"family":"Dellinger","given":"R. Phillip"},{"family":"Waguespack","given":"Steven G."}],"accessed":{"date-parts":[["2020",8,8]]},"issued":{"date-parts":[["2018",3]]}}},{"id":36,"uris":["http://zotero.org/users/7388323/items/KLGZX9DV"],"uri":["http://zotero.org/users/7388323/items/KLGZX9DV"],"itemData":{"id":36,"type":"article-journal","abstract":"Hyponatraemia is common in patients with cancer. The objectives of this study are to investigate the severity distribution of hyponatraemia and its association with mortality. We retrospectively reviewed medical records for patients admitted to a national centre for cancer care and research in Qatar between 2008 and 2012. A model was built through multivariate analyses to investigate the role of hyponatraemia in mortality. Patients were grouped into those who had moderate-severe hyponatraemia (Na &lt; 130) and those who only had normal-mild hyponatraemia (Na ≥ 130). A total of 2048 patients were included in this study. Prostate (57.1%), pancreatic (50%), liver (49%) and lung (40.2%) cancers showed the highest frequency of moderate-severe hyponatraemia, while breast cancer showed the lowest frequency at 23.5%. In the multivariate analyses, patients with moderate-severe hyponatraemia (Na &lt; 130 mmol/L) were 4.28 times more likely to die than those with normal-mild hyponatraemia (Na ≥ 130) (P &lt; 0.05). The present study shows that hyponatraemia is a common electrolyte disturbance among hospitalised patients with cancer diagnoses. The severity of hyponatraemia was a statistically significant independent factor associated with higher in-hospital mortality. This is in accordance with the reported literature and emphasises the importance of early diagnosis and correction of hyponatraemia.","container-title":"European Journal of Cancer Care","DOI":"10.1111/ecc.12187","ISSN":"1365-2354","issue":"2","journalAbbreviation":"Eur J Cancer Care (Engl)","language":"eng","note":"PMID: 24661476","page":"224-231","source":"PubMed","title":"Hyponatraemia in cancer: association with type of cancer and mortality","title-short":"Hyponatraemia in cancer","volume":"24","author":[{"family":"Abu Zeinah","given":"G. F."},{"family":"Al-Kindi","given":"S. G."},{"family":"Hassan","given":"A. A."},{"family":"Allam","given":"A."}],"issued":{"date-parts":[["2015",3]]}}}],"schema":"https://github.com/citation-style-language/schema/raw/master/csl-citation.json"}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[170, 171]</w:t>
      </w:r>
      <w:r w:rsidRPr="00903DE3">
        <w:rPr>
          <w:rFonts w:ascii="Times New Roman" w:hAnsi="Times New Roman"/>
          <w:sz w:val="28"/>
          <w:szCs w:val="28"/>
        </w:rPr>
        <w:fldChar w:fldCharType="end"/>
      </w:r>
      <w:r w:rsidRPr="00903DE3">
        <w:rPr>
          <w:rFonts w:ascii="Times New Roman" w:hAnsi="Times New Roman"/>
          <w:sz w:val="28"/>
          <w:szCs w:val="28"/>
        </w:rPr>
        <w:t xml:space="preserve">. Электролитные нарушения у онкологических больных в основном связаны с хирургическим вмешательством или химиотерапией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o8ruv9qg9","properties":{"formattedCitation":"[129]","plainCitation":"[129]","noteIndex":0},"citationItems":[{"id":33,"uris":["http://zotero.org/users/7388323/items/WJ9EKZ9K"],"uri":["http://zotero.org/users/7388323/items/WJ9EKZ9K"],"itemData":{"id":33,"type":"article-journal","abstract":"Patients with cancer frequently exhibit acid-base and electrolyte disturbances that complicate their management and prolong their hospitalization. The mechanisms encountered for these abnormalities are multifactorial in origin. Both the underlying disease and the therapeutic interventions can contribute to the development of these disturbances. An understanding of the mechanisms involved in their pathogenesis is of paramount importance for their prevention and treatment in cancer patients. This article briefly reviews the causes and the pathophysiology of acid-base and electrolyte abnormalities observed in cancer patients.","container-title":"European Journal of Internal Medicine","DOI":"10.1016/j.ejim.2007.04.016","ISSN":"1879-0828","issue":"1","journalAbbreviation":"Eur J Intern Med","language":"eng","note":"PMID: 18206594","page":"1-7","source":"PubMed","title":"Causes and mechanisms of acid-base and electrolyte abnormalities in cancer patients","volume":"19","author":[{"family":"Miltiadous","given":"George"},{"family":"Christidis","given":"Dimitrios"},{"family":"Kalogirou","given":"Michalis"},{"family":"Elisaf","given":"Moses"}],"issued":{"date-parts":[["2008",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[167]</w:t>
      </w:r>
      <w:r w:rsidRPr="00903DE3">
        <w:rPr>
          <w:rFonts w:ascii="Times New Roman" w:hAnsi="Times New Roman"/>
          <w:sz w:val="28"/>
          <w:szCs w:val="28"/>
        </w:rPr>
        <w:fldChar w:fldCharType="end"/>
      </w:r>
      <w:r w:rsidRPr="00903DE3">
        <w:rPr>
          <w:rFonts w:ascii="Times New Roman" w:hAnsi="Times New Roman"/>
          <w:sz w:val="28"/>
          <w:szCs w:val="28"/>
        </w:rPr>
        <w:t xml:space="preserve">. Удаление части ободочной кишки и формирование илеостомы неизменно ведет к электролитному дисбалансу. Даже в случае </w:t>
      </w:r>
      <w:proofErr w:type="spellStart"/>
      <w:r w:rsidRPr="00903DE3">
        <w:rPr>
          <w:rFonts w:ascii="Times New Roman" w:hAnsi="Times New Roman"/>
          <w:sz w:val="28"/>
          <w:szCs w:val="28"/>
        </w:rPr>
        <w:t>интактной</w:t>
      </w:r>
      <w:proofErr w:type="spellEnd"/>
      <w:r w:rsidRPr="00903DE3">
        <w:rPr>
          <w:rFonts w:ascii="Times New Roman" w:hAnsi="Times New Roman"/>
          <w:sz w:val="28"/>
          <w:szCs w:val="28"/>
        </w:rPr>
        <w:t xml:space="preserve"> подвздошной кишки и хорошо функционирующей илеостомы ежедневные потери жидкости составляют от 200 до 1000 мл, которая содержит от 40 до 100 ммоль натрия, от 15 до 30 ммоль бикарбоната и 5 ммоль калия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d74datg9j","properties":{"formattedCitation":"[134]","plainCitation":"[134]","noteIndex":0},"citationItems":[{"id":30,"uris":["http://zotero.org/users/7388323/items/GS3SQ767"],"uri":["http://zotero.org/users/7388323/items/GS3SQ767"],"itemData":{"id":30,"type":"article-journal","abstract":"Ileostomy function was studied in 12 patients with an established ileostomy following proctocolectomy, in 6 of whom minimal amounts (less than 9 cm) and in 6 significant amounts (30-120 cm, mean 60 cm) of terminal ileum had been removed. Patients who had undergone significant ileal resection had daily faecal volumes considerably greater than those with minimal ileal resection (1202 +/- 284 ml versus 401 +/- 92 ml, P less than 0.001), and also greater daily outputs of sodium (146 +/- 53 mEq versus 43 +/- 12 mEq) and potassium (12.7 +/- 9.0 mEq versus 4.0 +/- 0.99 mEq). The percentage water content of the ileostomy fluid was greater in patients who had had the ileum resected (93.1 +/- 1.8% versus 89.8 +/- 2.5%). In addition, the sodium/potassium ratio in the urine in patients with a properly acting ileostomy after ileal resection was low. It is concluded that when recurrent inflammatory bowel disease, partial small bowel obstruction and intraperitoneal sepsis have been excluded there remains a number of patients whose high ileostomy output is due entirely to the amount of ileum resected. The management of patients with a high output ileostomy with codeine phosphate, Lomotil and oral administration of sodium chloride tablets is discussed.","container-title":"The British Journal of Surgery","DOI":"10.1002/bjs.1800620912","ISSN":"0007-1323","issue":"9","journalAbbreviation":"Br J Surg","language":"eng","note":"PMID: 1174816","page":"720-726","source":"PubMed","title":"Cause and management of high volume output salt-depleting ileostomy","volume":"62","author":[{"family":"Hill","given":"G. L."},{"family":"Mair","given":"W. S."},{"family":"Goligher","given":"J. C."}],"issued":{"date-parts":[["1975",9]]}}}],"schema":"https://github.com/citation-style-language/schema/raw/master/csl-citation.json"}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[172]</w:t>
      </w:r>
      <w:r w:rsidRPr="00903DE3">
        <w:rPr>
          <w:rFonts w:ascii="Times New Roman" w:hAnsi="Times New Roman"/>
          <w:sz w:val="28"/>
          <w:szCs w:val="28"/>
        </w:rPr>
        <w:fldChar w:fldCharType="end"/>
      </w:r>
      <w:r w:rsidRPr="00903DE3">
        <w:rPr>
          <w:rFonts w:ascii="Times New Roman" w:hAnsi="Times New Roman"/>
          <w:sz w:val="28"/>
          <w:szCs w:val="28"/>
        </w:rPr>
        <w:t xml:space="preserve">. Большинство пациентов адаптируются к ежедневным потерям воды и электролитов, однако при выделении жидкости более 1000 мл, больные нуждаются в коррекции электролитного баланса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chod5hbke","properties":{"formattedCitation":"[134]","plainCitation":"[134]","noteIndex":0},"citationItems":[{"id":30,"uris":["http://zotero.org/users/7388323/items/GS3SQ767"],"uri":["http://zotero.org/users/7388323/items/GS3SQ767"],"itemData":{"id":30,"type":"article-journal","abstract":"Ileostomy function was studied in 12 patients with an established ileostomy following proctocolectomy, in 6 of whom minimal amounts (less than 9 cm) and in 6 significant amounts (30-120 cm, mean 60 cm) of terminal ileum had been removed. Patients who had undergone significant ileal resection had daily faecal volumes considerably greater than those with minimal ileal resection (1202 +/- 284 ml versus 401 +/- 92 ml, P less than 0.001), and also greater daily outputs of sodium (146 +/- 53 mEq versus 43 +/- 12 mEq) and potassium (12.7 +/- 9.0 mEq versus 4.0 +/- 0.99 mEq). The percentage water content of the ileostomy fluid was greater in patients who had had the ileum resected (93.1 +/- 1.8% versus 89.8 +/- 2.5%). In addition, the sodium/potassium ratio in the urine in patients with a properly acting ileostomy after ileal resection was low. It is concluded that when recurrent inflammatory bowel disease, partial small bowel obstruction and intraperitoneal sepsis have been excluded there remains a number of patients whose high ileostomy output is due entirely to the amount of ileum resected. The management of patients with a high output ileostomy with codeine phosphate, Lomotil and oral administration of sodium chloride tablets is discussed.","container-title":"The British Journal of Surgery","DOI":"10.1002/bjs.1800620912","ISSN":"0007-1323","issue":"9","journalAbbreviation":"Br J Surg","language":"eng","note":"PMID: 1174816","page":"720-726","source":"PubMed","title":"Cause and management of high volume output salt-depleting ileostomy","volume":"62","author":[{"family":"Hill","given":"G. L."},{"family":"Mair","given":"W. S."},{"family":"Goligher","given":"J. C."}],"issued":{"date-parts":[["1975",9]]}}}],"schema":"https://github.com/citation-style-language/schema/raw/master/csl-citation.json"}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[172]</w:t>
      </w:r>
      <w:r w:rsidRPr="00903DE3">
        <w:rPr>
          <w:rFonts w:ascii="Times New Roman" w:hAnsi="Times New Roman"/>
          <w:sz w:val="28"/>
          <w:szCs w:val="28"/>
        </w:rPr>
        <w:fldChar w:fldCharType="end"/>
      </w:r>
      <w:r w:rsidRPr="00903DE3">
        <w:rPr>
          <w:rFonts w:ascii="Times New Roman" w:hAnsi="Times New Roman"/>
          <w:sz w:val="28"/>
          <w:szCs w:val="28"/>
        </w:rPr>
        <w:t>.</w:t>
      </w:r>
    </w:p>
    <w:p w14:paraId="3FEF5D38"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Следовательно, раннее выявление и своевременная коррекция электролитных нарушений может улучшить краткосрочные результаты и КЖ больных после хирургического лечения рака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67ie7nmn","properties":{"formattedCitation":"[135]","plainCitation":"[135]","noteIndex":0},"citationItems":[{"id":34,"uris":["http://zotero.org/users/7388323/items/ZJE64SBZ"],"uri":["http://zotero.org/users/7388323/items/ZJE64SBZ"],"itemData":{"id":34,"type":"article-journal","container-title":"Anticancer Research","DOI":"10.21873/anticanres.11872","ISSN":"02507005, 17917530","issue":"8","journalAbbreviation":"AR","language":"en","source":"DOI.org (Crossref)","title":"Clinical Characteristics and Prognosis of Elderly Small Cell Lung Cancer Patients Complicated with Hyponatremia: A Retrospective Analysis","title-short":"Clinical Characteristics and Prognosis of Elderly Small Cell Lung Cancer Patients Complicated with Hyponatremia","URL":"http://ar.iiarjournals.org/content/37/8/4681.abstract","volume":"37","accessed":{"date-parts":[["2021",1,11]]},"issued":{"date-parts":[["2017",7,20]]}}}],"schema":"https://github.com/citation-style-language/schema/raw/master/csl-citation.json"}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[173]</w:t>
      </w:r>
      <w:r w:rsidRPr="00903DE3">
        <w:rPr>
          <w:rFonts w:ascii="Times New Roman" w:hAnsi="Times New Roman"/>
          <w:sz w:val="28"/>
          <w:szCs w:val="28"/>
        </w:rPr>
        <w:fldChar w:fldCharType="end"/>
      </w:r>
      <w:r w:rsidRPr="00903DE3">
        <w:rPr>
          <w:rFonts w:ascii="Times New Roman" w:hAnsi="Times New Roman"/>
          <w:sz w:val="28"/>
          <w:szCs w:val="28"/>
        </w:rPr>
        <w:t>.</w:t>
      </w:r>
    </w:p>
    <w:p w14:paraId="5CD80BD4"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Потеря веса с развитием нутритивной недостаточности характерна для больных со злокачественным новообразованием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22vnuck4g9","properties":{"formattedCitation":"[136]","plainCitation":"[136]","noteIndex":0},"citationItems":[{"id":736,"uris":["http://zotero.org/users/7388323/items/U9VQU9MN"],"uri":["http://zotero.org/users/7388323/items/U9VQU9MN"],"itemData":{"id":736,"type":"article-journal","abstract":"BACKGROUND AND AIMS: The aim of this study was to evaluate on 1 day the prevalence of malnutrition in different types of cancer and the use of nutrition support in patients with cancer.\nMETHODS: A 1-day prevalence survey was carried out in 154 French hospital wards. Malnutrition was defined as a body mass index (BMI) &lt;18.5 in patients &lt;75 years old or &lt;21 in patients ≥75 years old and/or body weight loss &gt;10% since disease onset. Oral food intake was measured using a visual analog scale.\nRESULTS: Nutrition status was collected for 1903 patients (1109 men and 794 women, 59.3 ± 13.2 years). Cancer was local in 25%, regional in 31%, and metastatic in 44% of patients. Performance status was 0 or 1 in 49.8%, 2 in 23.7%, 3 or 4 in 19.6% and not available in 6.5% of patients. Overall, 39% of patients were malnourished. The prevalence of malnutrition by disease site was as follows: head and neck, 48.9%; leukemia/lymphoma, 34.0%; lung, 45.3%; colon/rectum, 39.3%; esophagus and/or stomach, 60.2%; pancreas, 66.7%; breast, 20.5%; ovaries/uterus, 44.8%; and prostate, 13.9%. Regional cancer (odds ratio, 1.96; 95% confidence interval, 1.42-2.70), metastatic cancer (2.97; 2.14-4.12), previous chemotherapy (1.41; 1.05-1.89), and previous radiotherapy (1.53; 1.21-1.92) were associated with malnutrition. Only 28.4% of non-malnourished patients and 57.6% of malnourished patients received nutrition support. In all, 55% of patients stated that they were eating less than before the cancer, while 41.4% of patients stated that they had received nutrition counseling.\nCONCLUSIONS: The prevalence of malnutrition is high in patients with cancer, and systematic screening for and treatment of malnutrition is necessary.","container-title":"JPEN. Journal of parenteral and enteral nutrition","DOI":"10.1177/0148607113502674","ISSN":"1941-2444","issue":"2","journalAbbreviation":"JPEN J Parenter Enteral Nutr","language":"eng","note":"PMID: 24748626","page":"196-204","source":"PubMed","title":"Prevalence of malnutrition and current use of nutrition support in patients with cancer","volume":"38","author":[{"family":"Hébuterne","given":"Xavier"},{"family":"Lemarié","given":"Etienne"},{"family":"Michallet","given":"Mauricette"},{"family":"Montreuil","given":"Claude Beauvillain","non-dropping-particle":"de"},{"family":"Schneider","given":"Stéphane Michel"},{"family":"Goldwasser","given":"François"}],"issued":{"date-parts":[["2014",2]]}}}],"schema":"https://github.com/citation-style-language/schema/raw/master/csl-citation.json"}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[174]</w:t>
      </w:r>
      <w:r w:rsidRPr="00903DE3">
        <w:rPr>
          <w:rFonts w:ascii="Times New Roman" w:hAnsi="Times New Roman"/>
          <w:sz w:val="28"/>
          <w:szCs w:val="28"/>
        </w:rPr>
        <w:fldChar w:fldCharType="end"/>
      </w:r>
      <w:r w:rsidRPr="00903DE3">
        <w:rPr>
          <w:rFonts w:ascii="Times New Roman" w:hAnsi="Times New Roman"/>
          <w:sz w:val="28"/>
          <w:szCs w:val="28"/>
        </w:rPr>
        <w:t xml:space="preserve">. Этому способствуют множество факторов, связанные как с самой опухолью, так и с хирургическим и/или лекарственным лечением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idmedfd28","properties":{"formattedCitation":"[137]","plainCitation":"[137]","noteIndex":0},"citationItems":[{"id":738,"uris":["http://zotero.org/users/7388323/items/CWYFRAYC"],"uri":["http://zotero.org/users/7388323/items/CWYFRAYC"],"itemData":{"id":738,"type":"article-journal","abstract":"Weight loss is common in patients with cancer. Many factors, such as physiological abnormalities, response to the tumour, and treatment, contribute to this weight loss. Cancer-related weight loss affects a patient's response to treatment, as well as survival and quality of life. Several nutritional screening and assessment tools have been developed for patients with cancer. This review describes the weight loss seen in patients with cancer as well as the methods of screening for nutritional deterioration and weight loss early in a cancer diagnosis. Nutritional approaches to the supportive care of patients with cancer are also discussed.","container-title":"The Lancet. Oncology","DOI":"10.1016/S1470-2045(05)70170-4","ISSN":"1470-2045","issue":"5","journalAbbreviation":"Lancet Oncol","language":"eng","note":"PMID: 15863382","page":"334-343","source":"PubMed","title":"Importance of nutritional screening in treatment of cancer-related weight loss","volume":"6","author":[{"family":"Huhmann","given":"Maureen B."},{"family":"Cunningham","given":"Regina S."}],"issued":{"date-parts":[["2005",5]]}}}],"schema":"https://github.com/citation-style-language/schema/raw/master/csl-citation.json"}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[175]</w:t>
      </w:r>
      <w:r w:rsidRPr="00903DE3">
        <w:rPr>
          <w:rFonts w:ascii="Times New Roman" w:hAnsi="Times New Roman"/>
          <w:sz w:val="28"/>
          <w:szCs w:val="28"/>
        </w:rPr>
        <w:fldChar w:fldCharType="end"/>
      </w:r>
      <w:r w:rsidRPr="00903DE3">
        <w:rPr>
          <w:rFonts w:ascii="Times New Roman" w:hAnsi="Times New Roman"/>
          <w:sz w:val="28"/>
          <w:szCs w:val="28"/>
        </w:rPr>
        <w:t xml:space="preserve">. Объемная хирургическая операция на ЖКТ является фактором для развития нутритивной недостаточности у больных в реабилитационном периоде. Как показывают исследования 20% больных через 6 недель после операции на ЖКТ имели признаки нутритивной недостаточности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djubmuirg","properties":{"formattedCitation":"[138]","plainCitation":"[138]","noteIndex":0},"citationItems":[{"id":770,"uris":["http://zotero.org/users/7388323/items/GPVVDNK6"],"uri":["http://zotero.org/users/7388323/items/GPVVDNK6"],"itemData":{"id":770,"type":"article-journal","abstract":"BACKGROUND: Patients who undergo surgery are at risk of malnutrition due to periods of starvation, the stress of surgery, and subsequent increase in metabolic rate. There are limited data on nutritional outcome of surgical patients.\nAIMS: To investigate changes in nutritional status and the influence of oral supplements on nutritional status, morbidity, and quality of life in postoperative surgical patients.\nMETHODS: Entry was determined by the presence of malnutrition, as defined by a body mass index (BMI) &lt; or =20 kg/m(2), anthropometric measurements &lt; or =15th percentile on admission, or initiation of oral diet postoperatively and/or a weight loss of 5% or more during the operative period. We studied 101 patients: 52 were randomised to the treatment group (TG) and prescribed a 1.5 kcal/ml nutritional supplement; 49 patients were randomised to the control group (CG) and continued with routine nutritional management. Nutritional status was assessed by weight, anthropometry, and grip strength, with measurements taken at two weekly intervals for 10 weeks. Complications, namely wound infection, chest infection, and antibiotic use were documented. Quality of life (QOL) was assessed using the UK SF-36 questionnaire.\nRESULTS: Patients in the control group lost a maximum mean (SD) of 5.96 (4.21) kg in weight over a period of eight weeks while patients in group TG lost less weight overall (maximum mean (SD) 3.40 (0.89) kg (p&lt;0.001) occurring at four weeks and progressively regained weight from week 4). Anthropometry, grip strength, and QOL were similarly significantly different between groups (p&lt;0.001). Fewer patients in the treatment group (7/52) required antibiotic prescriptions compared with the control group (15/49).\nCONCLUSIONS: Nutritional status declined for two months after discharge. Postoperative nutritional supplementation improved nutritional status, QOL, and morbidity in these patients.","container-title":"Gut","DOI":"10.1136/gut.46.6.813","ISSN":"0017-5749","issue":"6","journalAbbreviation":"Gut","language":"eng","note":"PMID: 10807893\nPMCID: PMC1756438","page":"813-818","source":"PubMed","title":"A randomised controlled trial evaluating the use of enteral nutritional supplements postoperatively in malnourished surgical patients","volume":"46","author":[{"family":"Beattie","given":"A. H."},{"family":"Prach","given":"A. T."},{"family":"Baxter","given":"J. P."},{"family":"Pennington","given":"C. R."}],"issued":{"date-parts":[["2000",6]]}}}],"schema":"https://github.com/citation-style-language/schema/raw/master/csl-citation.json"}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[176]</w:t>
      </w:r>
      <w:r w:rsidRPr="00903DE3">
        <w:rPr>
          <w:rFonts w:ascii="Times New Roman" w:hAnsi="Times New Roman"/>
          <w:sz w:val="28"/>
          <w:szCs w:val="28"/>
        </w:rPr>
        <w:fldChar w:fldCharType="end"/>
      </w:r>
      <w:r w:rsidRPr="00903DE3">
        <w:rPr>
          <w:rFonts w:ascii="Times New Roman" w:hAnsi="Times New Roman"/>
          <w:sz w:val="28"/>
          <w:szCs w:val="28"/>
        </w:rPr>
        <w:t>.</w:t>
      </w:r>
    </w:p>
    <w:p w14:paraId="674A9FBA"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Нутритивная недостаточность встречается у 50% больных с раком различной локализации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ij9qfi7ov","properties":{"formattedCitation":"[138,139]","plainCitation":"[138,139]","noteIndex":0},"citationItems":[{"id":740,"uris":["http://zotero.org/users/7388323/items/GJC875N6"],"uri":["http://zotero.org/users/7388323/items/GJC875N6"],"itemData":{"id":740,"type":"article-journal","container-title":"JPEN. Journal of parenteral and enteral nutrition","DOI":"10.1177/0148607109341804","ISSN":"0148-6071","issue":"5","journalAbbreviation":"JPEN J Parenter Enteral Nutr","language":"eng","note":"PMID: 19713551","page":"472-500","source":"PubMed","title":"A.S.P.E.N. clinical guidelines: nutrition support therapy during adult anticancer treatment and in hematopoietic cell transplantation","title-short":"A.S.P.E.N. clinical guidelines","volume":"33","author":[{"family":"August","given":"David Allen"},{"family":"Huhmann","given":"Maureen B."},{"literal":"American Society for Parenteral and Enteral Nutrition (A.S.P.E.N.) Board of Directors"}],"issued":{"date-parts":[["2009",10]]}}},{"id":770,"uris":["http://zotero.org/users/7388323/items/GPVVDNK6"],"uri":["http://zotero.org/users/7388323/items/GPVVDNK6"],"itemData":{"id":770,"type":"article-journal","abstract":"BACKGROUND: Patients who undergo surgery are at risk of malnutrition due to periods of starvation, the stress of surgery, and subsequent increase in metabolic rate. There are limited data on nutritional outcome of surgical patients.\nAIMS: To investigate changes in nutritional status and the influence of oral supplements on nutritional status, morbidity, and quality of life in postoperative surgical patients.\nMETHODS: Entry was determined by the presence of malnutrition, as defined by a body mass index (BMI) &lt; or =20 kg/m(2), anthropometric measurements &lt; or =15th percentile on admission, or initiation of oral diet postoperatively and/or a weight loss of 5% or more during the operative period. We studied 101 patients: 52 were randomised to the treatment group (TG) and prescribed a 1.5 kcal/ml nutritional supplement; 49 patients were randomised to the control group (CG) and continued with routine nutritional management. Nutritional status was assessed by weight, anthropometry, and grip strength, with measurements taken at two weekly intervals for 10 weeks. Complications, namely wound infection, chest infection, and antibiotic use were documented. Quality of life (QOL) was assessed using the UK SF-36 questionnaire.\nRESULTS: Patients in the control group lost a maximum mean (SD) of 5.96 (4.21) kg in weight over a period of eight weeks while patients in group TG lost less weight overall (maximum mean (SD) 3.40 (0.89) kg (p&lt;0.001) occurring at four weeks and progressively regained weight from week 4). Anthropometry, grip strength, and QOL were similarly significantly different between groups (p&lt;0.001). Fewer patients in the treatment group (7/52) required antibiotic prescriptions compared with the control group (15/49).\nCONCLUSIONS: Nutritional status declined for two months after discharge. Postoperative nutritional supplementation improved nutritional status, QOL, and morbidity in these patients.","container-title":"Gut","DOI":"10.1136/gut.46.6.813","ISSN":"0017-5749","issue":"6","journalAbbreviation":"Gut","language":"eng","note":"PMID: 10807893\nPMCID: PMC1756438","page":"813-818","source":"PubMed","title":"A randomised controlled trial evaluating the use of enteral nutritional supplements postoperatively in malnourished surgical patients","volume":"46","author":[{"family":"Beattie","given":"A. H."},{"family":"Prach","given":"A. T."},{"family":"Baxter","given":"J. P."},{"family":"Pennington","given":"C. R."}],"issued":{"date-parts":[["2000",6]]}}}],"schema":"https://github.com/citation-style-language/schema/raw/master/csl-citation.json"}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[176, 177]</w:t>
      </w:r>
      <w:r w:rsidRPr="00903DE3">
        <w:rPr>
          <w:rFonts w:ascii="Times New Roman" w:hAnsi="Times New Roman"/>
          <w:sz w:val="28"/>
          <w:szCs w:val="28"/>
        </w:rPr>
        <w:fldChar w:fldCharType="end"/>
      </w:r>
      <w:r w:rsidRPr="00903DE3">
        <w:rPr>
          <w:rFonts w:ascii="Times New Roman" w:hAnsi="Times New Roman"/>
          <w:sz w:val="28"/>
          <w:szCs w:val="28"/>
        </w:rPr>
        <w:t xml:space="preserve">. Как показывают исследования частота нутритивной недостаточности в большинстве случаев зависит от локализации рака, например при раке молочной железы и простаты нутритивная недостаточность встречается гораздо реже, чем при раке желудочно-кишечного тракта и органов головы и шеи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b0fbhb6od","properties":{"formattedCitation":"[136,140]","plainCitation":"[136,140]","noteIndex":0},"citationItems":[{"id":758,"uris":["http://zotero.org/users/7388323/items/2W2P5MKZ"],"uri":["http://zotero.org/users/7388323/items/2W2P5MKZ"],"itemData":{"id":758,"type":"article-journal","abstract":"Background:\nThis epidemiological observational study aimed at determining the prevalence of malnutrition in non-selected adults with cancer, to identify risk factors of malnutrition and correlate the results with length of stay and 2-month mortality.\n\nMethods:\nThis prospective multicentre 1-day study conducted in 17 French Comprehensive Cancer Centres included 1545 patients. Body mass index (BMI), weight loss (WL) in the past 6 months and age were routinely recorded according to the French national recommendations for hospitalised patients; malnutrition was rated as absent, moderate or severe according to the level of WL and BMI. Age, sex, tumour site, type of hospitalisation and treatment, disease stage, World Health Organisation performance status (PS) and antibiotic therapy were the potential malnutrition risk factors tested. Follow-up at 2 months allowed to determine the correlation with length of stay and mortality.\n\nResults:\nMalnutrition was reported in 30.9% of patients, and was rated as severe in 12.2%. In multivariate analysis, only pre-existing obesity (BMI</w:instrText>
      </w:r>
      <w:r w:rsidRPr="00903DE3">
        <w:rPr>
          <w:rFonts w:ascii="Cambria Math" w:hAnsi="Cambria Math" w:cs="Cambria Math"/>
          <w:sz w:val="28"/>
          <w:szCs w:val="28"/>
        </w:rPr>
        <w:instrText>⩾</w:instrText>
      </w:r>
      <w:r w:rsidRPr="00903DE3">
        <w:rPr>
          <w:rFonts w:ascii="Times New Roman" w:hAnsi="Times New Roman"/>
          <w:sz w:val="28"/>
          <w:szCs w:val="28"/>
        </w:rPr>
        <w:instrText xml:space="preserve">30), PS </w:instrText>
      </w:r>
      <w:r w:rsidRPr="00903DE3">
        <w:rPr>
          <w:rFonts w:ascii="Cambria Math" w:hAnsi="Cambria Math" w:cs="Cambria Math"/>
          <w:sz w:val="28"/>
          <w:szCs w:val="28"/>
        </w:rPr>
        <w:instrText>⩾</w:instrText>
      </w:r>
      <w:r w:rsidRPr="00903DE3">
        <w:rPr>
          <w:rFonts w:ascii="Times New Roman" w:hAnsi="Times New Roman"/>
          <w:sz w:val="28"/>
          <w:szCs w:val="28"/>
        </w:rPr>
        <w:instrText xml:space="preserve">2 and head-and-neck or upper digestive cancers were associated with increased risk of malnutrition. Antibiotics use was significantly higher in malnourished patients (35.5 vs 22.8% P&lt;0.001). Severe malnutrition was independently associated with mortality. The median length of stay was 19.3±19.4 days for malnourished patients vs 13.3±19.4 days for others (P&lt;0.0001).\n\nConclusion:\nIn French Comprehensive Cancer Centres, one out of three cancer patients are malnourished and this was associated with a longer length of stay. Pre-existing obesity could be identified as a new risk factor for malnutrition in our cancer patient population perhaps because of a misidentification or a delay in nutrition support in this category of patients.","container-title":"British Journal of Cancer","DOI":"10.1038/sj.bjc.6605578","ISSN":"0007-0920","issue":"6","journalAbbreviation":"Br J Cancer","note":"PMID: 20160725\nPMCID: PMC2844030","page":"966-971","source":"PubMed Central","title":"Prevalence, risk factors and clinical implications of malnutrition in French Comprehensive Cancer Centres","URL":"https://www.ncbi.nlm.nih.gov/pmc/articles/PMC2844030/","volume":"102","author":[{"family":"Pressoir","given":"M"},{"family":"Desné","given":"S"},{"family":"Berchery","given":"D"},{"family":"Rossignol","given":"G"},{"family":"Poiree","given":"B"},{"family":"Meslier","given":"M"},{"family":"Traversier","given":"S"},{"family":"Vittot","given":"M"},{"family":"Simon","given":"M"},{"family":"Gekiere","given":"J P"},{"family":"Meuric","given":"J"},{"family":"Serot","given":"F"},{"family":"Falewee","given":"M N"},{"family":"Rodrigues","given":"I"},{"family":"Senesse","given":"P"},{"family":"Vasson","given":"M P"},{"family":"Chelle","given":"F"},{"family":"Maget","given":"B"},{"family":"Antoun","given":"S"},{"family":"Bachmann","given":"P"}],"accessed":{"date-parts":[["2021",1,21]]},"issued":{"date-parts":[["2010",3,16]]}}},{"id":736,"uris":["http://zotero.org/users/7388323/items/U9VQU9MN"],"uri":["http://zotero.org/users/7388323/items/U9VQU9MN"],"itemData":{"id":736,"type":"article-journal","abstract":"BACKGROUND AND AIMS: The aim of this study was to evaluate on 1 day the prevalence of malnutrition in different types of cancer and the use of nutrition support in patients with cancer.\nMETHODS: A 1-day prevalence survey was carried out in 154 French hospital wards. Malnutrition was defined as a body mass index (BMI) &lt;18.5 in patients &lt;75 years old or &lt;21 in patients ≥75 years old and/or body weight loss &gt;10% since disease onset. Oral food intake was measured using a visual analog scale.\nRESULTS: Nutrition status was collected for 1903 patients (1109 men and 794 women, 59.3 ± 13.2 years). Cancer was local in 25%, regional in 31%, and metastatic in 44% of patients. Performance status was 0 or 1 in 49.8%, 2 in 23.7%, 3 or 4 in 19.6% and not available in 6.5% of patients. Overall, 39% of patients were malnourished. The prevalence of malnutrition by disease site was as follows: head and neck, 48.9%; leukemia/lymphoma, 34.0%; lung, 45.3%; colon/rectum, 39.3%; esophagus and/or stomach, 60.2%; pancreas, 66.7%; breast, 20.5%; ovaries/uterus, 44.8%; and prostate, 13.9%. Regional cancer (odds ratio, 1.96; 95% confidence interval, 1.42-2.70), metastatic cancer (2.97; 2.14-4.12), previous chemotherapy (1.41; 1.05-1.89), and previous radiotherapy (1.53; 1.21-1.92) were associated with malnutrition. Only 28.4% of non-malnourished patients and 57.6% of malnourished patients received nutrition support. In all, 55% of patients stated that they were eating less than before the cancer, while 41.4% of patients stated that they had received nutrition counseling.\nCONCLUSIONS: The prevalence of malnutrition is high in patients with cancer, and systematic screening for and treatment of malnutrition is necessary.","container-title":"JPEN. Journal of parenteral and enteral nutrition","DOI":"10.1177/0148607113502674","ISSN":"1941-2444","issue":"2","journalAbbreviation":"JPEN J Parenter Enteral Nutr","language":"eng","note":"PMID: 24748626","page":"196-204","source":"PubMed","title":"Prevalence of malnutrition and current use of nutrition support in patients with cancer","volume":"38","author":[{"family":"Hébuterne","given":"Xavier"},{"family":"Lemarié","given":"Etienne"},{"family":"Michallet","given":"Mauricette"},{"family":"Montreuil","given":"Claude Beauvillain","non-dropping-particle":"de"},{"family":"Schneider","given":"Stéphane Michel"},{"family":"Goldwasser","given":"François"}],"issued":{"date-parts":[["2014",2]]}}}],"schema":"https://github.com/citation-style-language/schema/raw/master/csl-citation.json"}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[174, 178]</w:t>
      </w:r>
      <w:r w:rsidRPr="00903DE3">
        <w:rPr>
          <w:rFonts w:ascii="Times New Roman" w:hAnsi="Times New Roman"/>
          <w:sz w:val="28"/>
          <w:szCs w:val="28"/>
        </w:rPr>
        <w:fldChar w:fldCharType="end"/>
      </w:r>
      <w:r w:rsidRPr="00903DE3">
        <w:rPr>
          <w:rFonts w:ascii="Times New Roman" w:hAnsi="Times New Roman"/>
          <w:sz w:val="28"/>
          <w:szCs w:val="28"/>
        </w:rPr>
        <w:t xml:space="preserve">. Частота нутритивной недостаточности при раке ободочной кишки составляет 39%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hcr8sup8d","properties":{"formattedCitation":"[136]","plainCitation":"[136]","noteIndex":0},"citationItems":[{"id":736,"uris":["http://zotero.org/users/7388323/items/U9VQU9MN"],"uri":["http://zotero.org/users/7388323/items/U9VQU9MN"],"itemData":{"id":736,"type":"article-journal","abstract":"BACKGROUND AND AIMS: The aim of this study was to evaluate on 1 day the prevalence of malnutrition in different types of cancer and the use of nutrition support in patients with cancer.\nMETHODS: A 1-day prevalence survey was carried out in 154 French hospital wards. Malnutrition was defined as a body mass index (BMI) &lt;18.5 in patients &lt;75 years old or &lt;21 in patients ≥75 years old and/or body weight loss &gt;10% since disease onset. Oral food intake was measured using a visual analog scale.\nRESULTS: Nutrition status was collected for 1903 patients (1109 men and 794 women, 59.3 ± 13.2 years). Cancer was local in 25%, regional in 31%, and metastatic in 44% of patients. Performance status was 0 or 1 in 49.8%, 2 in 23.7%, 3 or 4 in 19.6% and not available in 6.5% of patients. Overall, 39% of patients were malnourished. The prevalence of malnutrition by disease site was as follows: head and neck, 48.9%; leukemia/lymphoma, 34.0%; lung, 45.3%; colon/rectum, 39.3%; esophagus and/or stomach, 60.2%; pancreas, 66.7%; breast, 20.5%; ovaries/uterus, 44.8%; and prostate, 13.9%. Regional cancer (odds ratio, 1.96; 95% confidence interval, 1.42-2.70), metastatic cancer (2.97; 2.14-4.12), previous chemotherapy (1.41; 1.05-1.89), and previous radiotherapy (1.53; 1.21-1.92) were associated with malnutrition. Only 28.4% of non-malnourished patients and 57.6% of malnourished patients received nutrition support. In all, 55% of patients stated that they were eating less than before the cancer, while 41.4% of patients stated that they had received nutrition counseling.\nCONCLUSIONS: The prevalence of malnutrition is high in patients with cancer, and systematic screening for and treatment of malnutrition is necessary.","container-title":"JPEN. Journal of parenteral and enteral nutrition","DOI":"10.1177/0148607113502674","ISSN":"1941-2444","issue":"2","journalAbbreviation":"JPEN J Parenter Enteral Nutr","language":"eng","note":"PMID: 24748626","page":"196-204","source":"PubMed","title":"Prevalence of malnutrition and current use of nutrition support in patients with cancer","volume":"38","author":[{"family":"Hébuterne","given":"Xavier"},{"family":"Lemarié","given":"Etienne"},{"family":"Michallet","given":"Mauricette"},{"family":"Montreuil","given":"Claude Beauvillain","non-dropping-particle":"de"},{"family":"Schneider","given":"Stéphane Michel"},{"family":"Goldwasser","given":"François"}],"issued":{"date-parts":[["2014",2]]}}}],"schema":"https://github.com/citation-style-language/schema/raw/master/csl-citation.json"}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[174]</w:t>
      </w:r>
      <w:r w:rsidRPr="00903DE3">
        <w:rPr>
          <w:rFonts w:ascii="Times New Roman" w:hAnsi="Times New Roman"/>
          <w:sz w:val="28"/>
          <w:szCs w:val="28"/>
        </w:rPr>
        <w:fldChar w:fldCharType="end"/>
      </w:r>
      <w:r w:rsidRPr="00903DE3">
        <w:rPr>
          <w:rFonts w:ascii="Times New Roman" w:hAnsi="Times New Roman"/>
          <w:sz w:val="28"/>
          <w:szCs w:val="28"/>
        </w:rPr>
        <w:t xml:space="preserve">. Распространённость нутритивной недостаточности у онкологических больных изучена в </w:t>
      </w:r>
      <w:proofErr w:type="spellStart"/>
      <w:r w:rsidRPr="00903DE3">
        <w:rPr>
          <w:rFonts w:ascii="Times New Roman" w:hAnsi="Times New Roman"/>
          <w:sz w:val="28"/>
          <w:szCs w:val="28"/>
        </w:rPr>
        <w:t>French</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Comprehensive</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Cancer</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Centres</w:t>
      </w:r>
      <w:proofErr w:type="spellEnd"/>
      <w:r w:rsidRPr="00903DE3">
        <w:rPr>
          <w:rFonts w:ascii="Times New Roman" w:hAnsi="Times New Roman"/>
          <w:sz w:val="28"/>
          <w:szCs w:val="28"/>
        </w:rPr>
        <w:t xml:space="preserve">, по данным авторов исследования частота патологии составила 30,9%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vvokaiuss","properties":{"formattedCitation":"[140]","plainCitation":"[140]","noteIndex":0},"citationItems":[{"id":758,"uris":["http://zotero.org/users/7388323/items/2W2P5MKZ"],"uri":["http://zotero.org/users/7388323/items/2W2P5MKZ"],"itemData":{"id":758,"type":"article-journal","abstract":"Background:\nThis epidemiological observational study aimed at determining the prevalence of malnutrition in non-selected adults with cancer, to identify risk factors of malnutrition and correlate the results with length of stay and 2-month mortality.\n\nMethods:\nThis prospective multicentre 1-day study conducted in 17 French Comprehensive Cancer Centres included 1545 patients. Body mass index (BMI), weight loss (WL) in the past 6 months and age were routinely recorded according to the French national recommendations for hospitalised patients; malnutrition was rated as absent, moderate or severe according to the level of WL and BMI. Age, sex, tumour site, type of hospitalisation and treatment, disease stage, World Health Organisation performance status (PS) and antibiotic therapy were the potential malnutrition risk factors tested. Follow-up at 2 months allowed to determine the correlation with length of stay and mortality.\n\nResults:\nMalnutrition was reported in 30.9% of patients, and was rated as severe in 12.2%. In multivariate analysis, only pre-existing obesity (BMI</w:instrText>
      </w:r>
      <w:r w:rsidRPr="00903DE3">
        <w:rPr>
          <w:rFonts w:ascii="Cambria Math" w:hAnsi="Cambria Math" w:cs="Cambria Math"/>
          <w:sz w:val="28"/>
          <w:szCs w:val="28"/>
        </w:rPr>
        <w:instrText>⩾</w:instrText>
      </w:r>
      <w:r w:rsidRPr="00903DE3">
        <w:rPr>
          <w:rFonts w:ascii="Times New Roman" w:hAnsi="Times New Roman"/>
          <w:sz w:val="28"/>
          <w:szCs w:val="28"/>
        </w:rPr>
        <w:instrText xml:space="preserve">30), PS </w:instrText>
      </w:r>
      <w:r w:rsidRPr="00903DE3">
        <w:rPr>
          <w:rFonts w:ascii="Cambria Math" w:hAnsi="Cambria Math" w:cs="Cambria Math"/>
          <w:sz w:val="28"/>
          <w:szCs w:val="28"/>
        </w:rPr>
        <w:instrText>⩾</w:instrText>
      </w:r>
      <w:r w:rsidRPr="00903DE3">
        <w:rPr>
          <w:rFonts w:ascii="Times New Roman" w:hAnsi="Times New Roman"/>
          <w:sz w:val="28"/>
          <w:szCs w:val="28"/>
        </w:rPr>
        <w:instrText xml:space="preserve">2 and head-and-neck or upper digestive cancers were associated with increased risk of malnutrition. Antibiotics use was significantly higher in malnourished patients (35.5 vs 22.8% P&lt;0.001). Severe malnutrition was independently associated with mortality. The median length of stay was 19.3±19.4 days for malnourished patients vs 13.3±19.4 days for others (P&lt;0.0001).\n\nConclusion:\nIn French Comprehensive Cancer Centres, one out of three cancer patients are malnourished and this was associated with a longer length of stay. Pre-existing obesity could be identified as a new risk factor for malnutrition in our cancer patient population perhaps because of a misidentification or a delay in nutrition support in this category of patients.","container-title":"British Journal of Cancer","DOI":"10.1038/sj.bjc.6605578","ISSN":"0007-0920","issue":"6","journalAbbreviation":"Br J Cancer","note":"PMID: 20160725\nPMCID: PMC2844030","page":"966-971","source":"PubMed Central","title":"Prevalence, risk factors and clinical implications of malnutrition in French Comprehensive Cancer Centres","URL":"https://www.ncbi.nlm.nih.gov/pmc/articles/PMC2844030/","volume":"102","author":[{"family":"Pressoir","given":"M"},{"family":"Desné","given":"S"},{"family":"Berchery","given":"D"},{"family":"Rossignol","given":"G"},{"family":"Poiree","given":"B"},{"family":"Meslier","given":"M"},{"family":"Traversier","given":"S"},{"family":"Vittot","given":"M"},{"family":"Simon","given":"M"},{"family":"Gekiere","given":"J P"},{"family":"Meuric","given":"J"},{"family":"Serot","given":"F"},{"family":"Falewee","given":"M N"},{"family":"Rodrigues","given":"I"},{"family":"Senesse","given":"P"},{"family":"Vasson","given":"M P"},{"family":"Chelle","given":"F"},{"family":"Maget","given":"B"},{"family":"Antoun","given":"S"},{"family":"Bachmann","given":"P"}],"accessed":{"date-parts":[["2021",1,21]]},"issued":{"date-parts":[["2010",3,16]]}}}],"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[178]</w:t>
      </w:r>
      <w:r w:rsidRPr="00903DE3">
        <w:rPr>
          <w:rFonts w:ascii="Times New Roman" w:hAnsi="Times New Roman"/>
          <w:sz w:val="28"/>
          <w:szCs w:val="28"/>
        </w:rPr>
        <w:fldChar w:fldCharType="end"/>
      </w:r>
      <w:r w:rsidRPr="00903DE3">
        <w:rPr>
          <w:rFonts w:ascii="Times New Roman" w:hAnsi="Times New Roman"/>
          <w:sz w:val="28"/>
          <w:szCs w:val="28"/>
        </w:rPr>
        <w:t xml:space="preserve">. </w:t>
      </w:r>
      <w:proofErr w:type="spellStart"/>
      <w:r w:rsidRPr="00903DE3">
        <w:rPr>
          <w:rFonts w:ascii="Times New Roman" w:hAnsi="Times New Roman"/>
          <w:sz w:val="28"/>
          <w:szCs w:val="28"/>
        </w:rPr>
        <w:t>Bozzetti</w:t>
      </w:r>
      <w:proofErr w:type="spellEnd"/>
      <w:r w:rsidRPr="00903DE3">
        <w:rPr>
          <w:rFonts w:ascii="Times New Roman" w:hAnsi="Times New Roman"/>
          <w:sz w:val="28"/>
          <w:szCs w:val="28"/>
        </w:rPr>
        <w:t xml:space="preserve"> F. и соавт. определили, что 39,7% амбулаторных пациентов имели потерю веса более 10%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hbo3h6ktj","properties":{"formattedCitation":"[141]","plainCitation":"[141]","noteIndex":0},"citationItems":[{"id":754,"uris":["http://zotero.org/users/7388323/items/3XUZ9AIK"],"uri":["http://zotero.org/users/7388323/items/3XUZ9AIK"],"itemData":{"id":754,"type":"article-journal","abstract":"OBJECTIVE: This study presents the preliminary data of a prospective multi-centre investigation on the screening of the nutritional status of cancer outpatients with the purpose to define: (1) prevalence and rate of weight loss and nutritional risk in this patient population, and (2) to assess the association among some patient-dependent, tumour-dependent and therapy-dependent variables with the nutritional status and the nutritional risk.\nMATERIALS AND METHODS: Seventeen centres were involved to collect demographic data (age and sex), oncologic data (site of primary tumour, stage, Eastern Cooperative Oncology Group Performance State, oncologic therapy) and presence and severity of systemic and digestive/nutritional symptoms (fatigue, anorexia, nausea/vomiting, early satiety, dysgeusia/dysosmia, dysphagia/odynophagia, diarrhoea/constipation). Furthermore, the percentage of the weight loss on the usual body weight and the body mass index were computed. The nutritional risk was assessed according to the Nutrition Risk Screening 2002 questionnaire which scores the risk from 0 to 7.\nMAIN RESULTS: On the first 1,000 screened patients, a significant weight loss (&gt;or=10%) and a nutritional risk score &gt;or=3 were observed in 39.7% and 33.8% of patients, respectively. Weight loss was higher in upper gastrointestinal tumours, in advanced stages of disease and in patients with a poor performance status. Similarly, the nutritional risk was higher in esophageal and pancreatic cancer and in those with a worse performance status. There was a good correlation between the severity of anorexia and the rate of the weight loss The majority of patients with no weight loss or a weight loss &lt;10% were not anorectic; on the contrary, the majority of those with more severe weight loss had some degree of anorexia.\nCONCLUSIONS: Weight loss and nutritional risk are frequent in an unselected series of cancer outpatients. Site of primary tumour, stage and performance state appear to be associated, at a preliminary analysis, with significant weight loss and nutritional risk. Anorexia and weight loss are closely related, and this supports the concept that nutritional depletion can play a major role in the onset of malnutrition-cachexia.","container-title":"Supportive Care in Cancer: Official Journal of the Multinational Association of Supportive Care in Cancer","DOI":"10.1007/s00520-008-0476-3","ISSN":"0941-4355","issue":"3","journalAbbreviation":"Support Care Cancer","language":"eng","note":"PMID: 18581148","page":"279-284","source":"PubMed","title":"Screening the nutritional status in oncology: a preliminary report on 1,000 outpatients","title-short":"Screening the nutritional status in oncology","volume":"17","author":[{"family":"Bozzetti","given":"Federico"},{"literal":"SCRINIO Working Group"}],"issued":{"date-parts":[["2009",3]]}}}],"schema":"https://github.com/citation-style-language/schema/raw/master/csl-citation.json"}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[179]</w:t>
      </w:r>
      <w:r w:rsidRPr="00903DE3">
        <w:rPr>
          <w:rFonts w:ascii="Times New Roman" w:hAnsi="Times New Roman"/>
          <w:sz w:val="28"/>
          <w:szCs w:val="28"/>
        </w:rPr>
        <w:fldChar w:fldCharType="end"/>
      </w:r>
      <w:r w:rsidRPr="00903DE3">
        <w:rPr>
          <w:rFonts w:ascii="Times New Roman" w:hAnsi="Times New Roman"/>
          <w:sz w:val="28"/>
          <w:szCs w:val="28"/>
        </w:rPr>
        <w:t xml:space="preserve">. В исследовании нутритивной недостаточности у больных с раком ЖКТ 31,9% пациентов имели потерю веса более 10 и 56,2% больных более 5% от исходной массы тела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tdkjnn4vu","properties":{"formattedCitation":"[142]","plainCitation":"[142]","noteIndex":0},"citationItems":[{"id":756,"uris":["http://zotero.org/users/7388323/items/TCML6F49"],"uri":["http://zotero.org/users/7388323/items/TCML6F49"],"itemData":{"id":756,"type":"article-journal","abstract":"This study examined whether staff working within a cancer centre treating patients with gastrointestinal malignancy routinely identified individuals from outpatients for referral to a dietitian. A nutrition screening tool is employed only for in-patient admissions. Height, current and usual weight were recorded prospectively in all patients referred for consideration of treatment. First appointment with the dietitian, first hospital admission, demographic and clinical details were obtained from hospital records. Time from first appointment to referral to a dietitian was examined. Between September 2002 and March 2004, 920 patients were included. Five hundred and seventeen patients had lost weight, of whom 223 patients had lost between 5% and 10% and 294 patients had lost more than 10% of their pre-morbid weight. Three hundred and twenty-seven patients (36%) were referred to dietitians. Twenty eight (9%) of referrals were made by staff in outpatients. Two hundred and ninety-nine were referred during or after an inpatient admission but only 39% of these occurred within the first seven days following admission. One third of patients with more than 10% weight loss were not referred for dietary assessment, even following admission. The likelihood of referral was significantly associated with the degree of weight loss (univariate analysis hazard ratio (HR) 1.75, 95% Confidence Interval (CI) 1.4-2.19, multivariate HR 1.65, 95% CI 1.22-2.23) and was independent of factors such as performance status and clinical setting. Few patients were identified early in their treatment for referral to a dietitian. Since most chemotherapy is now given on an outpatient basis, patients are unlikely to be referred if they do not require admission. This study suggests that an out-patient dietetic screening tool is urgently required. Such screening is likely to result in considerable improvements to the clinical care of cancer patients with weight loss.","container-title":"European Journal of Cancer (Oxford, England: 1990)","DOI":"10.1016/j.ejca.2006.05.028","ISSN":"0959-8049","issue":"15","journalAbbreviation":"Eur J Cancer","language":"eng","note":"PMID: 16930990","page":"2504-2509","source":"PubMed","title":"Failure of dietetic referral in patients with gastrointestinal cancer and weight loss","volume":"42","author":[{"family":"Baldwin","given":"C."},{"family":"McGough","given":"C."},{"family":"Norman","given":"A. R."},{"family":"Frost","given":"G. S."},{"family":"Cunningham","given":"D. C."},{"family":"Andreyev","given":"H. J. N."}],"issued":{"date-parts":[["2006",10]]}}}],"schema":"https://github.com/citation-style-language/schema/raw/master/csl-citation.json"}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[180]</w:t>
      </w:r>
      <w:r w:rsidRPr="00903DE3">
        <w:rPr>
          <w:rFonts w:ascii="Times New Roman" w:hAnsi="Times New Roman"/>
          <w:sz w:val="28"/>
          <w:szCs w:val="28"/>
        </w:rPr>
        <w:fldChar w:fldCharType="end"/>
      </w:r>
      <w:r w:rsidRPr="00903DE3">
        <w:rPr>
          <w:rFonts w:ascii="Times New Roman" w:hAnsi="Times New Roman"/>
          <w:sz w:val="28"/>
          <w:szCs w:val="28"/>
        </w:rPr>
        <w:t>.</w:t>
      </w:r>
    </w:p>
    <w:p w14:paraId="34DE8900"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lastRenderedPageBreak/>
        <w:t xml:space="preserve">Нутритивная недостаточность приводит к развитию низкой приверженности к специальному лечению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nffgjm7uu","properties":{"formattedCitation":"[143]","plainCitation":"[143]","noteIndex":0},"citationItems":[{"id":743,"uris":["http://zotero.org/users/7388323/items/GP69RB8D"],"uri":["http://zotero.org/users/7388323/items/GP69RB8D"],"itemData":{"id":743,"type":"article-journal","abstract":"Cancer-associated malnutrition can result from local effects of a tumour, the host response to the tumour and anticancer therapies. Although cancer patients often have reduced food intake (due to systemic effects of the disease, local tumour effects, psychological effects or adverse effects of treatment), alterations in nutrient metabolism and resting energy expenditure (REE) may also contribute to nutritional status. Several agents produced by the tumour directly, or systemically in response to the tumour, such as pro-inflammatory cytokines and hormones, have been implicated in the pathogenesis of malnutrition and cachexia. The consequences of malnutrition include impairment of immune functions, performance status, muscle function, and quality of life. In addition, responses to chemotherapy are decreased, chemotherapy-induced toxicity and complications are more frequent and severe, and survival times are shortened. Depression, fatigue and malaise also significantly impact on patient well-being. In addition, cancer-related malnutrition is associated with significant healthcare-related costs. Nutritional support, addressing the specific needs of this patient group, is required to help improve prognosis, and reduce the consequences of cancer-associated nutritional decline.","container-title":"European Journal of Oncology Nursing: The Official Journal of European Oncology Nursing Society","DOI":"10.1016/j.ejon.2005.09.007","ISSN":"1462-3889","journalAbbreviation":"Eur J Oncol Nurs","language":"eng","note":"PMID: 16437758","page":"S51-63","source":"PubMed","title":"The causes and consequences of cancer-associated malnutrition","volume":"9 Suppl 2","author":[{"family":"Van Cutsem","given":"Eric"},{"family":"Arends","given":"Jann"}],"issued":{"date-parts":[["2005"]]}}}],"schema":"https://github.com/citation-style-language/schema/raw/master/csl-citation.json"}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[181]</w:t>
      </w:r>
      <w:r w:rsidRPr="00903DE3">
        <w:rPr>
          <w:rFonts w:ascii="Times New Roman" w:hAnsi="Times New Roman"/>
          <w:sz w:val="28"/>
          <w:szCs w:val="28"/>
        </w:rPr>
        <w:fldChar w:fldCharType="end"/>
      </w:r>
      <w:r w:rsidRPr="00903DE3">
        <w:rPr>
          <w:rFonts w:ascii="Times New Roman" w:hAnsi="Times New Roman"/>
          <w:sz w:val="28"/>
          <w:szCs w:val="28"/>
        </w:rPr>
        <w:t xml:space="preserve">, повышению токсичности противоопухолевой терапии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209e8q7qbt","properties":{"formattedCitation":"[144,145]","plainCitation":"[144,145]","noteIndex":0},"citationItems":[{"id":745,"uris":["http://zotero.org/users/7388323/items/UJIZV6NE"],"uri":["http://zotero.org/users/7388323/items/UJIZV6NE"],"itemData":{"id":745,"type":"article-journal","abstract":"The aim of this study was to examine whether weight loss at presentation, in patients who were to receive chemotherapy for gastrointestinal carcinomas, influences outcome and whether nutritional intervention would be worthwhile. This study was a retrospective review of prospectively gathered data. The outcomes of patients with or without weight loss and treated for locally advanced or metastatic tumours of the oesophagus, stomach, pancreas, colon or rectum were compared. In 1555 such consecutive patients treated over a 6-year period, weight loss at presentation was reported more commonly by men than women (51 versus 44%, P = 0.01). Although patients with weight loss received lower chemotherapy doses initially, they developed more frequent and more severe dose limiting toxicity--specifically plantar-palmar syndrome (P &lt; 0.0001) and stomatitis (P &lt; 0.0001)--than patients without weight loss. Consequently, patients with weight loss on average received 1 month (18%) less treatment (P &lt; 0.0001). Weight loss correlated with shorter failure-free (P &lt; 0.0001, hazard ratio = 1.25) and overall survival (P &lt; 0.0001, hazard ratio = 1.63), decreased response (P = 0.006), quality of life (P &lt; 0.0001) and performance status (P &lt; 0.0001). Patients who stopped losing weight had better overall survival (P = 0.0004). Weight loss at presentation was an independent prognostic variable (hazard ratio = 1.43). The poorer outcome from treatment in patients with weight loss appears to occur because they receive significantly less chemotherapy and develop more toxicity rather than any specifically reduced tumour responsiveness to treatment. These findings provide a rationale for attempting randomised nutritional intervention studies in these patients.","container-title":"European Journal of Cancer (Oxford, England: 1990)","DOI":"10.1016/s0959-8049(97)10090-9","ISSN":"0959-8049","issue":"4","journalAbbreviation":"Eur J Cancer","language":"eng","note":"PMID: 9713300","page":"503-509","source":"PubMed","title":"Why do patients with weight loss have a worse outcome when undergoing chemotherapy for gastrointestinal malignancies?","volume":"34","author":[{"family":"Andreyev","given":"H. J."},{"family":"Norman","given":"A. R."},{"family":"Oates","given":"J."},{"family":"Cunningham","given":"D."}],"issued":{"date-parts":[["1998",3]]}}},{"id":747,"uris":["http://zotero.org/users/7388323/items/J9HHPPP9"],"uri":["http://zotero.org/users/7388323/items/J9HHPPP9"],"itemData":{"id":747,"type":"article-journal","abstract":"PURPOSE OF REVIEW: This review addresses the relationship between nutritional intervention and quality of life in oncology patients.\nRECENT FINDINGS: Nutrition related symptoms, such as anorexia and weight loss, reflect impaired nutritional status, which is often associated with reduced quality of life. Malnutrition can be related to reduced response or tolerance to cancer treatment. Early nutritional intervention may positively impact on quality of life and enhance clinical response in oncology patients.\nSUMMARY: Nutritional intervention should be considered as a supportive measure within the global oncology strategy. In curative oncology care, it contributes to reduced postoperative infection rate, better control of cancer-related symptoms, shortened length of hospital stay and improved tolerance to treatment. In palliative care, the nutritional intervention focuses on controlling symptoms, thus improving quality of life. The evaluation of nutritional status should include an assessment of quality of life in order to optimize nutritional treatment for patients' individual requirements. Because of the potentially clinically relevant impact of nutritional intervention on quality of life, nutritional care should be included in any antineoplastic strategy.","container-title":"Current Opinion in Clinical Nutrition and Metabolic Care","DOI":"10.1097/MCO.0b013e3281e2c983","ISSN":"1363-1950","issue":"4","journalAbbreviation":"Curr Opin Clin Nutr Metab Care","language":"eng","note":"PMID: 17563467","page":"480-487","source":"PubMed","title":"Impact of nutrition on quality of life during cancer","volume":"10","author":[{"family":"Marín Caro","given":"Mónica María"},{"family":"Laviano","given":"Alessandro"},{"family":"Pichard","given":"Claude"}],"issued":{"date-parts":[["2007",7]]}}}],"schema":"https://github.com/citation-style-language/schema/raw/master/csl-citation.json"}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[182, 183]</w:t>
      </w:r>
      <w:r w:rsidRPr="00903DE3">
        <w:rPr>
          <w:rFonts w:ascii="Times New Roman" w:hAnsi="Times New Roman"/>
          <w:sz w:val="28"/>
          <w:szCs w:val="28"/>
        </w:rPr>
        <w:fldChar w:fldCharType="end"/>
      </w:r>
      <w:r w:rsidRPr="00903DE3">
        <w:rPr>
          <w:rFonts w:ascii="Times New Roman" w:hAnsi="Times New Roman"/>
          <w:sz w:val="28"/>
          <w:szCs w:val="28"/>
        </w:rPr>
        <w:t xml:space="preserve">, сокращению выживаемости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ou6o5faat","properties":{"formattedCitation":"[146]","plainCitation":"[146]","noteIndex":0},"citationItems":[{"id":749,"uris":["http://zotero.org/users/7388323/items/DLXXH62K"],"uri":["http://zotero.org/users/7388323/items/DLXXH62K"],"itemData":{"id":749,"type":"article-journal","abstract":"The prognostic effect of weight loss prior to chemotherapy was analyzed using data from 3,047 patients enrolled in 12 chemotherapy protocols of the Eastern Cooperative Oncology Group. The frequency of weight loss ranged from 31 percent for favorable non-Hodgkin's lymphoma to 87 percent in gastric cancer. Median survival was significantly shorter in nine protocols for the patients with weight loss compared to the patients with no weight loss. Chemotherapy response rates were lower in the patients with weight loss, but only in patients with breast cancer was this difference significant. Decreasing weight was correlated with decreasing performance status except for patients with pancreatic and gastric cancer. Within performance status categories, weight loss was associated with decreased median survival. The frequency of weight loss increased with increasing number of anatomic sites involved with metastases, but within categories of anatomic involvement, weight loss was associated with decreased median survival. These observations emphasize the prognostic effect of weight loss, especially in patients with a favorable performance status or a limited anatomic involvement with tumor.","container-title":"The American Journal of Medicine","DOI":"10.1016/s0149-2918(05)80001-3","ISSN":"0002-9343","issue":"4","journalAbbreviation":"Am J Med","language":"eng","note":"PMID: 7424938","page":"491-497","source":"PubMed","title":"Prognostic effect of weight loss prior to chemotherapy in cancer patients. Eastern Cooperative Oncology Group","volume":"69","author":[{"family":"Dewys","given":"W. D."},{"family":"Begg","given":"C."},{"family":"Lavin","given":"P. T."},{"family":"Band","given":"P. R."},{"family":"Bennett","given":"J. M."},{"family":"Bertino","given":"J. R."},{"family":"Cohen","given":"M. H."},{"family":"Douglass","given":"H. O."},{"family":"Engstrom","given":"P. F."},{"family":"Ezdinli","given":"E. Z."},{"family":"Horton","given":"J."},{"family":"Johnson","given":"G. J."},{"family":"Moertel","given":"C. G."},{"family":"Oken","given":"M. M."},{"family":"Perlia","given":"C."},{"family":"Rosenbaum","given":"C."},{"family":"Silverstein","given":"M. N."},{"family":"Skeel","given":"R. T."},{"family":"Sponzo","given":"R. W."},{"family":"Tormey","given":"D. C."}],"issued":{"date-parts":[["1980",10]]}}}],"schema":"https://github.com/citation-style-language/schema/raw/master/csl-citation.json"}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[184]</w:t>
      </w:r>
      <w:r w:rsidRPr="00903DE3">
        <w:rPr>
          <w:rFonts w:ascii="Times New Roman" w:hAnsi="Times New Roman"/>
          <w:sz w:val="28"/>
          <w:szCs w:val="28"/>
        </w:rPr>
        <w:fldChar w:fldCharType="end"/>
      </w:r>
      <w:r w:rsidRPr="00903DE3">
        <w:rPr>
          <w:rFonts w:ascii="Times New Roman" w:hAnsi="Times New Roman"/>
          <w:sz w:val="28"/>
          <w:szCs w:val="28"/>
        </w:rPr>
        <w:t xml:space="preserve"> и низкому качеству жизни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v6ckua7b7","properties":{"formattedCitation":"[147]","plainCitation":"[147]","noteIndex":0},"citationItems":[{"id":751,"uris":["http://zotero.org/users/7388323/items/HTUSDBUN"],"uri":["http://zotero.org/users/7388323/items/HTUSDBUN"],"itemData":{"id":751,"type":"article-journal","abstract":"Malnutrition is a significant factor in predicting cancer patients' quality of life (QoL). We systematically reviewed the literature on the role of nutritional status in predicting QoL in cancer. We searched MEDLINE database using the terms \"nutritional status\" in combination with \"quality of life\" together with \"cancer\". Human studies published in English, having nutritional status as one of the predictor variables, and QoL as one of the outcome measures were included. Of the 26 included studies, 6 investigated head and neck cancer, 8 gastrointestinal, 1 lung, 1 gynecologic and 10 heterogeneous cancers. 24 studies concluded that better nutritional status was associated with better QoL, 1 study showed that better nutritional status was associated with better QoL only in high-risk patients, while 1 study concluded that there was no association between nutritional status and QoL. Nutritional status is a strong predictor of QoL in cancer patients. We recommend that more providers implement the American Society of Parenteral and Enteral Nutrition (ASPEN) guidelines for oncology patients, which includes nutritional screening, nutritional assessment and intervention as appropriate. Correcting malnutrition may improve QoL in cancer patients, an important outcome of interest to cancer patients, their caregivers, and families.","container-title":"Nutrition Journal","DOI":"10.1186/1475-2891-11-27","ISSN":"1475-2891","journalAbbreviation":"Nutr J","language":"eng","note":"PMID: 22531478\nPMCID: PMC3408376","page":"27","source":"PubMed","title":"Role of nutritional status in predicting quality of life outcomes in cancer--a systematic review of the epidemiological literature","volume":"11","author":[{"family":"Lis","given":"Christopher G."},{"family":"Gupta","given":"Digant"},{"family":"Lammersfeld","given":"Carolyn A."},{"family":"Markman","given":"Maurie"},{"family":"Vashi","given":"Pankaj G."}],"issued":{"date-parts":[["2012",4,24]]}}}],"schema":"https://github.com/citation-style-language/schema/raw/master/csl-citation.json"}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[185]</w:t>
      </w:r>
      <w:r w:rsidRPr="00903DE3">
        <w:rPr>
          <w:rFonts w:ascii="Times New Roman" w:hAnsi="Times New Roman"/>
          <w:sz w:val="28"/>
          <w:szCs w:val="28"/>
        </w:rPr>
        <w:fldChar w:fldCharType="end"/>
      </w:r>
      <w:r w:rsidRPr="00903DE3">
        <w:rPr>
          <w:rFonts w:ascii="Times New Roman" w:hAnsi="Times New Roman"/>
          <w:sz w:val="28"/>
          <w:szCs w:val="28"/>
        </w:rPr>
        <w:t>.</w:t>
      </w:r>
    </w:p>
    <w:p w14:paraId="583A8417" w14:textId="77777777" w:rsidR="00403127" w:rsidRPr="00903DE3" w:rsidRDefault="00403127" w:rsidP="00403127">
      <w:pPr>
        <w:spacing w:after="0" w:line="240" w:lineRule="auto"/>
        <w:ind w:firstLine="708"/>
        <w:jc w:val="both"/>
        <w:rPr>
          <w:rFonts w:ascii="Times New Roman" w:hAnsi="Times New Roman"/>
          <w:b/>
          <w:bCs/>
          <w:sz w:val="28"/>
          <w:szCs w:val="28"/>
        </w:rPr>
      </w:pPr>
    </w:p>
    <w:p w14:paraId="57EA3DF2" w14:textId="77777777" w:rsidR="00403127" w:rsidRPr="00903DE3" w:rsidRDefault="00403127" w:rsidP="00403127">
      <w:pPr>
        <w:spacing w:after="0" w:line="240" w:lineRule="auto"/>
        <w:ind w:firstLine="567"/>
        <w:jc w:val="both"/>
        <w:rPr>
          <w:rFonts w:ascii="Times New Roman" w:hAnsi="Times New Roman"/>
          <w:b/>
          <w:bCs/>
          <w:sz w:val="28"/>
          <w:szCs w:val="28"/>
        </w:rPr>
      </w:pPr>
      <w:r w:rsidRPr="00903DE3">
        <w:rPr>
          <w:rFonts w:ascii="Times New Roman" w:hAnsi="Times New Roman"/>
          <w:b/>
          <w:bCs/>
          <w:sz w:val="28"/>
          <w:szCs w:val="28"/>
        </w:rPr>
        <w:t>1.6 Методы диагностики и лечения функциональных осложнений после хирургического лечения злокачественных новообразований ободочной кишки</w:t>
      </w:r>
    </w:p>
    <w:p w14:paraId="505753B7"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Классическим определением хронической диареи является стул частотой не менее трех раз в день, жидкой консистенции, массой более 200 г в день, средней продолжительностью не менее трех недель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SsKeve9G","properties":{"formattedCitation":"[148\\uc0\\u8211{}150]","plainCitation":"[148–150]","noteIndex":0},"citationItems":[{"id":253,"uris":["http://zotero.org/users/7388323/items/82W29GXX"],"uri":["http://zotero.org/users/7388323/items/82W29GXX"],"itemData":{"id":253,"type":"article-journal","container-title":"Best Practice &amp; Research Clinical Gastroenterology","DOI":"10.1053/bega.2002.0263","ISSN":"15216918","issue":"1","journalAbbreviation":"Best Practice &amp; Research Clinical Gastroenterology","language":"en","page":"17-36","source":"DOI.org (Crossref)","title":"Small bowel disease in the elderly: diarrhoea and malabsorption","title-short":"Small bowel disease in the elderly","URL":"https://linkinghub.elsevier.com/retrieve/pii/S1521691802902635","volume":"16","author":[{"family":"Hoffmann","given":"Jörg C."},{"family":"Zeitz","given":"Martin"}],"accessed":{"date-parts":[["2020",7,11]]},"issued":{"date-parts":[["2002",2]]}}},{"id":254,"uris":["http://zotero.org/users/7388323/items/D9W3ESCZ"],"uri":["http://zotero.org/users/7388323/items/D9W3ESCZ"],"itemData":{"id":254,"type":"article-journal","container-title":"Scandinavian Journal of Gastroenterology","DOI":"10.3109/00365529009095532","ISSN":"0036-5521, 1502-7708","issue":"6","journalAbbreviation":"Scandinavian Journal of Gastroenterology","language":"en","page":"572-578","source":"DOI.org (Crossref)","title":"Aetiology, Medical History, and Faecal Weight in Adult Patients Referred for Diarrhoea: A Prospective Survey","title-short":"Aetiology, Medical History, and Faecal Weight in Adult Patients Referred for Diarrhoea","URL":"http://www.tandfonline.com/doi/full/10.3109/00365529009095532","volume":"25","author":[{"family":"Bytzer","given":"P."},{"family":"Stokholm","given":"M."},{"family":"Andersen","given":"I."},{"family":"Lund-Hansen","given":"B."},{"family":"De Muckadell","given":"O. B. Schaffalitzky"}],"accessed":{"date-parts":[["2020",7,11]]},"issued":{"date-parts":[["1990",1]]}}},{"id":252,"uris":["http://zotero.org/users/7388323/items/37QP7UYR"],"uri":["http://zotero.org/users/7388323/items/37QP7UYR"],"itemData":{"id":252,"type":"article-journal","container-title":"Gastroenterology","DOI":"10.1016/0016-5085(91)90717-Y","ISSN":"00165085","issue":"4","journalAbbreviation":"Gastroenterology","language":"en","page":"927-934","source":"DOI.org (Crossref)","title":"Epidemiology of colonic symptoms and the irritable bowel syndrome","URL":"https://linkinghub.elsevier.com/retrieve/pii/001650859190717Y","volume":"101","author":[{"family":"Talley","given":"Nicholas J."},{"family":"Zinsmeister","given":"Alan R."},{"family":"Dyke","given":"Carol","non-dropping-particle":"van"},{"family":"Melton","given":"L.Joseph"}],"accessed":{"date-parts":[["2020",7,11]]},"issued":{"date-parts":[["1991",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[186-188]</w:t>
      </w:r>
      <w:r w:rsidRPr="00903DE3">
        <w:rPr>
          <w:rFonts w:ascii="Times New Roman" w:hAnsi="Times New Roman"/>
          <w:sz w:val="28"/>
          <w:szCs w:val="28"/>
        </w:rPr>
        <w:fldChar w:fldCharType="end"/>
      </w:r>
      <w:r w:rsidRPr="00903DE3">
        <w:rPr>
          <w:rFonts w:ascii="Times New Roman" w:hAnsi="Times New Roman"/>
          <w:sz w:val="28"/>
          <w:szCs w:val="28"/>
        </w:rPr>
        <w:t xml:space="preserve">. Однако это определение имеет свои ограничения. Например, для диагностики хронической диареи измерение веса фекалий затруднительно как для самих больных, так и для медицинского персонала, соответственно, измерение массы стула не является распространенной процедурой. В действительности, классическое определение часто модифицируется таким образом, чтобы оно включало только частоту стула и продолжительность диареи. В большинстве случаев частота стула оценивает функцию ободочной кишки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D364isK5","properties":{"formattedCitation":"[151]","plainCitation":"[151]","noteIndex":0},"citationItems":[{"id":251,"uris":["http://zotero.org/users/7388323/items/ITXBKKNU"],"uri":["http://zotero.org/users/7388323/items/ITXBKKNU"],"itemData":{"id":251,"type":"article-journal","container-title":"BMJ","DOI":"10.1136/bmj.300.6722.439","ISSN":"0959-8138, 1468-5833","issue":"6722","journalAbbreviation":"BMJ","language":"en","page":"439-440","source":"DOI.org (Crossref)","title":"Detection of pseudodiarrhoea by simple clinical assessment of intestinal transit rate.","URL":"http://www.bmj.com/cgi/doi/10.1136/bmj.300.6722.439","volume":"300","author":[{"family":"O'Donnell","given":"L J"},{"family":"Virjee","given":"J"},{"family":"Heaton","given":"K W"}],"accessed":{"date-parts":[["2020",7,11]]},"issued":{"date-parts":[["1990",2,17]]}}}],"schema":"https://github.com/citation-style-language/schema/raw/master/csl-citation.json"}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[189]</w:t>
      </w:r>
      <w:r w:rsidRPr="00903DE3">
        <w:rPr>
          <w:rFonts w:ascii="Times New Roman" w:hAnsi="Times New Roman"/>
          <w:sz w:val="28"/>
          <w:szCs w:val="28"/>
        </w:rPr>
        <w:fldChar w:fldCharType="end"/>
      </w:r>
      <w:r w:rsidRPr="00903DE3">
        <w:rPr>
          <w:rFonts w:ascii="Times New Roman" w:hAnsi="Times New Roman"/>
          <w:sz w:val="28"/>
          <w:szCs w:val="28"/>
        </w:rPr>
        <w:t xml:space="preserve">. Вследствие этих недостатков были предложены другие определения, такие как значительное увеличение частоты стула, объема и/или жидкости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QBPPQ8AM","properties":{"formattedCitation":"[150,152]","plainCitation":"[150,152]","noteIndex":0},"citationItems":[{"id":252,"uris":["http://zotero.org/users/7388323/items/37QP7UYR"],"uri":["http://zotero.org/users/7388323/items/37QP7UYR"],"itemData":{"id":252,"type":"article-journal","container-title":"Gastroenterology","DOI":"10.1016/0016-5085(91)90717-Y","ISSN":"00165085","issue":"4","journalAbbreviation":"Gastroenterology","language":"en","page":"927-934","source":"DOI.org (Crossref)","title":"Epidemiology of colonic symptoms and the irritable bowel syndrome","URL":"https://linkinghub.elsevier.com/retrieve/pii/001650859190717Y","volume":"101","author":[{"family":"Talley","given":"Nicholas J."},{"family":"Zinsmeister","given":"Alan R."},{"family":"Dyke","given":"Carol","non-dropping-particle":"van"},{"family":"Melton","given":"L.Joseph"}],"accessed":{"date-parts":[["2020",7,11]]},"issued":{"date-parts":[["1991",10]]}}},{"id":250,"uris":["http://zotero.org/users/7388323/items/QNP39P47"],"uri":["http://zotero.org/users/7388323/items/QNP39P47"],"itemData":{"id":250,"type":"article-journal","abstract":"Background/Aims: Chronic diarrhea is a common problem. Colonoscopy is the investigation of choice for diagnosis. Even a macroscopically normal mucosa on endoscopy can have abnormalities such as microscopic colitis and bile acid malabsorption (BAM). The aim of this study was to establish the value of colonoscopy with biopsies in patients with chronic diarrhea and to evaluate the additive value of a SeHCAT test for diagnosing BAM in these patients. Methods: All patients who underwent a colonoscopy between November 1999 and December 2000 were included. Patient files, colonoscopy and pathology reports and SeHCAT test results were reviewed. Results: 205 patients were included. The most common diagnoses were diarrhea-predominant IBS (n = 76) and IBD (n = 38). 158 patients had non-bloody diarrhea, 113 (72%) of them had a macroscopically normal appearing mucosa. In 40 (35%) of these patients, a histological diagnosis could be made and microscopic colitis was the most common diagnosis (n = 27). SeHCAT test was performed in 36 patients and 15 (42%) of them had BAM. In the 47 patients with bloody diarrhea, IBD was the main diagnosis (n = 23). Conclusion: Colonoscopy with biopsies must be performed when investigating chronic diarrhea and BAM should be excluded.","container-title":"Digestion","DOI":"10.1159/000079150","ISSN":"0012-2823, 1421-9867","issue":"4","journalAbbreviation":"Digestion","language":"en","page":"211-218","source":"DOI.org (Crossref)","title":"Colonoscopy and SeHCAT for Investigation of Chronic Diarrhea","URL":"https://www.karger.com/Article/FullText/79150","volume":"69","author":[{"family":"Müller","given":"Marcella"},{"family":"Willén","given":"Roger"},{"family":"Stotzer","given":"Per-Ove"}],"accessed":{"date-parts":[["2020",7,11]]},"issued":{"date-parts":[["2004"]]}}}],"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[188, 190]</w:t>
      </w:r>
      <w:r w:rsidRPr="00903DE3">
        <w:rPr>
          <w:rFonts w:ascii="Times New Roman" w:hAnsi="Times New Roman"/>
          <w:sz w:val="28"/>
          <w:szCs w:val="28"/>
        </w:rPr>
        <w:fldChar w:fldCharType="end"/>
      </w:r>
      <w:r w:rsidRPr="00903DE3">
        <w:rPr>
          <w:rFonts w:ascii="Times New Roman" w:hAnsi="Times New Roman"/>
          <w:sz w:val="28"/>
          <w:szCs w:val="28"/>
        </w:rPr>
        <w:t xml:space="preserve">, или консистенции стула типа 6 (жидкий стул) или 7 (водянистый стул), как описано в шкале </w:t>
      </w:r>
      <w:proofErr w:type="spellStart"/>
      <w:r w:rsidRPr="00903DE3">
        <w:rPr>
          <w:rFonts w:ascii="Times New Roman" w:hAnsi="Times New Roman"/>
          <w:sz w:val="28"/>
          <w:szCs w:val="28"/>
        </w:rPr>
        <w:t>Bristol</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Stool</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Form</w:t>
      </w:r>
      <w:proofErr w:type="spellEnd"/>
      <w:r w:rsidRPr="00903DE3">
        <w:rPr>
          <w:rFonts w:ascii="Times New Roman" w:hAnsi="Times New Roman"/>
          <w:sz w:val="28"/>
          <w:szCs w:val="28"/>
        </w:rPr>
        <w:t xml:space="preserve"> (BSF)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tdxF3fRh","properties":{"formattedCitation":"[151,153]","plainCitation":"[151,153]","noteIndex":0},"citationItems":[{"id":251,"uris":["http://zotero.org/users/7388323/items/ITXBKKNU"],"uri":["http://zotero.org/users/7388323/items/ITXBKKNU"],"itemData":{"id":251,"type":"article-journal","container-title":"BMJ","DOI":"10.1136/bmj.300.6722.439","ISSN":"0959-8138, 1468-5833","issue":"6722","journalAbbreviation":"BMJ","language":"en","page":"439-440","source":"DOI.org (Crossref)","title":"Detection of pseudodiarrhoea by simple clinical assessment of intestinal transit rate.","URL":"http://www.bmj.com/cgi/doi/10.1136/bmj.300.6722.439","volume":"300","author":[{"family":"O'Donnell","given":"L J"},{"family":"Virjee","given":"J"},{"family":"Heaton","given":"K W"}],"accessed":{"date-parts":[["2020",7,11]]},"issued":{"date-parts":[["1990",2,17]]}}},{"id":249,"uris":["http://zotero.org/users/7388323/items/SQUBMS2X"],"uri":["http://zotero.org/users/7388323/items/SQUBMS2X"],"itemData":{"id":249,"type":"article-journal","abstract":"Patients complaining of Ôchronic diarrhoeaÕ usually mean the passage of loose, urgent stools. Chronic diarrhoea is a feature of malabsorption; it may also be seen in the Ôdumping syndromeÕ which follows gastric surgery, small intestinal bacterial overgrowth, bile salt malabsorption and in malabsorption of simple sugars including most commonly lactose, fructose and sorbitol. Excessively rapid entry of chyme into the small or large intestine generates propulsive motor patterns leading to accelerated transit. Inﬂammation is associated with decreased normal mixing motor patterns but increased propulsive motility including high amplitude propagated contractions (HAPCs). Evidence for abnormal small intestinal motility in the diarrhoea associated with irritable bowel syndrome (IBS) is conﬂicting and any difference appears small. Increased colonic HAPCs with increased propulsion is seen in IBS with diarrhoea (IBS-D). Stress-induced colonic motility is increased in IBS-D with hyper-responsiveness to corticotrophin releasing factor (CRF). Long-lasting increases in mucosal serotonin availability may contribute to the chronic diarrhoea seen in IBS-D and coeliac disease. Treatments for abnormal motility in chronic diarrhoea include those designed to correct speciﬁc underlying abnormalities including octreotide, antibiotics, colestyramine, speciﬁc food avoidance and anti-inﬂammatory agents. There are also treatments aimed primarily at altering motility directly including opiates, 5HT3 receptor antagonists and amitriptyline.","container-title":"Neurogastroenterology and Motility","DOI":"10.1111/j.1365-2982.2006.00836.x","ISSN":"1350-1925, 1365-2982","issue":"12","journalAbbreviation":"Neurogastroenterol Motil","language":"en","page":"1045-1055","source":"DOI.org (Crossref)","title":"Role of motility in chronic diarrhoea","URL":"http://doi.wiley.com/10.1111/j.1365-2982.2006.00836.x","volume":"18","author":[{"family":"spiller","given":"r."}],"accessed":{"date-parts":[["2020",7,11]]},"issued":{"date-parts":[["2006",12]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[189, 191]</w:t>
      </w:r>
      <w:r w:rsidRPr="00903DE3">
        <w:rPr>
          <w:rFonts w:ascii="Times New Roman" w:hAnsi="Times New Roman"/>
          <w:sz w:val="28"/>
          <w:szCs w:val="28"/>
        </w:rPr>
        <w:fldChar w:fldCharType="end"/>
      </w:r>
      <w:r w:rsidRPr="00903DE3">
        <w:rPr>
          <w:rFonts w:ascii="Times New Roman" w:hAnsi="Times New Roman"/>
          <w:sz w:val="28"/>
          <w:szCs w:val="28"/>
        </w:rPr>
        <w:t xml:space="preserve">. Определение диареи относительно консистенции стула имеет теоретические преимущества, поскольку форма и консистенция стула в предыдущих исследованиях показывают лучшую корреляцию со временем прохождения и выходом фекалий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OraHJKWD","properties":{"formattedCitation":"[154\\uc0\\u8211{}156]","plainCitation":"[154–156]","noteIndex":0},"citationItems":[{"id":248,"uris":["http://zotero.org/users/7388323/items/QXIIBEHI"],"uri":["http://zotero.org/users/7388323/items/QXIIBEHI"],"itemData":{"id":248,"type":"article-journal","abstract":"Background-Watery stools are equated with rapid and hard stools with slow intestinal transit; however, the relation between stool form and transit through specific regions of the gut is not clear cut. In addition, more information is needed on interindividual variability of these measurements. Aim-To examine the relations between stool form and gastric emptying, small bowel and colonic transit.\nMethods-Regional gut transit was assessed scintigraphically and segmental colonic transit was also quantified by radio-opaque markers. On two occasions, 32 healthy volunteers (12 men, 20 women) were studied, women during the follicular and luteal phases of menstruation, men twice within a similar four week period. Diets were standardised and stool form was recorded on a seven point scale.\nResults-Women had significant harder stools; hard stools were correlated significantly with slow transit and loose stools with fast transit through the colon.\nConclusions-Stool form could not be related to gastric emptying or small bowel transit.","container-title":"Gut","DOI":"10.1136/gut.39.1.109","ISSN":"0017-5749","issue":"1","journalAbbreviation":"Gut","language":"en","page":"109-113","source":"DOI.org (Crossref)","title":"How well does stool form reflect colonic transit?","URL":"http://gut.bmj.com/cgi/doi/10.1136/gut.39.1.109","volume":"39","author":[{"family":"Degen","given":"L P"},{"family":"Phillips","given":"S F"}],"accessed":{"date-parts":[["2020",7,11]]},"issued":{"date-parts":[["1996",7,1]]}}},{"id":247,"uris":["http://zotero.org/users/7388323/items/PIHKHGZU"],"uri":["http://zotero.org/users/7388323/items/PIHKHGZU"],"itemData":{"id":247,"type":"article-journal","abstract":"OBJECTIVES: Despite a lack of supportive data, stool form and stool frequency are often used as clinical surrogates for gut transit in constipated patients. The aim of this study was to assess the correlation between stool characteristics (form and frequency) and gut transit in constipated and healthy adults.\nMETHODS: A post hoc analysis was performed on 110 subjects (46 chronic constipation) from nine US sites recording stool form (Bristol Stool Scale) and frequency during simultaneous assessment of whole-gut and colonic transit by wireless motility capsule (WMC) and radio-opaque marker (ROM) tests. Stool form and frequency were correlated with transit times using Spearman’s rank correlation. Accuracy of stool form in predicting delayed transit was assessed by receiver operating characteristic analysis.\nRESULTS: In the constipated adults (42 females, 4 males), moderate correlations were found between stool form and whole-gut transit measured by WMC (r = − 0.61, P &lt; 0.0001) or ROM ( − 0.45, P = 0.0016), as well as colonic transit measured by WMC ( − 0.62, P &lt; 0.0001). A Bristol stool form value &lt; 3 predicted delayed whole-gut transit with a sensitivity of 85% and speciﬁcity of 82% and delayed colonic transit with a sensitivity of 82% and speciﬁcity of 83%. No correlation between stool form and measured transit was found in healthy adults, regardless of gender. No correlation was found between stool frequency and measured transit in constipated or healthy adults. The correlation between stool frequency and measured transit remained poor in constipated adults with &lt; 3 bowel movements per week.\nCONCLUSIONS: Stool form predicts delayed vs. normal transit in adults. However, only a moderate correlation exists between stool form and measured whole-gut or colonic transit time in constipated adults. In contrast, stool frequency is a poor surrogate for transit, even in those with reduced stool frequency. Am J Gastroenterol 2010; 105:403–411; doi:10.1038/ajg.2009.612; published online 3 November 2009","container-title":"American Journal of Gastroenterology","DOI":"10.1038/ajg.2009.612","ISSN":"0002-9270","issue":"2","journalAbbreviation":"American Journal of Gastroenterology","language":"en","page":"403-411","source":"DOI.org (Crossref)","title":"Do Stool Form and Frequency Correlate With Whole-Gut and Colonic Transit? Results From a Multicenter Study in Constipated Individuals and Healthy Controls:","title-short":"Do Stool Form and Frequency Correlate With Whole-Gut and Colonic Transit?","URL":"http://journals.lww.com/00000434-201002000-00024","volume":"105","author":[{"family":"Saad","given":"Richard J"},{"family":"Rao","given":"Satish SC"},{"family":"Koch","given":"Kenneth L"},{"family":"Kuo","given":"Braden"},{"family":"Parkman","given":"Henry P"},{"family":"McCallum","given":"Richard W"},{"family":"Sitrin","given":"Michael D"},{"family":"Wilding","given":"Gregory E"},{"family":"Semler","given":"Jack R"},{"family":"Chey","given":"William D"}],"accessed":{"date-parts":[["2020",7,11]]},"issued":{"date-parts":[["2010",2]]}}},{"id":246,"uris":["http://zotero.org/users/7388323/items/A4J9EV48"],"uri":["http://zotero.org/users/7388323/items/A4J9EV48"],"itemData":{"id":246,"type":"article-journal","abstract":"OBJECTIVES: The relevance of colonic transit alterations for the overall symptom pattern in irritable bowel syndrome (IBS) is incompletely understood. The aim of this study was to assess the total and segmental colonic transit time (CTT) and their relationship to symptoms and subgroups in a large sample of IBS patients.\nMETHODS: Total and segmental CTT was assessed using radiopaque markers in 359 patients with IBS (279 females). These results were compared with existing normal values for healthy men and women without gastrointestinal (GI) symptoms. Stool frequency and consistency (Bristol Stool Form (BSF) scale), and the perceived severity of three GI symptoms (bloating, ﬂatulence, and abdominal pain) were noted in a daily diary during the measurement week. Patients could be classiﬁed by the BSF scale characteristics into Rome III subtypes (n = 338), or by use of the Rome II modular questionnaire into Rome II subtypes (n = 143).\nRESULTS: CTT was normal in 287 patients (80%), whereas 53 (15%) had accelerated and 19 (5%) had delayed CTT. Transit abnormalities in relation to gender-speciﬁc reference values were more common in males (30.0%) than in females (17.2%; P &lt; 0.05). IBS subgrouping according to Rome III (P &lt; 0.0001) and Rome II criteria (P &lt; 0.001) was associated with the presence of abnormal CTT. Stool form (r = − 0.40; P &lt; 0.0001) and stool frequency (r = − 0.30; P &lt; 0.0001) were moderately and negatively correlated to total CTT. No correlations of clinical signiﬁcance were found between transit data and the three GI symptoms.\nCONCLUSIONS: Total and segmental colonic transit alterations are of importance for the abnormal bowel habit seen in men and women with IBS, but of no or minor importance for other IBS symptoms. Am J Gastroenterol 2012; 107:754–760; doi:10.1038/ajg.2012.5; published online 14 February 2012","container-title":"American Journal of Gastroenterology","DOI":"10.1038/ajg.2012.5","ISSN":"0002-9270","issue":"5","journalAbbreviation":"American Journal of Gastroenterology","language":"en","page":"754-760","source":"DOI.org (Crossref)","title":"Colonic Transit Time and IBS Symptoms: Whatʼs the Link?:","title-short":"Colonic Transit Time and IBS Symptoms","URL":"http://journals.lww.com/00000434-201205000-00019","volume":"107","author":[{"family":"Törnblom","given":"Hans"},{"family":"Van Oudenhove","given":"Lukas"},{"family":"Sadik","given":"Riadh"},{"family":"Abrahamsson","given":"Hasse"},{"family":"Tack","given":"Jan"},{"family":"Simrén","given":"Magnus"}],"accessed":{"date-parts":[["2020",7,11]]},"issued":{"date-parts":[["2012",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[192-194]</w:t>
      </w:r>
      <w:r w:rsidRPr="00903DE3">
        <w:rPr>
          <w:rFonts w:ascii="Times New Roman" w:hAnsi="Times New Roman"/>
          <w:sz w:val="28"/>
          <w:szCs w:val="28"/>
        </w:rPr>
        <w:fldChar w:fldCharType="end"/>
      </w:r>
      <w:r w:rsidRPr="00903DE3">
        <w:rPr>
          <w:rFonts w:ascii="Times New Roman" w:hAnsi="Times New Roman"/>
          <w:sz w:val="28"/>
          <w:szCs w:val="28"/>
        </w:rPr>
        <w:t>. ФКС является рутинным методом обследования больных после хирургического лечения рака ободочной кишки. При развитии диареи в реабилитационном периоде эндоскопическое исследование с биопсией ободочной кишки проводится с целью исключения рецидива рака.</w:t>
      </w:r>
    </w:p>
    <w:p w14:paraId="41337569"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Известно, что изменение состава кишечной микробиоты (дисбактериоз) имеет связь с различными заболеваниями как рак, воспалительные заболевания кишечника, ревматоидный артрит и т. д. [195, 196]. Предыдущие исследования были направлены на изучение связи </w:t>
      </w:r>
      <w:proofErr w:type="spellStart"/>
      <w:r w:rsidRPr="00903DE3">
        <w:rPr>
          <w:rFonts w:ascii="Times New Roman" w:hAnsi="Times New Roman"/>
          <w:sz w:val="28"/>
          <w:szCs w:val="28"/>
        </w:rPr>
        <w:t>дисбиоза</w:t>
      </w:r>
      <w:proofErr w:type="spellEnd"/>
      <w:r w:rsidRPr="00903DE3">
        <w:rPr>
          <w:rFonts w:ascii="Times New Roman" w:hAnsi="Times New Roman"/>
          <w:sz w:val="28"/>
          <w:szCs w:val="28"/>
        </w:rPr>
        <w:t xml:space="preserve"> с развитием колоректального рака [196-199].</w:t>
      </w:r>
      <w:r w:rsidRPr="00903DE3">
        <w:t xml:space="preserve"> </w:t>
      </w:r>
      <w:r w:rsidRPr="00903DE3">
        <w:rPr>
          <w:rFonts w:ascii="Times New Roman" w:hAnsi="Times New Roman"/>
          <w:sz w:val="28"/>
          <w:szCs w:val="28"/>
        </w:rPr>
        <w:t xml:space="preserve">Были предложены различные механизмы для объяснения роли микробиоты в развитии неоплазии и злокачественной трансформации. Из-за нарушения барьерной функции слизистой оболочки </w:t>
      </w:r>
      <w:proofErr w:type="spellStart"/>
      <w:r w:rsidRPr="00903DE3">
        <w:rPr>
          <w:rFonts w:ascii="Times New Roman" w:hAnsi="Times New Roman"/>
          <w:sz w:val="28"/>
          <w:szCs w:val="28"/>
        </w:rPr>
        <w:t>дисбиоз</w:t>
      </w:r>
      <w:proofErr w:type="spellEnd"/>
      <w:r w:rsidRPr="00903DE3">
        <w:rPr>
          <w:rFonts w:ascii="Times New Roman" w:hAnsi="Times New Roman"/>
          <w:sz w:val="28"/>
          <w:szCs w:val="28"/>
        </w:rPr>
        <w:t xml:space="preserve"> может вызывать состояние хронического воспаления и способствовать иммунному ответу, допускающему развитие опухолей. Известно, что некоторые бактерии вызывают прямое повреждение ДНК, способствуя развитию раковых клеток [200-205]. В 2020 году опубликован мета-анализ, посвященный влиянию кишечной микрофлоры на прогноз после хирургического вмешательства по поводу колоректального рака. Были изучена связь между микробиотой кишечника во время операции и выживаемостью после операции по поводу колоректального рака. А так же изучена связь между микробиотой и гистопатологическими характеристиками рака [206]. Хотя во многих исследованиях оценивалась </w:t>
      </w:r>
      <w:r w:rsidRPr="00903DE3">
        <w:rPr>
          <w:rFonts w:ascii="Times New Roman" w:hAnsi="Times New Roman"/>
          <w:sz w:val="28"/>
          <w:szCs w:val="28"/>
        </w:rPr>
        <w:lastRenderedPageBreak/>
        <w:t xml:space="preserve">ассоциация между кишечными микроорганизмами и риском колоректального рака, лишь в нескольких исследованиях изучалось динамическое изменение количественного и качественного состава кишечной микробиоты в различные сроки после хирургических операции по поводу рака ободочной кишки. Таким образом, значительные изменения кишечных микробиоты были отмечены после радикальной резекции по поводу колоректального рака. В частности, было </w:t>
      </w:r>
      <w:proofErr w:type="spellStart"/>
      <w:r w:rsidRPr="00903DE3">
        <w:rPr>
          <w:rFonts w:ascii="Times New Roman" w:hAnsi="Times New Roman"/>
          <w:sz w:val="28"/>
          <w:szCs w:val="28"/>
        </w:rPr>
        <w:t>опредлено</w:t>
      </w:r>
      <w:proofErr w:type="spellEnd"/>
      <w:r w:rsidRPr="00903DE3">
        <w:rPr>
          <w:rFonts w:ascii="Times New Roman" w:hAnsi="Times New Roman"/>
          <w:sz w:val="28"/>
          <w:szCs w:val="28"/>
        </w:rPr>
        <w:t xml:space="preserve"> уменьшение популяции патогенных бактерий, таких как </w:t>
      </w:r>
      <w:proofErr w:type="spellStart"/>
      <w:r w:rsidRPr="00903DE3">
        <w:rPr>
          <w:rFonts w:ascii="Times New Roman" w:hAnsi="Times New Roman"/>
          <w:sz w:val="28"/>
          <w:szCs w:val="28"/>
        </w:rPr>
        <w:t>Fusobacterium</w:t>
      </w:r>
      <w:proofErr w:type="spellEnd"/>
      <w:r w:rsidRPr="00903DE3">
        <w:rPr>
          <w:rFonts w:ascii="Times New Roman" w:hAnsi="Times New Roman"/>
          <w:sz w:val="28"/>
          <w:szCs w:val="28"/>
        </w:rPr>
        <w:t xml:space="preserve"> и </w:t>
      </w:r>
      <w:proofErr w:type="spellStart"/>
      <w:r w:rsidRPr="00903DE3">
        <w:rPr>
          <w:rFonts w:ascii="Times New Roman" w:hAnsi="Times New Roman"/>
          <w:sz w:val="28"/>
          <w:szCs w:val="28"/>
        </w:rPr>
        <w:t>Prevotella</w:t>
      </w:r>
      <w:proofErr w:type="spellEnd"/>
      <w:r w:rsidRPr="00903DE3">
        <w:rPr>
          <w:rFonts w:ascii="Times New Roman" w:hAnsi="Times New Roman"/>
          <w:sz w:val="28"/>
          <w:szCs w:val="28"/>
        </w:rPr>
        <w:t>, которые, как известно, имеет связь с колоректальным канцерогенезом [207].</w:t>
      </w:r>
    </w:p>
    <w:p w14:paraId="6E2C267E"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Большинство исследователей доказали положительное влияние диеты при различных заболеваниях ЖКТ. Предыдущие мета-анализы освещали вопросы раннего послеоперационного питания больных после </w:t>
      </w:r>
      <w:proofErr w:type="spellStart"/>
      <w:r w:rsidRPr="00903DE3">
        <w:rPr>
          <w:rFonts w:ascii="Times New Roman" w:hAnsi="Times New Roman"/>
          <w:sz w:val="28"/>
          <w:szCs w:val="28"/>
        </w:rPr>
        <w:t>колоректальной</w:t>
      </w:r>
      <w:proofErr w:type="spellEnd"/>
      <w:r w:rsidRPr="00903DE3">
        <w:rPr>
          <w:rFonts w:ascii="Times New Roman" w:hAnsi="Times New Roman"/>
          <w:sz w:val="28"/>
          <w:szCs w:val="28"/>
        </w:rPr>
        <w:t xml:space="preserve"> хирургии. Полученные результаты свидетельствуют о сокращении частоты послеоперационных осложнений и длительности госпитализации на фоне раннего орального и/или зондового питания послеоперационных больных [208-210]. Однако в литературе недостаточно полноценно изучено питание больных после хирургических вмешательств на </w:t>
      </w:r>
      <w:proofErr w:type="spellStart"/>
      <w:r w:rsidRPr="00903DE3">
        <w:rPr>
          <w:rFonts w:ascii="Times New Roman" w:hAnsi="Times New Roman"/>
          <w:sz w:val="28"/>
          <w:szCs w:val="28"/>
        </w:rPr>
        <w:t>колоректальную</w:t>
      </w:r>
      <w:proofErr w:type="spellEnd"/>
      <w:r w:rsidRPr="00903DE3">
        <w:rPr>
          <w:rFonts w:ascii="Times New Roman" w:hAnsi="Times New Roman"/>
          <w:sz w:val="28"/>
          <w:szCs w:val="28"/>
        </w:rPr>
        <w:t xml:space="preserve"> область в более позднем периоде [211].</w:t>
      </w:r>
    </w:p>
    <w:p w14:paraId="2ECD9873"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В последние годы ученые акцентируют внимание на FODMAP диете, которая широко применяется при функциональных гастроинтестинальных симптомах как абдоминальная боль, метеоризм, констипация и диарея в результате синдрома раздраженного кишечника и воспалительных заболеваниях кишечника. FODMAP аббревиатура обозначающая ферментируемые олигосахариды, дисахариды, моносахариды и </w:t>
      </w:r>
      <w:proofErr w:type="spellStart"/>
      <w:r w:rsidRPr="00903DE3">
        <w:rPr>
          <w:rFonts w:ascii="Times New Roman" w:hAnsi="Times New Roman"/>
          <w:sz w:val="28"/>
          <w:szCs w:val="28"/>
        </w:rPr>
        <w:t>полиолы</w:t>
      </w:r>
      <w:proofErr w:type="spellEnd"/>
      <w:r w:rsidRPr="00903DE3">
        <w:rPr>
          <w:rFonts w:ascii="Times New Roman" w:hAnsi="Times New Roman"/>
          <w:sz w:val="28"/>
          <w:szCs w:val="28"/>
        </w:rPr>
        <w:t>. FODMAP представляет собой специфические типы короткоцепочечных углеводов, которые медленно абсорбируются или не перевариваются в тонком кишечнике [212-215]. Маленький молекулярный размер короткоцепочечных углеводов позволяет им посредством осмотического эффекта увеличивать водное содержимое тонкого кишечника. Так как короткоцепочечные углеводы легко ферментируются бактериями, перемещаясь в толстый кишечник, вызывают повышенное газообразование и расширение просвета кишечника. Расширение просвета кишечника способствует появлению абдоминальной боли, метеоризма, диареи и констипации [216]. Исследований, направленных на изучение FODMAP диеты не многочисленны. В мета-анализ посвященному изучению FODMAP диеты при синдроме раздраженного кишечника и воспалительных заболеваниях кишечника, из исходно 322 были включены 6 исследований. Результаты мета-анализа свидетельствуют о купировании функциональных гастроинтестинальных симптомов и улучшении качества жизни больных [216].</w:t>
      </w:r>
      <w:r w:rsidRPr="00903DE3">
        <w:t xml:space="preserve"> </w:t>
      </w:r>
      <w:r w:rsidRPr="00903DE3">
        <w:rPr>
          <w:rFonts w:ascii="Times New Roman" w:hAnsi="Times New Roman"/>
          <w:sz w:val="28"/>
          <w:szCs w:val="28"/>
        </w:rPr>
        <w:t xml:space="preserve">E. </w:t>
      </w:r>
      <w:proofErr w:type="spellStart"/>
      <w:r w:rsidRPr="00903DE3">
        <w:rPr>
          <w:rFonts w:ascii="Times New Roman" w:hAnsi="Times New Roman"/>
          <w:sz w:val="28"/>
          <w:szCs w:val="28"/>
        </w:rPr>
        <w:t>Altobelli</w:t>
      </w:r>
      <w:proofErr w:type="spellEnd"/>
      <w:r w:rsidRPr="00903DE3">
        <w:rPr>
          <w:rFonts w:ascii="Times New Roman" w:hAnsi="Times New Roman"/>
          <w:sz w:val="28"/>
          <w:szCs w:val="28"/>
        </w:rPr>
        <w:t xml:space="preserve"> и соавт</w:t>
      </w:r>
      <w:proofErr w:type="gramStart"/>
      <w:r w:rsidRPr="00903DE3">
        <w:rPr>
          <w:rFonts w:ascii="Times New Roman" w:hAnsi="Times New Roman"/>
          <w:sz w:val="28"/>
          <w:szCs w:val="28"/>
        </w:rPr>
        <w:t>. в</w:t>
      </w:r>
      <w:proofErr w:type="gramEnd"/>
      <w:r w:rsidRPr="00903DE3">
        <w:rPr>
          <w:rFonts w:ascii="Times New Roman" w:hAnsi="Times New Roman"/>
          <w:sz w:val="28"/>
          <w:szCs w:val="28"/>
        </w:rPr>
        <w:t xml:space="preserve"> 2017 году опубликовали мета-анализ, которое включало 12 исследований, посвященных FODMAP диете. Результат мета-анализа показал, что основные гастроэнтерологические симптомы при СРК как абдоминальная боль, диарея и метеоризм, статистически достоверно купируются при применении диеты с низким содержанием FODMAP по сравнению с традиционной диетой [217].</w:t>
      </w:r>
    </w:p>
    <w:p w14:paraId="205E442D" w14:textId="77777777" w:rsidR="00403127" w:rsidRPr="00903DE3" w:rsidRDefault="00094F6F" w:rsidP="00403127">
      <w:pPr>
        <w:spacing w:after="0" w:line="240" w:lineRule="auto"/>
        <w:ind w:firstLine="567"/>
        <w:jc w:val="both"/>
        <w:rPr>
          <w:rFonts w:ascii="Times New Roman" w:hAnsi="Times New Roman"/>
          <w:sz w:val="28"/>
          <w:szCs w:val="28"/>
        </w:rPr>
      </w:pPr>
      <w:hyperlink r:id="rId21" w:history="1">
        <w:r w:rsidR="00403127" w:rsidRPr="006570CF">
          <w:rPr>
            <w:rStyle w:val="af3"/>
            <w:rFonts w:ascii="Times New Roman" w:hAnsi="Times New Roman"/>
            <w:color w:val="auto"/>
            <w:sz w:val="28"/>
            <w:szCs w:val="28"/>
            <w:u w:val="none"/>
            <w:shd w:val="clear" w:color="auto" w:fill="FFFFFF"/>
          </w:rPr>
          <w:t xml:space="preserve">D. </w:t>
        </w:r>
        <w:proofErr w:type="spellStart"/>
        <w:r w:rsidR="00403127" w:rsidRPr="006570CF">
          <w:rPr>
            <w:rStyle w:val="af3"/>
            <w:rFonts w:ascii="Times New Roman" w:hAnsi="Times New Roman"/>
            <w:color w:val="auto"/>
            <w:sz w:val="28"/>
            <w:szCs w:val="28"/>
            <w:u w:val="none"/>
            <w:shd w:val="clear" w:color="auto" w:fill="FFFFFF"/>
          </w:rPr>
          <w:t>Schumann</w:t>
        </w:r>
        <w:proofErr w:type="spellEnd"/>
      </w:hyperlink>
      <w:r w:rsidR="00403127" w:rsidRPr="00903DE3">
        <w:rPr>
          <w:rFonts w:ascii="Times New Roman" w:hAnsi="Times New Roman"/>
          <w:sz w:val="28"/>
          <w:szCs w:val="28"/>
        </w:rPr>
        <w:t xml:space="preserve"> и соавт</w:t>
      </w:r>
      <w:proofErr w:type="gramStart"/>
      <w:r w:rsidR="00403127" w:rsidRPr="00903DE3">
        <w:rPr>
          <w:rFonts w:ascii="Times New Roman" w:hAnsi="Times New Roman"/>
          <w:sz w:val="28"/>
          <w:szCs w:val="28"/>
        </w:rPr>
        <w:t>. в</w:t>
      </w:r>
      <w:proofErr w:type="gramEnd"/>
      <w:r w:rsidR="00403127" w:rsidRPr="00903DE3">
        <w:rPr>
          <w:rFonts w:ascii="Times New Roman" w:hAnsi="Times New Roman"/>
          <w:sz w:val="28"/>
          <w:szCs w:val="28"/>
        </w:rPr>
        <w:t xml:space="preserve"> 2018 году опубликовали мета-анализ с 9 </w:t>
      </w:r>
      <w:proofErr w:type="spellStart"/>
      <w:r w:rsidR="00403127" w:rsidRPr="00903DE3">
        <w:rPr>
          <w:rFonts w:ascii="Times New Roman" w:hAnsi="Times New Roman"/>
          <w:sz w:val="28"/>
          <w:szCs w:val="28"/>
        </w:rPr>
        <w:t>рандомизированными</w:t>
      </w:r>
      <w:proofErr w:type="spellEnd"/>
      <w:r w:rsidR="00403127" w:rsidRPr="00903DE3">
        <w:rPr>
          <w:rFonts w:ascii="Times New Roman" w:hAnsi="Times New Roman"/>
          <w:sz w:val="28"/>
          <w:szCs w:val="28"/>
        </w:rPr>
        <w:t xml:space="preserve"> клиническими исследованиями с 596 участниками. Согласно результатам мета-анализа FODMAP диета при синдроме раздраженного кишечника оказывает кратковременный положительный эффект [218]. Аналогичный положительный результат от применения FODMAP диеты и </w:t>
      </w:r>
      <w:proofErr w:type="spellStart"/>
      <w:r w:rsidR="00403127" w:rsidRPr="00903DE3">
        <w:rPr>
          <w:rFonts w:ascii="Times New Roman" w:hAnsi="Times New Roman"/>
          <w:sz w:val="28"/>
          <w:szCs w:val="28"/>
        </w:rPr>
        <w:t>пробиотиков</w:t>
      </w:r>
      <w:proofErr w:type="spellEnd"/>
      <w:r w:rsidR="00403127" w:rsidRPr="00903DE3">
        <w:rPr>
          <w:rFonts w:ascii="Times New Roman" w:hAnsi="Times New Roman"/>
          <w:sz w:val="28"/>
          <w:szCs w:val="28"/>
        </w:rPr>
        <w:t xml:space="preserve"> при лечении СРК получили авторы мета- анализа, состоящего из 18 исследований [219]. Результаты изучения влияния диеты с низким содержанием FODMAP при постлучевой </w:t>
      </w:r>
      <w:proofErr w:type="spellStart"/>
      <w:r w:rsidR="00403127" w:rsidRPr="00903DE3">
        <w:rPr>
          <w:rFonts w:ascii="Times New Roman" w:hAnsi="Times New Roman"/>
          <w:sz w:val="28"/>
          <w:szCs w:val="28"/>
        </w:rPr>
        <w:t>энтеропатии</w:t>
      </w:r>
      <w:proofErr w:type="spellEnd"/>
      <w:r w:rsidR="00403127" w:rsidRPr="00903DE3">
        <w:rPr>
          <w:rFonts w:ascii="Times New Roman" w:hAnsi="Times New Roman"/>
          <w:sz w:val="28"/>
          <w:szCs w:val="28"/>
        </w:rPr>
        <w:t xml:space="preserve"> после специального лечения рака различных локализации опубликованы </w:t>
      </w:r>
      <w:proofErr w:type="spellStart"/>
      <w:r w:rsidR="00403127" w:rsidRPr="00903DE3">
        <w:rPr>
          <w:rFonts w:ascii="Times New Roman" w:hAnsi="Times New Roman"/>
          <w:sz w:val="28"/>
          <w:szCs w:val="28"/>
        </w:rPr>
        <w:t>T.Larsen</w:t>
      </w:r>
      <w:proofErr w:type="spellEnd"/>
      <w:r w:rsidR="00403127" w:rsidRPr="00903DE3">
        <w:rPr>
          <w:rFonts w:ascii="Times New Roman" w:hAnsi="Times New Roman"/>
          <w:sz w:val="28"/>
          <w:szCs w:val="28"/>
        </w:rPr>
        <w:t xml:space="preserve"> и соавт. Авторы сообщают о купировании клинических проявлении </w:t>
      </w:r>
      <w:proofErr w:type="spellStart"/>
      <w:r w:rsidR="00403127" w:rsidRPr="00903DE3">
        <w:rPr>
          <w:rFonts w:ascii="Times New Roman" w:hAnsi="Times New Roman"/>
          <w:sz w:val="28"/>
          <w:szCs w:val="28"/>
        </w:rPr>
        <w:t>энтеропатии</w:t>
      </w:r>
      <w:proofErr w:type="spellEnd"/>
      <w:r w:rsidR="00403127" w:rsidRPr="00903DE3">
        <w:rPr>
          <w:rFonts w:ascii="Times New Roman" w:hAnsi="Times New Roman"/>
          <w:sz w:val="28"/>
          <w:szCs w:val="28"/>
        </w:rPr>
        <w:t xml:space="preserve">, таких как диарея, метеоризм, констипация после 4-недельного применения диеты с низким содержанием FODMAP [220]. В 2020 году R. </w:t>
      </w:r>
      <w:proofErr w:type="spellStart"/>
      <w:r w:rsidR="00403127" w:rsidRPr="00903DE3">
        <w:rPr>
          <w:rFonts w:ascii="Times New Roman" w:hAnsi="Times New Roman"/>
          <w:sz w:val="28"/>
          <w:szCs w:val="28"/>
        </w:rPr>
        <w:t>Holmа</w:t>
      </w:r>
      <w:proofErr w:type="spellEnd"/>
      <w:r w:rsidR="00403127" w:rsidRPr="00903DE3">
        <w:rPr>
          <w:rFonts w:ascii="Times New Roman" w:hAnsi="Times New Roman"/>
          <w:sz w:val="28"/>
          <w:szCs w:val="28"/>
        </w:rPr>
        <w:t xml:space="preserve"> и соавт</w:t>
      </w:r>
      <w:proofErr w:type="gramStart"/>
      <w:r w:rsidR="00403127" w:rsidRPr="00903DE3">
        <w:rPr>
          <w:rFonts w:ascii="Times New Roman" w:hAnsi="Times New Roman"/>
          <w:sz w:val="28"/>
          <w:szCs w:val="28"/>
        </w:rPr>
        <w:t>. опубликовали</w:t>
      </w:r>
      <w:proofErr w:type="gramEnd"/>
      <w:r w:rsidR="00403127" w:rsidRPr="00903DE3">
        <w:rPr>
          <w:rFonts w:ascii="Times New Roman" w:hAnsi="Times New Roman"/>
          <w:sz w:val="28"/>
          <w:szCs w:val="28"/>
        </w:rPr>
        <w:t xml:space="preserve"> результаты исследования влияния продуктов с высоким содержанием FODMAP на развитие диареи у больных во время </w:t>
      </w:r>
      <w:proofErr w:type="spellStart"/>
      <w:r w:rsidR="00403127" w:rsidRPr="00903DE3">
        <w:rPr>
          <w:rFonts w:ascii="Times New Roman" w:hAnsi="Times New Roman"/>
          <w:sz w:val="28"/>
          <w:szCs w:val="28"/>
        </w:rPr>
        <w:t>адъювантной</w:t>
      </w:r>
      <w:proofErr w:type="spellEnd"/>
      <w:r w:rsidR="00403127" w:rsidRPr="00903DE3">
        <w:rPr>
          <w:rFonts w:ascii="Times New Roman" w:hAnsi="Times New Roman"/>
          <w:sz w:val="28"/>
          <w:szCs w:val="28"/>
        </w:rPr>
        <w:t xml:space="preserve"> химиотерапии. Авторами определено, что продукты с высоким содержанием FODMAP увеличивают риск возникновения диареи у данной категории больных. Соответственно, продукты с низким содержанием FODMAP снижают вероятность диареи у больных во время </w:t>
      </w:r>
      <w:proofErr w:type="spellStart"/>
      <w:r w:rsidR="00403127" w:rsidRPr="00903DE3">
        <w:rPr>
          <w:rFonts w:ascii="Times New Roman" w:hAnsi="Times New Roman"/>
          <w:sz w:val="28"/>
          <w:szCs w:val="28"/>
        </w:rPr>
        <w:t>адъювантной</w:t>
      </w:r>
      <w:proofErr w:type="spellEnd"/>
      <w:r w:rsidR="00403127" w:rsidRPr="00903DE3">
        <w:rPr>
          <w:rFonts w:ascii="Times New Roman" w:hAnsi="Times New Roman"/>
          <w:sz w:val="28"/>
          <w:szCs w:val="28"/>
        </w:rPr>
        <w:t xml:space="preserve"> химиотерапии при </w:t>
      </w:r>
      <w:proofErr w:type="spellStart"/>
      <w:r w:rsidR="00403127" w:rsidRPr="00903DE3">
        <w:rPr>
          <w:rFonts w:ascii="Times New Roman" w:hAnsi="Times New Roman"/>
          <w:sz w:val="28"/>
          <w:szCs w:val="28"/>
        </w:rPr>
        <w:t>колоректальном</w:t>
      </w:r>
      <w:proofErr w:type="spellEnd"/>
      <w:r w:rsidR="00403127" w:rsidRPr="00903DE3">
        <w:rPr>
          <w:rFonts w:ascii="Times New Roman" w:hAnsi="Times New Roman"/>
          <w:sz w:val="28"/>
          <w:szCs w:val="28"/>
        </w:rPr>
        <w:t xml:space="preserve"> раке [221]. Согласно литературным данным, большинство исследований были направлены на изучение FODMAP диеты при синдроме раздраженного кишечника и воспалительных заболеваний кишечника [222, 223]. Однако на сегодняшний день отсутствуют исследования, посвященные изучению влияния FODMAP диеты при функциональных нарушениях после операциях на ЖКТ. </w:t>
      </w:r>
    </w:p>
    <w:p w14:paraId="5B6A485D"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Многие исследования показали, что </w:t>
      </w:r>
      <w:proofErr w:type="spellStart"/>
      <w:r w:rsidRPr="00903DE3">
        <w:rPr>
          <w:rFonts w:ascii="Times New Roman" w:hAnsi="Times New Roman"/>
          <w:sz w:val="28"/>
          <w:szCs w:val="28"/>
        </w:rPr>
        <w:t>пробиотики</w:t>
      </w:r>
      <w:proofErr w:type="spellEnd"/>
      <w:r w:rsidRPr="00903DE3">
        <w:rPr>
          <w:rFonts w:ascii="Times New Roman" w:hAnsi="Times New Roman"/>
          <w:sz w:val="28"/>
          <w:szCs w:val="28"/>
        </w:rPr>
        <w:t xml:space="preserve"> или </w:t>
      </w:r>
      <w:proofErr w:type="spellStart"/>
      <w:r w:rsidRPr="00903DE3">
        <w:rPr>
          <w:rFonts w:ascii="Times New Roman" w:hAnsi="Times New Roman"/>
          <w:sz w:val="28"/>
          <w:szCs w:val="28"/>
        </w:rPr>
        <w:t>синбиотики</w:t>
      </w:r>
      <w:proofErr w:type="spellEnd"/>
      <w:r w:rsidRPr="00903DE3">
        <w:rPr>
          <w:rFonts w:ascii="Times New Roman" w:hAnsi="Times New Roman"/>
          <w:sz w:val="28"/>
          <w:szCs w:val="28"/>
        </w:rPr>
        <w:t xml:space="preserve"> можно использовать у пациентов с диареей или воспалительным заболеванием кишечника для профилактики и лечения ряда патологий за счет улучшения барьерной функции пищеварительного тракта. Однако исследований, посвященных использованию </w:t>
      </w:r>
      <w:proofErr w:type="spellStart"/>
      <w:r w:rsidRPr="00903DE3">
        <w:rPr>
          <w:rFonts w:ascii="Times New Roman" w:hAnsi="Times New Roman"/>
          <w:sz w:val="28"/>
          <w:szCs w:val="28"/>
        </w:rPr>
        <w:t>пробиотиков</w:t>
      </w:r>
      <w:proofErr w:type="spellEnd"/>
      <w:r w:rsidRPr="00903DE3">
        <w:rPr>
          <w:rFonts w:ascii="Times New Roman" w:hAnsi="Times New Roman"/>
          <w:sz w:val="28"/>
          <w:szCs w:val="28"/>
        </w:rPr>
        <w:t xml:space="preserve"> у пациентов с колоректальным раком, немногочисленны. Для оценки эффективности </w:t>
      </w:r>
      <w:proofErr w:type="spellStart"/>
      <w:r w:rsidRPr="00903DE3">
        <w:rPr>
          <w:rFonts w:ascii="Times New Roman" w:hAnsi="Times New Roman"/>
          <w:sz w:val="28"/>
          <w:szCs w:val="28"/>
        </w:rPr>
        <w:t>пробиотиков</w:t>
      </w:r>
      <w:proofErr w:type="spellEnd"/>
      <w:r w:rsidRPr="00903DE3">
        <w:rPr>
          <w:rFonts w:ascii="Times New Roman" w:hAnsi="Times New Roman"/>
          <w:sz w:val="28"/>
          <w:szCs w:val="28"/>
        </w:rPr>
        <w:t xml:space="preserve"> на барьер слизистой оболочки кишечника у пациентов с колоректальным раком после операции был проведен мета-анализ рандомизированных контролируемых исследований. Для оценки эффективности </w:t>
      </w:r>
      <w:proofErr w:type="spellStart"/>
      <w:r w:rsidRPr="00903DE3">
        <w:rPr>
          <w:rFonts w:ascii="Times New Roman" w:hAnsi="Times New Roman"/>
          <w:sz w:val="28"/>
          <w:szCs w:val="28"/>
        </w:rPr>
        <w:t>пробиотиков</w:t>
      </w:r>
      <w:proofErr w:type="spellEnd"/>
      <w:r w:rsidRPr="00903DE3">
        <w:rPr>
          <w:rFonts w:ascii="Times New Roman" w:hAnsi="Times New Roman"/>
          <w:sz w:val="28"/>
          <w:szCs w:val="28"/>
        </w:rPr>
        <w:t xml:space="preserve"> в защите барьера слизистой оболочки кишечника у пациентов с колоректальным раком были выбраны шесть показателей: отношение </w:t>
      </w:r>
      <w:proofErr w:type="spellStart"/>
      <w:r w:rsidRPr="00903DE3">
        <w:rPr>
          <w:rFonts w:ascii="Times New Roman" w:hAnsi="Times New Roman"/>
          <w:sz w:val="28"/>
          <w:szCs w:val="28"/>
        </w:rPr>
        <w:t>лактулозы</w:t>
      </w:r>
      <w:proofErr w:type="spellEnd"/>
      <w:r w:rsidRPr="00903DE3">
        <w:rPr>
          <w:rFonts w:ascii="Times New Roman" w:hAnsi="Times New Roman"/>
          <w:sz w:val="28"/>
          <w:szCs w:val="28"/>
        </w:rPr>
        <w:t xml:space="preserve"> к </w:t>
      </w:r>
      <w:proofErr w:type="spellStart"/>
      <w:r w:rsidRPr="00903DE3">
        <w:rPr>
          <w:rFonts w:ascii="Times New Roman" w:hAnsi="Times New Roman"/>
          <w:sz w:val="28"/>
          <w:szCs w:val="28"/>
        </w:rPr>
        <w:t>манниту</w:t>
      </w:r>
      <w:proofErr w:type="spellEnd"/>
      <w:r w:rsidRPr="00903DE3">
        <w:rPr>
          <w:rFonts w:ascii="Times New Roman" w:hAnsi="Times New Roman"/>
          <w:sz w:val="28"/>
          <w:szCs w:val="28"/>
        </w:rPr>
        <w:t xml:space="preserve"> (L/M) и Bifidobacterium к Escherichia (B/E), </w:t>
      </w:r>
      <w:proofErr w:type="spellStart"/>
      <w:r w:rsidRPr="00903DE3">
        <w:rPr>
          <w:rFonts w:ascii="Times New Roman" w:hAnsi="Times New Roman"/>
          <w:sz w:val="28"/>
          <w:szCs w:val="28"/>
        </w:rPr>
        <w:t>окклюдину</w:t>
      </w:r>
      <w:proofErr w:type="spellEnd"/>
      <w:r w:rsidRPr="00903DE3">
        <w:rPr>
          <w:rFonts w:ascii="Times New Roman" w:hAnsi="Times New Roman"/>
          <w:sz w:val="28"/>
          <w:szCs w:val="28"/>
        </w:rPr>
        <w:t xml:space="preserve">, бактериальной </w:t>
      </w:r>
      <w:proofErr w:type="spellStart"/>
      <w:r w:rsidRPr="00903DE3">
        <w:rPr>
          <w:rFonts w:ascii="Times New Roman" w:hAnsi="Times New Roman"/>
          <w:sz w:val="28"/>
          <w:szCs w:val="28"/>
        </w:rPr>
        <w:t>транслокации</w:t>
      </w:r>
      <w:proofErr w:type="spellEnd"/>
      <w:r w:rsidRPr="00903DE3">
        <w:rPr>
          <w:rFonts w:ascii="Times New Roman" w:hAnsi="Times New Roman"/>
          <w:sz w:val="28"/>
          <w:szCs w:val="28"/>
        </w:rPr>
        <w:t xml:space="preserve"> и уровням секреторного иммуноглобулина A (</w:t>
      </w:r>
      <w:proofErr w:type="spellStart"/>
      <w:r w:rsidRPr="00903DE3">
        <w:rPr>
          <w:rFonts w:ascii="Times New Roman" w:hAnsi="Times New Roman"/>
          <w:sz w:val="28"/>
          <w:szCs w:val="28"/>
        </w:rPr>
        <w:t>SIgA</w:t>
      </w:r>
      <w:proofErr w:type="spellEnd"/>
      <w:r w:rsidRPr="00903DE3">
        <w:rPr>
          <w:rFonts w:ascii="Times New Roman" w:hAnsi="Times New Roman"/>
          <w:sz w:val="28"/>
          <w:szCs w:val="28"/>
        </w:rPr>
        <w:t xml:space="preserve">), интерлейкина-6 (IL-6) и C – реактивного белка. Для мета-анализа было отобрано 17 исследований с участием 1242 пациентов. По результатам мета-анализа определили, что </w:t>
      </w:r>
      <w:proofErr w:type="spellStart"/>
      <w:r w:rsidRPr="00903DE3">
        <w:rPr>
          <w:rFonts w:ascii="Times New Roman" w:hAnsi="Times New Roman"/>
          <w:sz w:val="28"/>
          <w:szCs w:val="28"/>
        </w:rPr>
        <w:t>пробиотики</w:t>
      </w:r>
      <w:proofErr w:type="spellEnd"/>
      <w:r w:rsidRPr="00903DE3">
        <w:rPr>
          <w:rFonts w:ascii="Times New Roman" w:hAnsi="Times New Roman"/>
          <w:sz w:val="28"/>
          <w:szCs w:val="28"/>
        </w:rPr>
        <w:t xml:space="preserve"> могут эффективно защищать физический и биологический барьер слизистой оболочки кишечника у пациентов с колоректальным раком после операции [224]. Результаты мета-анализа, посвященного </w:t>
      </w:r>
      <w:r w:rsidRPr="00903DE3">
        <w:rPr>
          <w:rFonts w:ascii="Times New Roman" w:hAnsi="Times New Roman"/>
          <w:sz w:val="28"/>
          <w:szCs w:val="28"/>
          <w:shd w:val="clear" w:color="auto" w:fill="FFFFFF"/>
        </w:rPr>
        <w:t xml:space="preserve">Lactobacillus rhamnosus GG </w:t>
      </w:r>
      <w:r w:rsidRPr="00903DE3">
        <w:rPr>
          <w:rFonts w:ascii="Times New Roman" w:hAnsi="Times New Roman"/>
          <w:color w:val="212121"/>
          <w:sz w:val="28"/>
          <w:szCs w:val="28"/>
          <w:shd w:val="clear" w:color="auto" w:fill="FFFFFF"/>
        </w:rPr>
        <w:t>(LGG), свидетельствуют</w:t>
      </w:r>
      <w:r w:rsidRPr="00903DE3">
        <w:rPr>
          <w:rFonts w:ascii="Times New Roman" w:hAnsi="Times New Roman"/>
          <w:sz w:val="28"/>
          <w:szCs w:val="28"/>
        </w:rPr>
        <w:t xml:space="preserve"> об эффективности пробиотика при диарее различного генеза как синдром раздраженного кишечника, антибиотик – ассоциированное состояние, диарее при функциональных нарушениях желудочно-кишечного </w:t>
      </w:r>
      <w:r w:rsidRPr="00903DE3">
        <w:rPr>
          <w:rFonts w:ascii="Times New Roman" w:hAnsi="Times New Roman"/>
          <w:sz w:val="28"/>
          <w:szCs w:val="28"/>
        </w:rPr>
        <w:lastRenderedPageBreak/>
        <w:t xml:space="preserve">тракта, некротических энтероколитах, при респираторных инфекциях, при специальном лечении рака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rrdc38551","properties":{"formattedCitation":"[191]","plainCitation":"[191]","noteIndex":0},"citationItems":[{"id":792,"uris":["http://zotero.org/users/7388323/items/BYMAWI9H"],"uri":["http://zotero.org/users/7388323/items/BYMAWI9H"],"itemData":{"id":792,"type":"article-journal","abstract":"Lactobacillus rhamnosus GG (LGG) was the ﬁrst strain belonging to the genus Lactobacillus to be patented in 1989 thanks to its ability to survive and to proliferate at gastric acid pH and in medium containing bile, and to adhere to enterocytes. Furthermore LGG is able to produces both a bioﬁlm that can mechanically protect the mucosa, and different soluble factors beneﬁcial to the gut by enhancing intestinal crypt survival, diminishing apoptosis of the intestinal epithelium, and preserving cytoskeletal integrity. Moreover LGG thanks to its lectin-like protein 1 and 2 inhibits some pathogens such as Salmonella species. Finally LGG is able to promote type 1 immune-responsiveness by reducing the expression of several activation and inﬂammation markers on monocytes and by increasing the production of interleukin-10, interleukin-12 and tumor necrosis factor-α in macrophages. A large number of research data on Lactobacillus GG is the basis for the use of this probiotic for human health. In this review we have considered predominantly randomized controlled trials, meta-analysis, Cochrane Review, guide lines of Scientiﬁc Societies and anyway studies whose results were evaluated by means of relative risk, odds ratio, weighted mean difference 95% conﬁdence interval. The effectiveness of LGG in gastrointestinal infections and diarrhea, antibiotic and Clostridium difﬁcile associated diarrhea, irritable bowel syndrome, inﬂammatory bowel disease, respiratory tract infections, allergy, cardiovascular diseases, nonalcoholic fatty liver disease, nonalcoholic steatohepatitis, cystic ﬁbrosis, cancer, elderly end sport were analyzed.","container-title":"Journal of Clinical Gastroenterology","DOI":"10.1097/MCG.0000000000001170","ISSN":"0192-0790","journalAbbreviation":"Journal of Clinical Gastroenterology","language":"en","page":"S1-S41","source":"DOI.org (Crossref)","title":"Thirty Years of Lactobacillus rhamnosus GG: A Review","title-short":"Thirty Years of Lactobacillus rhamnosus GG","URL":"http://journals.lww.com/00004836-201903001-00001","volume":"53","author":[{"family":"Capurso","given":"Lucio"}],"accessed":{"date-parts":[["2021",1,25]]},"issued":{"date-parts":[["2019",3]]}}}],"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[225]</w:t>
      </w:r>
      <w:r w:rsidRPr="00903DE3">
        <w:rPr>
          <w:rFonts w:ascii="Times New Roman" w:hAnsi="Times New Roman"/>
          <w:sz w:val="28"/>
          <w:szCs w:val="28"/>
        </w:rPr>
        <w:fldChar w:fldCharType="end"/>
      </w:r>
      <w:r w:rsidRPr="00903DE3">
        <w:rPr>
          <w:rFonts w:ascii="Times New Roman" w:hAnsi="Times New Roman"/>
          <w:sz w:val="28"/>
          <w:szCs w:val="28"/>
        </w:rPr>
        <w:t>.</w:t>
      </w:r>
    </w:p>
    <w:p w14:paraId="176705B5"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Использование </w:t>
      </w:r>
      <w:proofErr w:type="spellStart"/>
      <w:r w:rsidRPr="00903DE3">
        <w:rPr>
          <w:rFonts w:ascii="Times New Roman" w:hAnsi="Times New Roman"/>
          <w:sz w:val="28"/>
          <w:szCs w:val="28"/>
        </w:rPr>
        <w:t>лоперамида</w:t>
      </w:r>
      <w:proofErr w:type="spellEnd"/>
      <w:r w:rsidRPr="00903DE3">
        <w:rPr>
          <w:rFonts w:ascii="Times New Roman" w:hAnsi="Times New Roman"/>
          <w:sz w:val="28"/>
          <w:szCs w:val="28"/>
        </w:rPr>
        <w:t xml:space="preserve"> было изучено в </w:t>
      </w:r>
      <w:proofErr w:type="spellStart"/>
      <w:r w:rsidRPr="00903DE3">
        <w:rPr>
          <w:rFonts w:ascii="Times New Roman" w:hAnsi="Times New Roman"/>
          <w:sz w:val="28"/>
          <w:szCs w:val="28"/>
        </w:rPr>
        <w:t>плацебоконтролируемом</w:t>
      </w:r>
      <w:proofErr w:type="spellEnd"/>
      <w:r w:rsidRPr="00903DE3">
        <w:rPr>
          <w:rFonts w:ascii="Times New Roman" w:hAnsi="Times New Roman"/>
          <w:sz w:val="28"/>
          <w:szCs w:val="28"/>
        </w:rPr>
        <w:t xml:space="preserve"> перекрестном исследовании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YbiGkUbu","properties":{"formattedCitation":"[178]","plainCitation":"[178]","noteIndex":0},"citationItems":[{"id":201,"uris":["http://zotero.org/users/7388323/items/3KD4JIIF"],"uri":["http://zotero.org/users/7388323/items/3KD4JIIF"],"itemData":{"id":201,"type":"article-journal","abstract":"Loperamide (R 18 553) was compared with placebo in a double-blind crossover study of 21 patients with chronic diarrhoea caused by ileocolic disease or resection. Eighteen patients completed the trial. At a median daily dose of 6 mg the new antidiarrhoeal preparation was found to be superior to placebo in controlling chronic diarrhoea. The frequency and weight of stools significantly decreased, the stools became more solid, and carmine transit time was prolonged during loperamide therapy. Loperamide was consistently preferred to placebo by the patients. Gastrointestinal sideeffects were few and comparable during both treatment periods.","container-title":"Gut","DOI":"10.1136/gut.18.7.575","ISSN":"0017-5749","issue":"7","journalAbbreviation":"Gut","language":"en","page":"575-579","source":"DOI.org (Crossref)","title":"Double-blind placebo-controlled study of loperamide (Imodium) in chronic diarrhoea caused by ileocolic disease or resection.","URL":"http://gut.bmj.com/cgi/doi/10.1136/gut.18.7.575","volume":"18","author":[{"family":"Mainguet","given":"P"},{"family":"Fiasse","given":"R"}],"accessed":{"date-parts":[["2020",7,12]]},"issued":{"date-parts":[["1977",7,1]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[226]</w:t>
      </w:r>
      <w:r w:rsidRPr="00903DE3">
        <w:rPr>
          <w:rFonts w:ascii="Times New Roman" w:hAnsi="Times New Roman"/>
          <w:sz w:val="28"/>
          <w:szCs w:val="28"/>
        </w:rPr>
        <w:fldChar w:fldCharType="end"/>
      </w:r>
      <w:r w:rsidRPr="00903DE3">
        <w:rPr>
          <w:rFonts w:ascii="Times New Roman" w:hAnsi="Times New Roman"/>
          <w:sz w:val="28"/>
          <w:szCs w:val="28"/>
        </w:rPr>
        <w:t xml:space="preserve">. </w:t>
      </w:r>
      <w:proofErr w:type="spellStart"/>
      <w:r w:rsidRPr="00903DE3">
        <w:rPr>
          <w:rFonts w:ascii="Times New Roman" w:hAnsi="Times New Roman"/>
          <w:sz w:val="28"/>
          <w:szCs w:val="28"/>
        </w:rPr>
        <w:t>Mainguet</w:t>
      </w:r>
      <w:proofErr w:type="spellEnd"/>
      <w:r w:rsidRPr="00903DE3">
        <w:rPr>
          <w:rFonts w:ascii="Times New Roman" w:hAnsi="Times New Roman"/>
          <w:sz w:val="28"/>
          <w:szCs w:val="28"/>
        </w:rPr>
        <w:t xml:space="preserve"> P. и </w:t>
      </w:r>
      <w:proofErr w:type="spellStart"/>
      <w:r w:rsidRPr="00903DE3">
        <w:rPr>
          <w:rFonts w:ascii="Times New Roman" w:hAnsi="Times New Roman"/>
          <w:sz w:val="28"/>
          <w:szCs w:val="28"/>
        </w:rPr>
        <w:t>Fiasse</w:t>
      </w:r>
      <w:proofErr w:type="spellEnd"/>
      <w:r w:rsidRPr="00903DE3">
        <w:rPr>
          <w:rFonts w:ascii="Times New Roman" w:hAnsi="Times New Roman"/>
          <w:sz w:val="28"/>
          <w:szCs w:val="28"/>
        </w:rPr>
        <w:t xml:space="preserve"> R. оценили эффективность </w:t>
      </w:r>
      <w:proofErr w:type="spellStart"/>
      <w:r w:rsidRPr="00903DE3">
        <w:rPr>
          <w:rFonts w:ascii="Times New Roman" w:hAnsi="Times New Roman"/>
          <w:sz w:val="28"/>
          <w:szCs w:val="28"/>
        </w:rPr>
        <w:t>лоперамида</w:t>
      </w:r>
      <w:proofErr w:type="spellEnd"/>
      <w:r w:rsidRPr="00903DE3">
        <w:rPr>
          <w:rFonts w:ascii="Times New Roman" w:hAnsi="Times New Roman"/>
          <w:sz w:val="28"/>
          <w:szCs w:val="28"/>
        </w:rPr>
        <w:t xml:space="preserve"> для уменьшения симптомов диареи в смешанной группе пациентов с различными </w:t>
      </w:r>
      <w:proofErr w:type="spellStart"/>
      <w:r w:rsidRPr="00903DE3">
        <w:rPr>
          <w:rFonts w:ascii="Times New Roman" w:hAnsi="Times New Roman"/>
          <w:sz w:val="28"/>
          <w:szCs w:val="28"/>
        </w:rPr>
        <w:t>илеоколическими</w:t>
      </w:r>
      <w:proofErr w:type="spellEnd"/>
      <w:r w:rsidRPr="00903DE3">
        <w:rPr>
          <w:rFonts w:ascii="Times New Roman" w:hAnsi="Times New Roman"/>
          <w:sz w:val="28"/>
          <w:szCs w:val="28"/>
        </w:rPr>
        <w:t xml:space="preserve"> заболеваниями и/или резекциями. Авторы обнаружили, что </w:t>
      </w:r>
      <w:proofErr w:type="spellStart"/>
      <w:r w:rsidRPr="00903DE3">
        <w:rPr>
          <w:rFonts w:ascii="Times New Roman" w:hAnsi="Times New Roman"/>
          <w:sz w:val="28"/>
          <w:szCs w:val="28"/>
        </w:rPr>
        <w:t>лоперамид</w:t>
      </w:r>
      <w:proofErr w:type="spellEnd"/>
      <w:r w:rsidRPr="00903DE3">
        <w:rPr>
          <w:rFonts w:ascii="Times New Roman" w:hAnsi="Times New Roman"/>
          <w:sz w:val="28"/>
          <w:szCs w:val="28"/>
        </w:rPr>
        <w:t xml:space="preserve"> значительно уменьшал суточное количество стула, суточную массу стула и время прохождения через кишечник. Другая группа из 42 пациентов с различными причинами хронической диареи, </w:t>
      </w:r>
      <w:proofErr w:type="spellStart"/>
      <w:r w:rsidRPr="00903DE3">
        <w:rPr>
          <w:rFonts w:ascii="Times New Roman" w:hAnsi="Times New Roman"/>
          <w:sz w:val="28"/>
          <w:szCs w:val="28"/>
        </w:rPr>
        <w:t>Mainguet</w:t>
      </w:r>
      <w:proofErr w:type="spellEnd"/>
      <w:r w:rsidRPr="00903DE3">
        <w:rPr>
          <w:rFonts w:ascii="Times New Roman" w:hAnsi="Times New Roman"/>
          <w:sz w:val="28"/>
          <w:szCs w:val="28"/>
        </w:rPr>
        <w:t xml:space="preserve"> P. и соавт сообщили, что через 1-2 года лечения </w:t>
      </w:r>
      <w:proofErr w:type="spellStart"/>
      <w:r w:rsidRPr="00903DE3">
        <w:rPr>
          <w:rFonts w:ascii="Times New Roman" w:hAnsi="Times New Roman"/>
          <w:sz w:val="28"/>
          <w:szCs w:val="28"/>
        </w:rPr>
        <w:t>лоперамид</w:t>
      </w:r>
      <w:proofErr w:type="spellEnd"/>
      <w:r w:rsidRPr="00903DE3">
        <w:rPr>
          <w:rFonts w:ascii="Times New Roman" w:hAnsi="Times New Roman"/>
          <w:sz w:val="28"/>
          <w:szCs w:val="28"/>
        </w:rPr>
        <w:t xml:space="preserve"> оставался эффективным и безопасным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yCo8oUWH","properties":{"formattedCitation":"[179]","plainCitation":"[179]","noteIndex":0},"citationItems":[{"id":199,"uris":["http://zotero.org/users/7388323/items/9BDF79P4"],"uri":["http://zotero.org/users/7388323/items/9BDF79P4"],"itemData":{"id":199,"type":"article-journal","container-title":"Digestion","DOI":"10.1159/000198057","ISSN":"0012-2823, 1421-9867","issue":"1-2","journalAbbreviation":"Digestion","language":"en","page":"69-76","source":"DOI.org (Crossref)","title":"Long-Term Survey of the Treatment of Diarrhoea with Loperamide","URL":"https://www.karger.com/Article/FullText/198057","volume":"16","author":[{"family":"Mainguet","given":"P."},{"family":"Fiasse","given":"R."},{"family":"Turine","given":"J.B."}],"accessed":{"date-parts":[["2020",7,12]]},"issued":{"date-parts":[["1977"]]}}}],"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[227]</w:t>
      </w:r>
      <w:r w:rsidRPr="00903DE3">
        <w:rPr>
          <w:rFonts w:ascii="Times New Roman" w:hAnsi="Times New Roman"/>
          <w:sz w:val="28"/>
          <w:szCs w:val="28"/>
        </w:rPr>
        <w:fldChar w:fldCharType="end"/>
      </w:r>
      <w:r w:rsidRPr="00903DE3">
        <w:rPr>
          <w:rFonts w:ascii="Times New Roman" w:hAnsi="Times New Roman"/>
          <w:sz w:val="28"/>
          <w:szCs w:val="28"/>
        </w:rPr>
        <w:t xml:space="preserve">. Также было выявлено, что </w:t>
      </w:r>
      <w:proofErr w:type="spellStart"/>
      <w:r w:rsidRPr="00903DE3">
        <w:rPr>
          <w:rFonts w:ascii="Times New Roman" w:hAnsi="Times New Roman"/>
          <w:sz w:val="28"/>
          <w:szCs w:val="28"/>
        </w:rPr>
        <w:t>лоперамид</w:t>
      </w:r>
      <w:proofErr w:type="spellEnd"/>
      <w:r w:rsidRPr="00903DE3">
        <w:rPr>
          <w:rFonts w:ascii="Times New Roman" w:hAnsi="Times New Roman"/>
          <w:sz w:val="28"/>
          <w:szCs w:val="28"/>
        </w:rPr>
        <w:t xml:space="preserve"> имеет положительный эффект у больных с диареей после резекции кишечника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kd3ooiIJ","properties":{"formattedCitation":"[180]","plainCitation":"[180]","noteIndex":0},"citationItems":[{"id":198,"uris":["http://zotero.org/users/7388323/items/IAIJCAHB"],"uri":["http://zotero.org/users/7388323/items/IAIJCAHB"],"itemData":{"id":198,"type":"article-journal","container-title":"Scandinavian Journal of Gastroenterology","DOI":"10.3109/00365528809090197","ISSN":"0036-5521, 1502-7708","issue":"10","journalAbbreviation":"Scandinavian Journal of Gastroenterology","language":"en","page":"1237-1240","source":"DOI.org (Crossref)","title":"Treatment of Chronic Diarrhoea: Loperamide versus Ispaghula Husk and Calcium","title-short":"Treatment of Chronic Diarrhoea","URL":"http://www.tandfonline.com/doi/full/10.3109/00365528809090197","volume":"23","author":[{"family":"Qvitzau","given":"S."},{"family":"Matzen","given":"P."},{"family":"Madsen","given":"P."}],"accessed":{"date-parts":[["2020",7,12]]},"issued":{"date-parts":[["1988",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[228]</w:t>
      </w:r>
      <w:r w:rsidRPr="00903DE3">
        <w:rPr>
          <w:rFonts w:ascii="Times New Roman" w:hAnsi="Times New Roman"/>
          <w:sz w:val="28"/>
          <w:szCs w:val="28"/>
        </w:rPr>
        <w:fldChar w:fldCharType="end"/>
      </w:r>
      <w:r w:rsidRPr="00903DE3">
        <w:rPr>
          <w:rFonts w:ascii="Times New Roman" w:hAnsi="Times New Roman"/>
          <w:sz w:val="28"/>
          <w:szCs w:val="28"/>
        </w:rPr>
        <w:t xml:space="preserve">. При лечении </w:t>
      </w:r>
      <w:proofErr w:type="spellStart"/>
      <w:r w:rsidRPr="00903DE3">
        <w:rPr>
          <w:rFonts w:ascii="Times New Roman" w:hAnsi="Times New Roman"/>
          <w:sz w:val="28"/>
          <w:szCs w:val="28"/>
        </w:rPr>
        <w:t>лоперамидом</w:t>
      </w:r>
      <w:proofErr w:type="spellEnd"/>
      <w:r w:rsidRPr="00903DE3">
        <w:rPr>
          <w:rFonts w:ascii="Times New Roman" w:hAnsi="Times New Roman"/>
          <w:sz w:val="28"/>
          <w:szCs w:val="28"/>
        </w:rPr>
        <w:t xml:space="preserve"> у больных отмечалось улучшение консистенции стула по сравнению с лечением </w:t>
      </w:r>
      <w:proofErr w:type="spellStart"/>
      <w:r w:rsidRPr="00903DE3">
        <w:rPr>
          <w:rFonts w:ascii="Times New Roman" w:hAnsi="Times New Roman"/>
          <w:sz w:val="28"/>
          <w:szCs w:val="28"/>
        </w:rPr>
        <w:t>опиоид-дифеноксилатом</w:t>
      </w:r>
      <w:proofErr w:type="spellEnd"/>
      <w:r w:rsidRPr="00903DE3">
        <w:rPr>
          <w:rFonts w:ascii="Times New Roman" w:hAnsi="Times New Roman"/>
          <w:sz w:val="28"/>
          <w:szCs w:val="28"/>
        </w:rPr>
        <w:t xml:space="preserve">. В этом слепом исследовании 19 больных предпочитали </w:t>
      </w:r>
      <w:proofErr w:type="spellStart"/>
      <w:r w:rsidRPr="00903DE3">
        <w:rPr>
          <w:rFonts w:ascii="Times New Roman" w:hAnsi="Times New Roman"/>
          <w:sz w:val="28"/>
          <w:szCs w:val="28"/>
        </w:rPr>
        <w:t>лоперамид</w:t>
      </w:r>
      <w:proofErr w:type="spellEnd"/>
      <w:r w:rsidRPr="00903DE3">
        <w:rPr>
          <w:rFonts w:ascii="Times New Roman" w:hAnsi="Times New Roman"/>
          <w:sz w:val="28"/>
          <w:szCs w:val="28"/>
        </w:rPr>
        <w:t xml:space="preserve">, а 5 – </w:t>
      </w:r>
      <w:proofErr w:type="spellStart"/>
      <w:r w:rsidRPr="00903DE3">
        <w:rPr>
          <w:rFonts w:ascii="Times New Roman" w:hAnsi="Times New Roman"/>
          <w:sz w:val="28"/>
          <w:szCs w:val="28"/>
        </w:rPr>
        <w:t>дифеноксилат</w:t>
      </w:r>
      <w:proofErr w:type="spellEnd"/>
      <w:r w:rsidRPr="00903DE3">
        <w:rPr>
          <w:rFonts w:ascii="Times New Roman" w:hAnsi="Times New Roman"/>
          <w:sz w:val="28"/>
          <w:szCs w:val="28"/>
        </w:rPr>
        <w:t xml:space="preserve">. Это исследование показывает, что у некоторых оперированных больных лечение диареи </w:t>
      </w:r>
      <w:proofErr w:type="spellStart"/>
      <w:r w:rsidRPr="00903DE3">
        <w:rPr>
          <w:rFonts w:ascii="Times New Roman" w:hAnsi="Times New Roman"/>
          <w:sz w:val="28"/>
          <w:szCs w:val="28"/>
        </w:rPr>
        <w:t>опиоидами</w:t>
      </w:r>
      <w:proofErr w:type="spellEnd"/>
      <w:r w:rsidRPr="00903DE3">
        <w:rPr>
          <w:rFonts w:ascii="Times New Roman" w:hAnsi="Times New Roman"/>
          <w:sz w:val="28"/>
          <w:szCs w:val="28"/>
        </w:rPr>
        <w:t xml:space="preserve">, такими как </w:t>
      </w:r>
      <w:proofErr w:type="spellStart"/>
      <w:r w:rsidRPr="00903DE3">
        <w:rPr>
          <w:rFonts w:ascii="Times New Roman" w:hAnsi="Times New Roman"/>
          <w:sz w:val="28"/>
          <w:szCs w:val="28"/>
        </w:rPr>
        <w:t>лоперамид</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кодеинфосфат</w:t>
      </w:r>
      <w:proofErr w:type="spellEnd"/>
      <w:r w:rsidRPr="00903DE3">
        <w:rPr>
          <w:rFonts w:ascii="Times New Roman" w:hAnsi="Times New Roman"/>
          <w:sz w:val="28"/>
          <w:szCs w:val="28"/>
        </w:rPr>
        <w:t xml:space="preserve"> может иметь положительный эффект.</w:t>
      </w:r>
    </w:p>
    <w:p w14:paraId="6652B623"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Было предпринято несколько попыток установить эффективность пищевых добавок при лечении диареи. Результаты заметно различались в зависимости от группы исследованных больных, а также от характера пищевых добавок. Обнаружено, что пшеничные отруби сокращают время прохождения через кишечник у пациентов с синдромом раздраженного кишечника с преобладанием диареи, в одном из исследований наблюдалось ухудшение консистенции стула у больных, принимающих отруби пшеницы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CQp9qfEe","properties":{"formattedCitation":"[181,182]","plainCitation":"[181,182]","noteIndex":0},"citationItems":[{"id":218,"uris":["http://zotero.org/users/7388323/items/2YTUPAN8"],"uri":["http://zotero.org/users/7388323/items/2YTUPAN8"],"itemData":{"id":218,"type":"article-journal","abstract":"Background: The incretin hormones GIP and GLP-1 are thought to be produced in separate endocrine cells located in the proximal and distal ends of the mammalian small intestine, respectively. Methods and results: Using double immunohistochemistry and in situ hybridization, we found that GLP-1 was colocalized with either GIP or PYY in endocrine cells of the porcine, rat, and human small intestines, whereas GIP and PYY were rarely colocalized. Thus, of all the cells staining positively for either GLP-1, GIP, or both, 55 – 75% were GLP-1 and GIP double-stained in the mid-small intestine. Concentrations of extractable GIP and PYY were highest in the midjejunum [154 (95 – 167) and 141 (67 – 158) pmol/g, median and range, respectively], whereas GLP-1 concentrations were highest in the ileum [92 (80 – 207) pmol/l], but GLP-1, GIP, and PYY immunoreactive cells were found throughout the porcine small intestine. Conclusions: Our results provide a morphological basis to suggest simultaneous, rather than sequential, secretion of these hormones by postprandial luminal stimulation.","container-title":"Regulatory Peptides","DOI":"10.1016/S0167-0115(03)00125-3","ISSN":"01670115","issue":"2-3","journalAbbreviation":"Regulatory Peptides","language":"en","page":"189-196","source":"DOI.org (Crossref)","title":"GLP-1 and GIP are colocalized in a subset of endocrine cells in the small intestine","URL":"https://linkinghub.elsevier.com/retrieve/pii/S0167011503001253","volume":"114","author":[{"family":"Mortensen","given":"Kristine"},{"family":"Christensen","given":"Louise Lundby"},{"family":"Holst","given":"Jens Juul"},{"family":"Orskov","given":"Cathrine"}],"accessed":{"date-parts":[["2020",7,12]]},"issued":{"date-parts":[["2003",7]]}}},{"id":197,"uris":["http://zotero.org/users/7388323/items/QR5VC4BQ"],"uri":["http://zotero.org/users/7388323/items/QR5VC4BQ"],"itemData":{"id":197,"type":"article-journal","abstract":"The effect of open treatment with coarse wheat bran was compared with response to placebo, given in the form of a double blind, cross over drug trial, in patients with irritable bowel syndrome. Both bran and placebo significantly reduced the severity of most of the symptoms. Constipation was the only symptom that improved significantly with bran, but not with placebo, and was the only symptom that predicted a successful outcome with bran. Diarrhoea did not improve with bran. In fact, stools became less formed in patients presenting with this symptom. The incidence of pain and urgency was significantly more frequent on bran compared with placebo. Compared with a baseline period, bran treatment resulted in an acceleration of whole gut transit time (p&lt;O0O5) increases in daily stool weight (p&lt;OO1) and the proportion of unformed stools (p&lt;O0O1) but no change in stool frequency. Coarse wheat bran was no better than placebo for most symptoms in irritable bowel syndrome, although its efficacy in constipation was confirmed.","container-title":"Gut","DOI":"10.1136/gut.25.2.168","ISSN":"0017-5749","issue":"2","journalAbbreviation":"Gut","language":"en","page":"168-173","source":"DOI.org (Crossref)","title":"What is the benefit of coarse wheat bran in patients with irritable bowel syndrome?","URL":"http://gut.bmj.com/cgi/doi/10.1136/gut.25.2.168","volume":"25","author":[{"family":"Cann","given":"P A"},{"family":"Read","given":"N W"},{"family":"Holdsworth","given":"C D"}],"accessed":{"date-parts":[["2020",7,12]]},"issued":{"date-parts":[["1984",2,1]]}}}],"schema":"https://github.com/citation-style-language/schema/raw/master/csl-citation.json"}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[229, 230]</w:t>
      </w:r>
      <w:r w:rsidRPr="00903DE3">
        <w:rPr>
          <w:rFonts w:ascii="Times New Roman" w:hAnsi="Times New Roman"/>
          <w:sz w:val="28"/>
          <w:szCs w:val="28"/>
        </w:rPr>
        <w:fldChar w:fldCharType="end"/>
      </w:r>
      <w:r w:rsidRPr="00903DE3">
        <w:rPr>
          <w:rFonts w:ascii="Times New Roman" w:hAnsi="Times New Roman"/>
          <w:sz w:val="28"/>
          <w:szCs w:val="28"/>
        </w:rPr>
        <w:t>.</w:t>
      </w:r>
    </w:p>
    <w:p w14:paraId="0E223E33"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Положительные результаты были получены при использовании сбора подорожника (также известной как </w:t>
      </w:r>
      <w:proofErr w:type="spellStart"/>
      <w:r w:rsidRPr="00903DE3">
        <w:rPr>
          <w:rFonts w:ascii="Times New Roman" w:hAnsi="Times New Roman"/>
          <w:sz w:val="28"/>
          <w:szCs w:val="28"/>
        </w:rPr>
        <w:t>испагула</w:t>
      </w:r>
      <w:proofErr w:type="spellEnd"/>
      <w:r w:rsidRPr="00903DE3">
        <w:rPr>
          <w:rFonts w:ascii="Times New Roman" w:hAnsi="Times New Roman"/>
          <w:sz w:val="28"/>
          <w:szCs w:val="28"/>
        </w:rPr>
        <w:t xml:space="preserve">) в качестве источника пищевых добавок. Фундаментальная комбинация </w:t>
      </w:r>
      <w:proofErr w:type="spellStart"/>
      <w:r w:rsidRPr="00903DE3">
        <w:rPr>
          <w:rFonts w:ascii="Times New Roman" w:hAnsi="Times New Roman"/>
          <w:sz w:val="28"/>
          <w:szCs w:val="28"/>
        </w:rPr>
        <w:t>ispaghula</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husks</w:t>
      </w:r>
      <w:proofErr w:type="spellEnd"/>
      <w:r w:rsidRPr="00903DE3">
        <w:rPr>
          <w:rFonts w:ascii="Times New Roman" w:hAnsi="Times New Roman"/>
          <w:sz w:val="28"/>
          <w:szCs w:val="28"/>
        </w:rPr>
        <w:t xml:space="preserve"> с кальцием была столь же эффективна, как и </w:t>
      </w:r>
      <w:proofErr w:type="spellStart"/>
      <w:r w:rsidRPr="00903DE3">
        <w:rPr>
          <w:rFonts w:ascii="Times New Roman" w:hAnsi="Times New Roman"/>
          <w:sz w:val="28"/>
          <w:szCs w:val="28"/>
        </w:rPr>
        <w:t>лоперамид</w:t>
      </w:r>
      <w:proofErr w:type="spellEnd"/>
      <w:r w:rsidRPr="00903DE3">
        <w:rPr>
          <w:rFonts w:ascii="Times New Roman" w:hAnsi="Times New Roman"/>
          <w:sz w:val="28"/>
          <w:szCs w:val="28"/>
        </w:rPr>
        <w:t xml:space="preserve">, для уменьшения суточного количества стула и превосходила </w:t>
      </w:r>
      <w:proofErr w:type="spellStart"/>
      <w:r w:rsidRPr="00903DE3">
        <w:rPr>
          <w:rFonts w:ascii="Times New Roman" w:hAnsi="Times New Roman"/>
          <w:sz w:val="28"/>
          <w:szCs w:val="28"/>
        </w:rPr>
        <w:t>лоперамид</w:t>
      </w:r>
      <w:proofErr w:type="spellEnd"/>
      <w:r w:rsidRPr="00903DE3">
        <w:rPr>
          <w:rFonts w:ascii="Times New Roman" w:hAnsi="Times New Roman"/>
          <w:sz w:val="28"/>
          <w:szCs w:val="28"/>
        </w:rPr>
        <w:t xml:space="preserve"> в улучшении консистенции стула и уменьшения частоты стула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nuRwFURq","properties":{"formattedCitation":"[180]","plainCitation":"[180]","noteIndex":0},"citationItems":[{"id":198,"uris":["http://zotero.org/users/7388323/items/IAIJCAHB"],"uri":["http://zotero.org/users/7388323/items/IAIJCAHB"],"itemData":{"id":198,"type":"article-journal","container-title":"Scandinavian Journal of Gastroenterology","DOI":"10.3109/00365528809090197","ISSN":"0036-5521, 1502-7708","issue":"10","journalAbbreviation":"Scandinavian Journal of Gastroenterology","language":"en","page":"1237-1240","source":"DOI.org (Crossref)","title":"Treatment of Chronic Diarrhoea: Loperamide versus Ispaghula Husk and Calcium","title-short":"Treatment of Chronic Diarrhoea","URL":"http://www.tandfonline.com/doi/full/10.3109/00365528809090197","volume":"23","author":[{"family":"Qvitzau","given":"S."},{"family":"Matzen","given":"P."},{"family":"Madsen","given":"P."}],"accessed":{"date-parts":[["2020",7,12]]},"issued":{"date-parts":[["1988",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[228]</w:t>
      </w:r>
      <w:r w:rsidRPr="00903DE3">
        <w:rPr>
          <w:rFonts w:ascii="Times New Roman" w:hAnsi="Times New Roman"/>
          <w:sz w:val="28"/>
          <w:szCs w:val="28"/>
        </w:rPr>
        <w:fldChar w:fldCharType="end"/>
      </w:r>
      <w:r w:rsidRPr="00903DE3">
        <w:rPr>
          <w:rFonts w:ascii="Times New Roman" w:hAnsi="Times New Roman"/>
          <w:sz w:val="28"/>
          <w:szCs w:val="28"/>
        </w:rPr>
        <w:t>.</w:t>
      </w:r>
    </w:p>
    <w:p w14:paraId="52B8EA11" w14:textId="77777777" w:rsidR="00403127" w:rsidRPr="00903DE3" w:rsidRDefault="00403127" w:rsidP="00403127">
      <w:pPr>
        <w:spacing w:after="0" w:line="240" w:lineRule="auto"/>
        <w:ind w:firstLine="567"/>
        <w:jc w:val="both"/>
        <w:rPr>
          <w:rFonts w:ascii="Times New Roman" w:hAnsi="Times New Roman"/>
          <w:sz w:val="28"/>
          <w:szCs w:val="28"/>
        </w:rPr>
      </w:pPr>
      <w:proofErr w:type="spellStart"/>
      <w:r w:rsidRPr="00903DE3">
        <w:rPr>
          <w:rFonts w:ascii="Times New Roman" w:hAnsi="Times New Roman"/>
          <w:sz w:val="28"/>
          <w:szCs w:val="28"/>
        </w:rPr>
        <w:t>Markland</w:t>
      </w:r>
      <w:proofErr w:type="spellEnd"/>
      <w:r w:rsidRPr="00903DE3">
        <w:rPr>
          <w:rFonts w:ascii="Times New Roman" w:hAnsi="Times New Roman"/>
          <w:sz w:val="28"/>
          <w:szCs w:val="28"/>
        </w:rPr>
        <w:t xml:space="preserve"> A.D. и соавт, провели исследование на 60 больных с диареей, используя сбор подорожника и </w:t>
      </w:r>
      <w:proofErr w:type="spellStart"/>
      <w:r w:rsidRPr="00903DE3">
        <w:rPr>
          <w:rFonts w:ascii="Times New Roman" w:hAnsi="Times New Roman"/>
          <w:sz w:val="28"/>
          <w:szCs w:val="28"/>
        </w:rPr>
        <w:t>лоперамид</w:t>
      </w:r>
      <w:proofErr w:type="spellEnd"/>
      <w:r w:rsidRPr="00903DE3">
        <w:rPr>
          <w:rFonts w:ascii="Times New Roman" w:hAnsi="Times New Roman"/>
          <w:sz w:val="28"/>
          <w:szCs w:val="28"/>
        </w:rPr>
        <w:t xml:space="preserve">. По результатам исследования выявлено, что подорожник и </w:t>
      </w:r>
      <w:proofErr w:type="spellStart"/>
      <w:r w:rsidRPr="00903DE3">
        <w:rPr>
          <w:rFonts w:ascii="Times New Roman" w:hAnsi="Times New Roman"/>
          <w:sz w:val="28"/>
          <w:szCs w:val="28"/>
        </w:rPr>
        <w:t>лоперамид</w:t>
      </w:r>
      <w:proofErr w:type="spellEnd"/>
      <w:r w:rsidRPr="00903DE3">
        <w:rPr>
          <w:rFonts w:ascii="Times New Roman" w:hAnsi="Times New Roman"/>
          <w:sz w:val="28"/>
          <w:szCs w:val="28"/>
        </w:rPr>
        <w:t xml:space="preserve"> одинаково эффективен в </w:t>
      </w:r>
      <w:proofErr w:type="spellStart"/>
      <w:r w:rsidRPr="00903DE3">
        <w:rPr>
          <w:rFonts w:ascii="Times New Roman" w:hAnsi="Times New Roman"/>
          <w:sz w:val="28"/>
          <w:szCs w:val="28"/>
        </w:rPr>
        <w:t>урежении</w:t>
      </w:r>
      <w:proofErr w:type="spellEnd"/>
      <w:r w:rsidRPr="00903DE3">
        <w:rPr>
          <w:rFonts w:ascii="Times New Roman" w:hAnsi="Times New Roman"/>
          <w:sz w:val="28"/>
          <w:szCs w:val="28"/>
        </w:rPr>
        <w:t xml:space="preserve"> частоты стула и улучшении качества жизни больных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olv4wiaB","properties":{"formattedCitation":"[183]","plainCitation":"[183]","noteIndex":0},"citationItems":[{"id":195,"uris":["http://zotero.org/users/7388323/items/PU5WZ284"],"uri":["http://zotero.org/users/7388323/items/PU5WZ284"],"itemData":{"id":195,"type":"article-journal","container-title":"Diseases of the Colon &amp; Rectum","DOI":"10.1097/DCR.0000000000000442","ISSN":"0012-3706","issue":"10","journalAbbreviation":"Diseases of the Colon &amp; Rectum","language":"en","page":"983-993","source":"DOI.org (Crossref)","title":"Loperamide Versus Psyllium Fiber for Treatment of Fecal Incontinence: The Fecal Incontinence Prescription (Rx) Management (FIRM) Randomized Clinical Trial","title-short":"Loperamide Versus Psyllium Fiber for Treatment of Fecal Incontinence","URL":"http://journals.lww.com/00003453-201510000-00010","volume":"58","author":[{"family":"Markland","given":"Alayne D."},{"family":"Burgio","given":"Kathryn L."},{"family":"Whitehead","given":"William E."},{"family":"Richter","given":"Holly E."},{"family":"Wilcox","given":"C. Mel"},{"family":"Redden","given":"David T."},{"family":"Beasley","given":"Timothy M."},{"family":"Goode","given":"Patricia S."}],"accessed":{"date-parts":[["2020",7,12]]},"issued":{"date-parts":[["2015",10]]}}}],"schema":"https://github.com/citation-style-language/schema/raw/master/csl-citation.json"}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[231]</w:t>
      </w:r>
      <w:r w:rsidRPr="00903DE3">
        <w:rPr>
          <w:rFonts w:ascii="Times New Roman" w:hAnsi="Times New Roman"/>
          <w:sz w:val="28"/>
          <w:szCs w:val="28"/>
        </w:rPr>
        <w:fldChar w:fldCharType="end"/>
      </w:r>
      <w:r w:rsidRPr="00903DE3">
        <w:rPr>
          <w:rFonts w:ascii="Times New Roman" w:hAnsi="Times New Roman"/>
          <w:sz w:val="28"/>
          <w:szCs w:val="28"/>
        </w:rPr>
        <w:t xml:space="preserve">. Уровень неблагоприятного эффекта был сопоставимым между двумя лечениями. Тем не менее, запор был более выраженным при лечении </w:t>
      </w:r>
      <w:proofErr w:type="spellStart"/>
      <w:r w:rsidRPr="00903DE3">
        <w:rPr>
          <w:rFonts w:ascii="Times New Roman" w:hAnsi="Times New Roman"/>
          <w:sz w:val="28"/>
          <w:szCs w:val="28"/>
        </w:rPr>
        <w:t>лоперамидом</w:t>
      </w:r>
      <w:proofErr w:type="spellEnd"/>
      <w:r w:rsidRPr="00903DE3">
        <w:rPr>
          <w:rFonts w:ascii="Times New Roman" w:hAnsi="Times New Roman"/>
          <w:sz w:val="28"/>
          <w:szCs w:val="28"/>
        </w:rPr>
        <w:t>, а диарея была более выраженной при лечении подорожником.</w:t>
      </w:r>
    </w:p>
    <w:p w14:paraId="1AF86937"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В исследовании с выборкой 60 пациентов с новообразованиями ЖКТ или органов головы и шеи, интенсивное пероральное питание привело к значительному росту массы тела и улучшению качества жизни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4kc5mhu4","properties":{"formattedCitation":"[192]","plainCitation":"[192]","noteIndex":0},"citationItems":[{"id":761,"uris":["http://zotero.org/users/7388323/items/3JPR2WMZ"],"uri":["http://zotero.org/users/7388323/items/3JPR2WMZ"],"itemData":{"id":761,"type":"article-journal","container-title":"British Journal of Cancer","DOI":"10.1038/sj.bjc.6601962","ISSN":"0007-0920","issue":"3","journalAbbreviation":"Br J Cancer","note":"PMID: 15226773\nPMCID: PMC2409852","page":"447-452","source":"PubMed Central","title":"Nutrition intervention is beneficial in oncology outpatients receiving radiotherapy to the gastrointestinal or head and neck area","URL":"https://www.ncbi.nlm.nih.gov/pmc/articles/PMC2409852/","volume":"91","author":[{"family":"Isenring","given":"E A"},{"family":"Capra","given":"S"},{"family":"Bauer","given":"J D"}],"accessed":{"date-parts":[["2021",1,21]]},"issued":{"date-parts":[["2004",8,2]]}}}],"schema":"https://github.com/citation-style-language/schema/raw/master/csl-citation.json"}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[232, 233]</w:t>
      </w:r>
      <w:r w:rsidRPr="00903DE3">
        <w:rPr>
          <w:rFonts w:ascii="Times New Roman" w:hAnsi="Times New Roman"/>
          <w:sz w:val="28"/>
          <w:szCs w:val="28"/>
        </w:rPr>
        <w:fldChar w:fldCharType="end"/>
      </w:r>
      <w:r w:rsidRPr="00903DE3">
        <w:rPr>
          <w:rFonts w:ascii="Times New Roman" w:hAnsi="Times New Roman"/>
          <w:sz w:val="28"/>
          <w:szCs w:val="28"/>
        </w:rPr>
        <w:t xml:space="preserve">. Ravasco и соавт. опубликовали результаты 2 рандомизированных исследований, где показали значимое влияние диеты на предотвращение таких осложнений, как анорексия, тошнота, рвота, диарея и улучшение качества жизни пациентов с раком органов головы шеи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veeutgqni","properties":{"formattedCitation":"[193,194]","plainCitation":"[193,194]","noteIndex":0},"citationItems":[{"id":764,"uris":["http://zotero.org/users/7388323/items/Y88YBPIP"],"uri":["http://zotero.org/users/7388323/items/Y88YBPIP"],"itemData":{"id":764,"type":"article-journal","abstract":"BACKGROUND: We aimed to determine the effect of dietary counseling or oral supplements on outcome for patients with cancer, specifically, nutritional outcome, morbidity, and quality of life (QOL), during and 3 months after radiotherapy.\nMETHODS: Seventy-five patients with head and neck cancer who were referred for radiotherapy (RT) were randomized to the following groups: group 1 (n = 25), patients who received dietary counseling with regular foods; group 2 (n = 25), patients who maintained usual diet plus supplements; and group 3 (n = 25), patients who maintained intake ad lib. Nutritional intake (determined by diet history) and status (determined by Ottery's Subjective Global Assessment), and QOL (determined by the European Organization for the Research and Treatment of Cancer Quality of Life Questionnaire version 3.0 [EORTC QLQ-C30]) were evaluated at baseline, at the end of RT, and at 3 months.\nRESULTS: Energy intake after RT increased in both groups 1 and 2 (p &lt; or = .05). Protein intake also increased in both groups 1 and 2 (p &lt; or = .006). Both energy and protein intake decreased significantly in group 3 (p &lt; .01). At 3 months, group 1 maintained intakes, whereas groups 2 and 3 returned to or below baseline levels. After RT, &gt;90% of patients experienced RT toxicity; this was not significantly different between groups, with a trend for reduced symptomatology in group 1 versus group 2/group 3 (p &lt; .07). At 3 months, the reduction of incidence/severity of grade 1+2 anorexia, nausea/vomiting, xerostomia, and dysgeusia was different: 90% of the patients improved in group 1 versus 67% in group 2 versus 51% in group 3 (p &lt; .0001). After RT, QOL function scores improved (p &lt; .003) proportionally with improved nutritional intake and status in group 1/group 2 (p &lt; .05) and worsened in group 3 (p &lt; .05); at 3 months, patients in group 1 maintained or improved overall QOL, whereas patients in groups 2 and 3 maintained or worsened overall QOL.\nCONCLUSIONS: During RT, nutritional interventions positively influenced outcomes, and counseling was of similar/higher benefit; in the medium term, only counseling exerted a significant impact on patient outcomes.","container-title":"Head &amp; Neck","DOI":"10.1002/hed.20221","ISSN":"1043-3074","issue":"8","journalAbbreviation":"Head Neck","language":"eng","note":"PMID: 15920748","page":"659-668","source":"PubMed","title":"Impact of nutrition on outcome: a prospective randomized controlled trial in patients with head and neck cancer undergoing radiotherapy","title-short":"Impact of nutrition on outcome","volume":"27","author":[{"family":"Ravasco","given":"Paula"},{"family":"Monteiro-Grillo","given":"Isabel"},{"family":"Marques Vidal","given":"Pedro"},{"family":"Camilo","given":"Maria Ermelinda"}],"issued":{"date-parts":[["2005",8]]}}},{"id":766,"uris":["http://zotero.org/users/7388323/items/DJY96HKX"],"uri":["http://zotero.org/users/7388323/items/DJY96HKX"],"itemData":{"id":766,"type":"article-journal","abstract":"PURPOSE: To investigate the impact of dietary counseling or nutritional supplements on outcomes in cancer patients: nutritional, morbidity, and quality of life (QoL) during and 3 months after radiotherapy.\nPATIENTS AND METHODS: A total of 111 colorectal cancer outpatients referred for radiotherapy, stratified by staging, were randomly assigned: group 1 (G1; n = 37), dietary counseling (regular foods); group 2 (G2; n = 37), protein supplements; and group 3 (G3; n = 37), ad libitum intake. Nutritional intake (diet history), status (Ottery's Subjective Global Assessment), and QoL (European Organisation for Research and Treatment of Cancer Quality of Life Questionnaire version 3.0) were evaluated at baseline, at the end, and 3 months after radiotherapy.\nRESULTS: At radiotherapy completion, energy intake increased in G1/G2 (P &lt; or = .04), G1 more than G2 (P = .001), and decreased in G3 (P &lt; .01). Protein intake increased in G1/G2 (P &lt; or = .007), G1 less than G2 (not significant), and decreased in G3 (P &lt; .01). At 3 months, G1 maintained nutritional intake and G2/G3 returned to baseline. After radiotherapy and at 3 months, rates of anorexia, nausea, vomiting, and diarrhea were higher in G3 (P &lt; .05). At radiotherapy completion, in G1 all QoL function scores improved proportionally to adequate intake or nutritional status (P &lt; .05); whereas in G2 only three of six function scores improved proportionally to protein intake (P = .04), and in G3 all scores worsened (P &lt; .05). At 3 months, G1 patients maintained/improved function, symptoms, and single-item scores (P &lt; .02); in G2, only few function and symptom scales improved (P &lt; .05); in G3, QoL remained as poor as after radiotherapy. In G1/G2, respectively, improvement/deterioration of QoL correlated with better or poorer intake or nutritional status (P &lt; .003).\nCONCLUSION: During radiotherapy, both interventions positively influenced outcomes; dietary counseling was of similar or higher benefit, whereas even 3 months after RT, it was the only method to sustain a significant impact on patient outcomes.","container-title":"Journal of Clinical Oncology: Official Journal of the American Society of Clinical Oncology","DOI":"10.1200/JCO.2005.02.054","ISSN":"0732-183X","issue":"7","journalAbbreviation":"J Clin Oncol","language":"eng","note":"PMID: 15684319","page":"1431-1438","source":"PubMed","title":"Dietary counseling improves patient outcomes: a prospective, randomized, controlled trial in colorectal cancer patients undergoing radiotherapy","title-short":"Dietary counseling improves patient outcomes","volume":"23","author":[{"family":"Ravasco","given":"Paula"},{"family":"Monteiro-Grillo","given":"Isabel"},{"family":"Vidal","given":"Pedro Marques"},{"family":"Camilo","given":"Maria Ermelinda"}],"issued":{"date-parts":[["2005",3,1]]}}}],"schema":"https://github.com/citation-style-language/schema/raw/master/csl-citation.json"}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[234, 235]</w:t>
      </w:r>
      <w:r w:rsidRPr="00903DE3">
        <w:rPr>
          <w:rFonts w:ascii="Times New Roman" w:hAnsi="Times New Roman"/>
          <w:sz w:val="28"/>
          <w:szCs w:val="28"/>
        </w:rPr>
        <w:fldChar w:fldCharType="end"/>
      </w:r>
      <w:r w:rsidRPr="00903DE3">
        <w:rPr>
          <w:rFonts w:ascii="Times New Roman" w:hAnsi="Times New Roman"/>
          <w:sz w:val="28"/>
          <w:szCs w:val="28"/>
        </w:rPr>
        <w:t xml:space="preserve">. По результатам систематического обзора </w:t>
      </w:r>
      <w:r w:rsidRPr="00903DE3">
        <w:rPr>
          <w:rFonts w:ascii="Times New Roman" w:hAnsi="Times New Roman"/>
          <w:sz w:val="28"/>
          <w:szCs w:val="28"/>
        </w:rPr>
        <w:lastRenderedPageBreak/>
        <w:t xml:space="preserve">базы данных </w:t>
      </w:r>
      <w:proofErr w:type="spellStart"/>
      <w:r w:rsidRPr="00903DE3">
        <w:rPr>
          <w:rFonts w:ascii="Times New Roman" w:hAnsi="Times New Roman"/>
          <w:sz w:val="28"/>
          <w:szCs w:val="28"/>
        </w:rPr>
        <w:t>Cochrane</w:t>
      </w:r>
      <w:proofErr w:type="spellEnd"/>
      <w:r w:rsidRPr="00903DE3">
        <w:rPr>
          <w:rFonts w:ascii="Times New Roman" w:hAnsi="Times New Roman"/>
          <w:sz w:val="28"/>
          <w:szCs w:val="28"/>
        </w:rPr>
        <w:t xml:space="preserve"> применение перорального нутритивного питания предотвращает прогрессивное снижение веса, понижает ятрогенную нутритивную недостаточность, стимулирует моторику ЖКТ, снижает уровень смертности и сокращает дни госпитализации больных с нутритивной недостаточностью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kvho5td7j","properties":{"formattedCitation":"[195\\uc0\\u8211{}197]","plainCitation":"[195–197]","noteIndex":0},"citationItems":[{"id":768,"uris":["http://zotero.org/users/7388323/items/QQSQN5KM"],"uri":["http://zotero.org/users/7388323/items/QQSQN5KM"],"itemData":{"id":768,"type":"article-journal","abstract":"BACKGROUND: Illness-related malnutrition has been reported in 10-55% of people in hospital and in ill people in the community in areas of food sufficiency. It has been suggested that dietary counseling to encourage the use of energy- and protein-rich foods should be used in preference to oral nutritional supplements in the management of illness-related malnutrition.\nOBJECTIVES: To examine the evidence that dietary advice, to improve nutritional intake, in adults with illness-related malnutrition can improve survival, weight and anthropometry and to estimate the size of any additional effect of whole protein nutritional supplements when given in combination with dietary advice.\nSEARCH STRATEGY: Six electronic databases were searched (Cochrane Library, Medline, EMBASE, CINAHL, ERIC and Dissertation Abstracts). Additional studies were sought by contacting dietitians, clinicians and the manufacturers of nutritional supplements.\nSELECTION CRITERIA: All randomised controlled trials of dietary advice compared with no advice, oral nutritional supplements and dietary advice plus oral nutritional supplements in people with illness-related malnutrition.\nDATA COLLECTION AND ANALYSIS: Two reviewers independently assessed the trial eligibility, methodological quality and extracted the data.\nMAIN RESULTS: Fifteen trials (16 comparisons) met the inclusion criteria. An additional group of six trials were identified during searching which compared dietary advice plus supplements if required with no advice. These trials have been included in the review as an additional comparison. The review includes 1185 randomised participants from a variety of clinical backgrounds. The duration of follow-up was from six weeks to 12 months. Nine trials reported clearly concealed randomisation and allocation and two trials reported blinding of outcome assessment. Nine trials reported outcomes in an unusable format. Gain in weight was significantly higher for groups consuming supplements with or without advice, compared with advice alone. Energy intake was significantly improved in those consuming supplements compared with those receiving advice alone. There was insufficient data on group differences in functional outcomes and mortality.\nREVIEWER'S CONCLUSIONS: This review highlights the lack of evidence for the provision of dietary advice in the management of illness-related malnutrition. The available data suggest that oral nutritional supplements have a greater role than dietary advice in the improvement of body weight and energy intake. A large adequately powered randomised controlled trial is needed to compare the efficacy of different forms of therapy to increase dietary intake in people with illness-related malnutrition and to examine the impact of this on clinical function and survival.","container-title":"The Cochrane Database of Systematic Reviews","DOI":"10.1002/14651858.CD002008","ISSN":"1469-493X","issue":"2","journalAbbreviation":"Cochrane Database Syst Rev","language":"eng","note":"PMID: 11406021","page":"CD002008","source":"PubMed","title":"Dietary advice for illness-related malnutrition in adults","author":[{"family":"Baldwin","given":"C."},{"family":"Parsons","given":"T."},{"family":"Logan","given":"S."}],"issued":{"date-parts":[["2001"]]}}},{"id":773,"uris":["http://zotero.org/users/7388323/items/KAXDDZPH"],"uri":["http://zotero.org/users/7388323/items/KAXDDZPH"],"itemData":{"id":773,"type":"article-journal","container-title":"British Journal of Cancer","DOI":"10.1038/sj.bjc.6601089","ISSN":"0007-0920","journalAbbreviation":"Br J Cancer","language":"eng","note":"PMID: 12915908\nPMCID: PMC2753013","page":"S92-97","source":"PubMed","title":"Summary report of the Standards, Options and Recommendations for malnutrition and nutritional assessment in patients with cancer (1999)","volume":"89 Suppl 1","author":[{"family":"Duguet","given":"A."},{"family":"Bachmann","given":"P."},{"family":"Lallemand","given":"Y."},{"family":"Blanc-Vincent","given":"M. P."},{"literal":"FNCLCC"}],"issued":{"date-parts":[["2003",8]]}}},{"id":776,"uris":["http://zotero.org/users/7388323/items/JVLMAVVS"],"uri":["http://zotero.org/users/7388323/items/JVLMAVVS"],"itemData":{"id":776,"type":"article-journal","abstract":"In elective gastrointestinal (GI) surgery, the patients' nutritional status should be assessed and if protein-energy malnutrition exists, preoperative nutritional support should be scheduled 7 to 14 days before surgery. In malnourished patients in particular, preoperative nutrition with total parenteral nutrition (TPN) reduces postoperative complication rates of infection. Preoperative enteral nutrition (EN) is considered to be as effective as TPN in improving postoperative surgical outcome. Many prospective randomized trials or meta-analyses comparing postoperative EN and TPN have revealed that postoperative EN improves surgical outcomes and lowers postoperative complication rates of infection to a degree similar to TPN. Although two recent prospective multicenter randomized trials in malnourished patients undergoing elective GI cancer surgery are controversial, no evidence that EN was less effective than TPN was recognized. Thus postoperative EN, prior to TPN, is recommended in patients with malnutrition or insufficient oral intake for 7 days or more after surgery. When TPN is administered, hyperglycemia due to overfeeding should be carefully controlled. Patients who undergo distal gastrectomy or colectomy can start oral intake 3 to 4 days after surgery, with pertinent peripheral infusion. Immunonutrition containing immune-enhancing nutrients such as arginine, n-3 polyunsaturated fatty acid, glutamine, etc., especially administered preoperatively, is a promising nutritional therapy for reducing postoperative infectious complications.","container-title":"Nihon Geka Gakkai Zasshi","ISSN":"0301-4894","issue":"2","journalAbbreviation":"Nihon Geka Gakkai Zasshi","language":"jpn","note":"PMID: 15027164","page":"218-222","source":"PubMed","title":"[Perioperative nutrition for gastrointestinal surgery]","volume":"105","author":[{"family":"Ikeda","given":"Kenichiro"},{"family":"Kimura","given":"Yusuke"},{"family":"Iwaya","given":"Takeshi"},{"family":"Aoki","given":"Kiichi"},{"family":"Otsuka","given":"Koki"},{"family":"Nitta","given":"Hiroyuki"},{"family":"Ogawa","given":"Masaaki"},{"family":"Sato","given":"Nobuhiro"},{"family":"Ishida","given":"Kaoru"},{"family":"Saito","given":"Kazuyoshi"}],"issued":{"date-parts":[["2004",2]]}}}],"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[235-237]</w:t>
      </w:r>
      <w:r w:rsidRPr="00903DE3">
        <w:rPr>
          <w:rFonts w:ascii="Times New Roman" w:hAnsi="Times New Roman"/>
          <w:sz w:val="28"/>
          <w:szCs w:val="28"/>
        </w:rPr>
        <w:fldChar w:fldCharType="end"/>
      </w:r>
      <w:r w:rsidRPr="00903DE3">
        <w:rPr>
          <w:rFonts w:ascii="Times New Roman" w:hAnsi="Times New Roman"/>
          <w:sz w:val="28"/>
          <w:szCs w:val="28"/>
        </w:rPr>
        <w:t xml:space="preserve">. </w:t>
      </w:r>
      <w:proofErr w:type="spellStart"/>
      <w:r w:rsidRPr="00903DE3">
        <w:rPr>
          <w:rFonts w:ascii="Times New Roman" w:hAnsi="Times New Roman"/>
          <w:sz w:val="28"/>
          <w:szCs w:val="28"/>
        </w:rPr>
        <w:t>Hoda</w:t>
      </w:r>
      <w:proofErr w:type="spellEnd"/>
      <w:r w:rsidRPr="00903DE3">
        <w:rPr>
          <w:rFonts w:ascii="Times New Roman" w:hAnsi="Times New Roman"/>
          <w:sz w:val="28"/>
          <w:szCs w:val="28"/>
        </w:rPr>
        <w:t xml:space="preserve"> D. и соавт, опубликовали результаты мета-анализа, включавший в себя 2211 больных с раком различной локализации. Выявлено, что в результате нутритивной поддержки снижается количество послеоперационных осложнений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dmcdvrp8v","properties":{"formattedCitation":"[198]","plainCitation":"[198]","noteIndex":0},"citationItems":[{"id":778,"uris":["http://zotero.org/users/7388323/items/E8U3UGPC"],"uri":["http://zotero.org/users/7388323/items/E8U3UGPC"],"itemData":{"id":778,"type":"article-journal","abstract":"BACKGROUND: Home total parenteral nutrition (TPN) can be lifesaving and life sustaining for some patients. However, in patients with advanced, incurable cancer, its role is controversial. A retrospective study was conducted to explore whether home TPN was associated with long-term survival (&gt;or=1 year) in patients with metastatic disease and to identify predictive factors to enable its judicious use.\nMETHODS: The records of all adult patients with incurable cancer were identified between 1979 and 1999. Records were reviewed in depth for survival from TPN initiation to death and for a variety of demographic and clinical factors.\nRESULTS: Fifty-two patients were identified. Their median age was 56 years (range, 18-83 years), and 30 (58%) were women. Malignant diagnoses included carcinoid/islet cell tumor (n=10), ovarian carcinoma (n=6), amyloidosis/multiple myeloma (n=6), colorectal carcinoma (n=5), sarcoma (n=5), pancreatic carcinoma (n=4), gastric carcinoma (n=3), lymphoma (n=2), pseudomyxoma peritonei (n=2), and other (n=9). TPN was initiated for the following reasons (indications are not mutually exclusive): alimentary tract obstruction (n=20), short bowel syndrome/malabsorption (n=16), fistula (n=11), dysmotility (n=3), nausea/emesis (n=2), anorexia (n=2), and mucositis (n=1). The median time from initiation of TPN to death was 5 months (range, 1-154 months). Sixteen patients survived &gt;or=1 year. TPN-related complications included 18 catheter infections (1 per 2.8 catheter-years), 4 thromboses, 3 pneumothoraces, and 2 episodes of TPN-related liver disease. Tumor grade, the interval between diagnosis of metastatic disease and initiation of TPN, the presence of prominent cancer symptoms, and the administration of cancer therapy after TPN were not associated in any way with overall survival.\nCONCLUSIONS: The initiation of home TPN can be associated with long-term survival in very select patients with incurable cancer, and complication rates with its use appear acceptable. However, the judicious use of home TPN in this setting requires careful clinical assessment on a patient-by-patient basis.","container-title":"Cancer","DOI":"10.1002/cncr.20824","ISSN":"0008-543X","issue":"4","journalAbbreviation":"Cancer","language":"eng","note":"PMID: 15641035","page":"863-868","source":"PubMed","title":"Should patients with advanced, incurable cancers ever be sent home with total parenteral nutrition? A single institution's 20-year experience","title-short":"Should patients with advanced, incurable cancers ever be sent home with total parenteral nutrition?","volume":"103","author":[{"family":"Hoda","given":"Daanish"},{"family":"Jatoi","given":"Aminah"},{"family":"Burnes","given":"Jan"},{"family":"Loprinzi","given":"Charles"},{"family":"Kelly","given":"Darlene"}],"issued":{"date-parts":[["2005",2,15]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[238]</w:t>
      </w:r>
      <w:r w:rsidRPr="00903DE3">
        <w:rPr>
          <w:rFonts w:ascii="Times New Roman" w:hAnsi="Times New Roman"/>
          <w:sz w:val="28"/>
          <w:szCs w:val="28"/>
        </w:rPr>
        <w:fldChar w:fldCharType="end"/>
      </w:r>
      <w:r w:rsidRPr="00903DE3">
        <w:rPr>
          <w:rFonts w:ascii="Times New Roman" w:hAnsi="Times New Roman"/>
          <w:sz w:val="28"/>
          <w:szCs w:val="28"/>
        </w:rPr>
        <w:t>.</w:t>
      </w:r>
    </w:p>
    <w:p w14:paraId="46E9310E"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Учитывая нарушения всасывания и большие потери у больных с функциональными осложнениями нутритивная поддержка с восполнением электролитов является неотъемлемым компонентом лечения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n93k0jldd","properties":{"formattedCitation":"[199]","plainCitation":"[199]","noteIndex":0},"citationItems":[{"id":786,"uris":["http://zotero.org/users/7388323/items/TT5SFA9H"],"uri":["http://zotero.org/users/7388323/items/TT5SFA9H"],"itemData":{"id":786,"type":"article-journal","abstract":"Small intestinal bacterial overgrowth (SIBO), defined as excessive bacteria in the small intestine, remains a poorly understood disease. Initially thought to occur in only a small number of patients, it is now apparent that this disorder is more prevalent than previously thought. Patients with SIBO vary in presentation, from being only mildly symptomatic to suffering from chronic diarrhea, weight loss, and malabsorption. A number of diagnostic tests are currently available, although the optimal treatment regimen remains elusive. Recently there has been renewed interest in SIBO and its putative association with irritable bowel syndrome. In this comprehensive review, we will discuss the epidemiology, pathogenesis, clinical manifestations, diagnosis, and treatment of SIBO.","language":"en","page":"11","source":"Zotero","title":"Small Intestinal Bacterial Overgrowth: A Comprehensive Review","author":[{"family":"Dukowicz","given":"Andrew C"},{"family":"Lacy","given":"Brian E"},{"family":"Levine","given":"Gary M"}]}}],"schema":"https://github.com/citation-style-language/schema/raw/master/csl-citation.json"}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[239-246]</w:t>
      </w:r>
      <w:r w:rsidRPr="00903DE3">
        <w:rPr>
          <w:rFonts w:ascii="Times New Roman" w:hAnsi="Times New Roman"/>
          <w:sz w:val="28"/>
          <w:szCs w:val="28"/>
        </w:rPr>
        <w:fldChar w:fldCharType="end"/>
      </w:r>
      <w:r w:rsidRPr="00903DE3">
        <w:rPr>
          <w:rFonts w:ascii="Times New Roman" w:hAnsi="Times New Roman"/>
          <w:sz w:val="28"/>
          <w:szCs w:val="28"/>
        </w:rPr>
        <w:t>.</w:t>
      </w:r>
    </w:p>
    <w:p w14:paraId="7B0BCA43" w14:textId="77777777" w:rsidR="00403127" w:rsidRPr="00903DE3" w:rsidRDefault="00403127" w:rsidP="00403127">
      <w:pPr>
        <w:spacing w:after="0" w:line="240" w:lineRule="auto"/>
        <w:ind w:firstLine="708"/>
        <w:jc w:val="both"/>
        <w:rPr>
          <w:rFonts w:ascii="Times New Roman" w:hAnsi="Times New Roman"/>
          <w:b/>
          <w:sz w:val="28"/>
          <w:szCs w:val="28"/>
        </w:rPr>
      </w:pPr>
    </w:p>
    <w:p w14:paraId="0E5B66ED" w14:textId="77777777" w:rsidR="00403127" w:rsidRPr="00903DE3" w:rsidRDefault="00403127" w:rsidP="00403127">
      <w:pPr>
        <w:spacing w:after="0" w:line="240" w:lineRule="auto"/>
        <w:ind w:firstLine="567"/>
        <w:jc w:val="both"/>
        <w:rPr>
          <w:rFonts w:ascii="Times New Roman" w:hAnsi="Times New Roman"/>
          <w:b/>
          <w:sz w:val="28"/>
          <w:szCs w:val="28"/>
        </w:rPr>
      </w:pPr>
      <w:r w:rsidRPr="00903DE3">
        <w:rPr>
          <w:rFonts w:ascii="Times New Roman" w:hAnsi="Times New Roman"/>
          <w:b/>
          <w:sz w:val="28"/>
          <w:szCs w:val="28"/>
        </w:rPr>
        <w:t>1.7 Качество жизни больных со злокачественными новообразованиями ободочной кишки</w:t>
      </w:r>
    </w:p>
    <w:p w14:paraId="63884BDE"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Качество жизни, связанное со здоровьем, является одним из ключевых понятий современной медицины, позволяющих дать глубокий многоплановый анализ важных составляющих здоровья человека в соответствии с критериями ВОЗ, то есть физиологических, психологических и социальных проблем больного человека [247]. В последнее время произошло осознание того факта, что функциональные параметры являются важнейшими для оценки эффективности различных методов лечения и исхода заболеваний. Среди этих параметров показатели оценки качества жизни (КЖ) занимают особое место [248]. Необходимо отметить, что важной задачей медицинской науки и практики является не только продление жизни больного, но и улучшение качества его жизни. КЖ является важным и относительно независимым, самостоятельным интегральным показателем состояния здоровья больных и должно обязательно изучаться наряду с другими клиническими и инструментальными показателями [249, 250]. Такие аспекты жизни человека как физическое состояние, эмоциональный, психологический и социальный статус с начала восьмидесятых годов, начали объединять в понятие «качества жизни». Наиболее важными компонентами оценки КЖ считаются определение функциональных возможностей больного, оценка субъективного восприятия им состояния своего здоровья, субъективная оценка больным выраженности симптомов болезни [248, 251, 252, 253]. В настоящее время разработано значительное количество специальных методик, позволяющих количественно оценивать различные аспекты состояния здоровья и КЖ. На сегодняшний день в мире применяются более 60 опросников по КЖ.</w:t>
      </w:r>
    </w:p>
    <w:p w14:paraId="7ED35F35"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Традиционно критериями эффективности лечения в клинических исследованиях являются </w:t>
      </w:r>
      <w:proofErr w:type="spellStart"/>
      <w:r w:rsidRPr="00903DE3">
        <w:rPr>
          <w:rFonts w:ascii="Times New Roman" w:hAnsi="Times New Roman"/>
          <w:sz w:val="28"/>
          <w:szCs w:val="28"/>
        </w:rPr>
        <w:t>физикальные</w:t>
      </w:r>
      <w:proofErr w:type="spellEnd"/>
      <w:r w:rsidRPr="00903DE3">
        <w:rPr>
          <w:rFonts w:ascii="Times New Roman" w:hAnsi="Times New Roman"/>
          <w:sz w:val="28"/>
          <w:szCs w:val="28"/>
        </w:rPr>
        <w:t xml:space="preserve"> данные и лабораторные показатели. Так, эффективность лечения анемии оценивают по уровню гемоглобина или по количеству необходимых трансфузий, а СПИДа и рака – по ответу на лечение и выживаемости. Несмотря на то, что стандартные медико-биологические параметра часто являются основными критериями эффективности лечения в клинических исследованиях, они не отражают самочувствия больного и его функционирования в повседневной жизни. При определенных заболеваниях </w:t>
      </w:r>
      <w:r w:rsidRPr="00903DE3">
        <w:rPr>
          <w:rFonts w:ascii="Times New Roman" w:hAnsi="Times New Roman"/>
          <w:sz w:val="28"/>
          <w:szCs w:val="28"/>
        </w:rPr>
        <w:lastRenderedPageBreak/>
        <w:t>оценка пациентом своего состояния является самым важным показателем здоровья [254].</w:t>
      </w:r>
    </w:p>
    <w:p w14:paraId="0DF8731C"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Существует различные определения качества жизни. Тем не менее, общепризнанно, что качество жизни является многомерным понятием и отражает влияние заболеваний и лечения на благополучие больного. Качество жизни больного характеризует, каким образом физическое, эмоциональное и социальное благополучие больного изменяется под влиянием заболевания или его лечения [255]. В некоторых случаях это понятие включает также экономические и духовные аспекты функционирования больного.</w:t>
      </w:r>
    </w:p>
    <w:p w14:paraId="0F64C095"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В 2013 году во время научного съезда </w:t>
      </w:r>
      <w:proofErr w:type="spellStart"/>
      <w:r w:rsidRPr="00903DE3">
        <w:rPr>
          <w:rFonts w:ascii="Times New Roman" w:hAnsi="Times New Roman"/>
          <w:sz w:val="28"/>
          <w:szCs w:val="28"/>
        </w:rPr>
        <w:t>National</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Cancer</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Institute</w:t>
      </w:r>
      <w:proofErr w:type="spellEnd"/>
      <w:r w:rsidRPr="00903DE3">
        <w:rPr>
          <w:rFonts w:ascii="Times New Roman" w:hAnsi="Times New Roman"/>
          <w:sz w:val="28"/>
          <w:szCs w:val="28"/>
        </w:rPr>
        <w:t xml:space="preserve"> и </w:t>
      </w:r>
      <w:proofErr w:type="spellStart"/>
      <w:r w:rsidRPr="00903DE3">
        <w:rPr>
          <w:rFonts w:ascii="Times New Roman" w:hAnsi="Times New Roman"/>
          <w:sz w:val="28"/>
          <w:szCs w:val="28"/>
        </w:rPr>
        <w:t>American</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Socity</w:t>
      </w:r>
      <w:proofErr w:type="spellEnd"/>
      <w:r w:rsidRPr="00903DE3">
        <w:rPr>
          <w:rFonts w:ascii="Times New Roman" w:hAnsi="Times New Roman"/>
          <w:sz w:val="28"/>
          <w:szCs w:val="28"/>
        </w:rPr>
        <w:t xml:space="preserve"> of </w:t>
      </w:r>
      <w:proofErr w:type="spellStart"/>
      <w:r w:rsidRPr="00903DE3">
        <w:rPr>
          <w:rFonts w:ascii="Times New Roman" w:hAnsi="Times New Roman"/>
          <w:sz w:val="28"/>
          <w:szCs w:val="28"/>
        </w:rPr>
        <w:t>clinical</w:t>
      </w:r>
      <w:proofErr w:type="spellEnd"/>
      <w:r w:rsidRPr="00903DE3">
        <w:rPr>
          <w:rFonts w:ascii="Times New Roman" w:hAnsi="Times New Roman"/>
          <w:sz w:val="28"/>
          <w:szCs w:val="28"/>
        </w:rPr>
        <w:t xml:space="preserve"> </w:t>
      </w:r>
      <w:proofErr w:type="spellStart"/>
      <w:r w:rsidRPr="00903DE3">
        <w:rPr>
          <w:rFonts w:ascii="Times New Roman" w:hAnsi="Times New Roman"/>
          <w:sz w:val="28"/>
          <w:szCs w:val="28"/>
        </w:rPr>
        <w:t>oncology</w:t>
      </w:r>
      <w:proofErr w:type="spellEnd"/>
      <w:r w:rsidRPr="00903DE3">
        <w:rPr>
          <w:rFonts w:ascii="Times New Roman" w:hAnsi="Times New Roman"/>
          <w:sz w:val="28"/>
          <w:szCs w:val="28"/>
        </w:rPr>
        <w:t xml:space="preserve"> отмечено, что КЖ определяется как мера, которая отражает результаты лечения опухоли и стоит на втором месте после выживаемости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q5njrso8p","properties":{"formattedCitation":"[208]","plainCitation":"[208]","noteIndex":0},"citationItems":[{"id":851,"uris":["http://zotero.org/users/7388323/items/PJHXJDWS"],"uri":["http://zotero.org/users/7388323/items/PJHXJDWS"],"itemData":{"id":851,"type":"article-journal","abstract":"INTRODUCTION: Many challenges to clinical trial accrual exist, resulting in studies with inadequate enrollment and potentially delaying answers to important scientific and clinical questions.\nMETHODS: The National Cancer Institute (NCI) and the American Society of Clinical Oncology (ASCO) cosponsored the Cancer Trial Accrual Symposium: Science and Solutions on April 29-30, 2010 to examine the state of accrual science related to patient/community, physician/provider, and site/organizational influences, and identify new interventions to facilitate clinical trial enrollment. The symposium featured breakout sessions, plenary sessions, and a poster session including 100 abstracts. Among the 358 attendees were clinical investigators, researchers of accrual strategies, research administrators, nurses, research coordinators, patient advocates, and educators. A bibliography of the accrual literature in these three major areas was provided to participants in advance of the meeting. After the symposium, the literature in these areas was revisited to determine if the symposium recommendations remained relevant within the context of the current literature.\nRESULTS: Few rigorously conducted studies have tested interventions to address challenges to clinical trials accrual. Attendees developed recommendations for improving accrual and identified priority areas for future accrual research at the patient/community, physician/provider, and site/organizational levels. Current literature continues to support the symposium recommendations.\nCONCLUSIONS: A combination of approaches addressing both the multifactorial nature of accrual challenges and the characteristics of the target population may be needed to improve accrual to cancer clinical trials. Recommendations for best practices and for future research developed from the symposium are provided.","container-title":"Journal of Oncology Practice","DOI":"10.1200/JOP.2013.001119","ISSN":"1935-469X","issue":"6","journalAbbreviation":"J Oncol Pract","language":"eng","note":"PMID: 24130252\nPMCID: PMC3825288","page":"267-276","source":"PubMed","title":"The National Cancer Institute-American Society of Clinical Oncology Cancer Trial Accrual Symposium: summary and recommendations","title-short":"The National Cancer Institute-American Society of Clinical Oncology Cancer Trial Accrual Symposium","volume":"9","author":[{"family":"Denicoff","given":"Andrea M."},{"family":"McCaskill-Stevens","given":"Worta"},{"family":"Grubbs","given":"Stephen S."},{"family":"Bruinooge","given":"Suanna S."},{"family":"Comis","given":"Robert L."},{"family":"Devine","given":"Peggy"},{"family":"Dilts","given":"David M."},{"family":"Duff","given":"Michelle E."},{"family":"Ford","given":"Jean G."},{"family":"Joffe","given":"Steven"},{"family":"Schapira","given":"Lidia"},{"family":"Weinfurt","given":"Kevin P."},{"family":"Michaels","given":"Margo"},{"family":"Raghavan","given":"Derek"},{"family":"Richmond","given":"Ellen S."},{"family":"Zon","given":"Robin"},{"family":"Albrecht","given":"Terrance L."},{"family":"Bookman","given":"Michael A."},{"family":"Dowlati","given":"Afshin"},{"family":"Enos","given":"Rebecca A."},{"family":"Fouad","given":"Mona N."},{"family":"Good","given":"Marjorie"},{"family":"Hicks","given":"William J."},{"family":"Loehrer","given":"Patrick J."},{"family":"Lyss","given":"Alan P."},{"family":"Wolff","given":"Steven N."},{"family":"Wujcik","given":"Debra M."},{"family":"Meropol","given":"Neal J."}],"issued":{"date-parts":[["2013",11]]}}}],"schema":"https://github.com/citation-style-language/schema/raw/master/csl-citation.json"}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[256]</w:t>
      </w:r>
      <w:r w:rsidRPr="00903DE3">
        <w:rPr>
          <w:rFonts w:ascii="Times New Roman" w:hAnsi="Times New Roman"/>
          <w:sz w:val="28"/>
          <w:szCs w:val="28"/>
        </w:rPr>
        <w:fldChar w:fldCharType="end"/>
      </w:r>
      <w:r w:rsidRPr="00903DE3">
        <w:rPr>
          <w:rFonts w:ascii="Times New Roman" w:hAnsi="Times New Roman"/>
          <w:sz w:val="28"/>
          <w:szCs w:val="28"/>
        </w:rPr>
        <w:t xml:space="preserve">. И так, как основной ориентир при назначении противоопухолевой терапии и реабилитационных мероприятий учитывается КЖ. Результаты индивидуального мониторинга состояния больного с определением КЖ имеют огромное значение в выборе метода лечения и оценке его результативности, выживаемости, анализе эффективности реабилитационных программ и новых лекарственных средств. КЖ представляет собой динамический статус, изменяющийся в течение времени, поэтому и исследоваться оно должно на определенном промежутке времени как величина, которая зависит от течения заболевания, процесса терапии и системы реабилитации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oefoi80il","properties":{"formattedCitation":"[118]","plainCitation":"[118]","noteIndex":0},"citationItems":[{"id":285,"uris":["http://zotero.org/users/7388323/items/DENKWDSB"],"uri":["http://zotero.org/users/7388323/items/DENKWDSB"],"itemData":{"id":285,"type":"article-journal","abstract":"BACKGROUND: Anatomical changes after intestinal resection and the effects of adjuvant treatment for colorectal cancer may lead to gastrointestinal disturbances. The aim of our study was to assess gastrointestinal function using validated health-related quality of life (HRQoL) questionnaires that are able to reliably quantify patients' symptoms.\nMETHODS: Two hundred and eighty-nine colorectal cancer patients underwent HRQoL assessment preoperatively and at 3,6 and 12 months postoperatively. They were evaluated with the Gastrointestinal Quality of Life Index (GIQLI) [\"global\" and \"symptoms\" scales and questions 3 (\"bloating\"), 4 (\"excessive gas\"), 6 (\"gurgling noises\"), 7 (\"frequent bowel movements (BMs)\"), 30 (\"urgent BMs\"), 31 (\"diarrhea\"), 32 (\"constipation\"), 36 (\"uncontrolled stools\")] and the European Organization for Research and Treatment of Cancer (EORTC) modules QLQ-C30 (symptom scales: \"constipation\" and \"diarrhea\") and QLQ-CR29 (symptom scales: \"defecation problems,\" \"incontinence,\" and \"bloating\").\nRESULTS: GIQLI \"global\" and \"symptom\" indices and the majority of single-item scores and the EORTC QLQ-C30 \"constipation\" and \"diarrhea\" subscales showed significant postoperative improvement (p &lt; 0.05). Females and younger age (&lt;70 years) patients appeared to have worse postoperative gastrointestinal function. Rectal cancer patients had more \"urgent BMs,\" \"uncontrolled stools\" and worse \"global\" and \"symptom\" scores at 3 months and more \"diarrhea\" at 3 and 6 months than colon cancer patients (p &lt; 0.03). Right colectomy patients had less \"excessive passage of gas,\" \"constipation,\" and \"uncontrolled stools\" than left colectomy patients (3 months, p &lt; 0.01). Anterior resection patients faced more gastrointestinal difficulties, especially in the first 6 months after surgery. Adverse effects related to stage and adjuvant treatment were predominant only at baseline (p &lt; 0.05). GIQLI \"diarrhea\" and \"constipation\" scores were correlated with the respective EORTC QLQ-C30 domains (p = 0.0001).\nCONCLUSIONS: Overall, gastrointestinal function is improved after colorectal cancer surgery. However, women and younger patients are at higher risk of postoperative gastrointestinal dysfunction.","container-title":"Techniques in Coloproctology","DOI":"10.1007/s10151-013-1008-9","ISSN":"1128-045X","issue":"5","journalAbbreviation":"Tech Coloproctol","language":"eng","note":"PMID: 23605189","page":"525-536","source":"PubMed","title":"Post-colectomy assessment of gastrointestinal function: a prospective study on colorectal cancer patients","title-short":"Post-colectomy assessment of gastrointestinal function","volume":"17","author":[{"family":"Theodoropoulos","given":"G. E."},{"family":"Papanikolaou","given":"I. G."},{"family":"Karantanos","given":"T."},{"family":"Zografos","given":"G."}],"issued":{"date-parts":[["2013",10]]}}}],"schema":"https://github.com/citation-style-language/schema/raw/master/csl-citation.json"}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[257]</w:t>
      </w:r>
      <w:r w:rsidRPr="00903DE3">
        <w:rPr>
          <w:rFonts w:ascii="Times New Roman" w:hAnsi="Times New Roman"/>
          <w:sz w:val="28"/>
          <w:szCs w:val="28"/>
        </w:rPr>
        <w:fldChar w:fldCharType="end"/>
      </w:r>
      <w:r w:rsidRPr="00903DE3">
        <w:rPr>
          <w:rFonts w:ascii="Times New Roman" w:hAnsi="Times New Roman"/>
          <w:sz w:val="28"/>
          <w:szCs w:val="28"/>
        </w:rPr>
        <w:t>.</w:t>
      </w:r>
    </w:p>
    <w:p w14:paraId="273CCB94"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Основным инструментом для определения КЖ является целенаправленно разработанные опросники. Опросники по оценке КЖ разрабатываются специальными центрами, локализованными в США и Европе. Различают общие и специальные опросники, общим числом до 400 разновидностей. В онкологии применяются опросники специального назначения. Отмечено наиболее часто используемыми из них EORTC-QLQ-C30 анкета Европейской организации по исследованию и лечению рака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22hj2k9h66","properties":{"formattedCitation":"[210]","plainCitation":"[210]","noteIndex":0},"citationItems":[{"id":860,"uris":["http://zotero.org/users/7388323/items/2PCURGJ5"],"uri":["http://zotero.org/users/7388323/items/2PCURGJ5"],"itemData":{"id":860,"type":"article-journal","abstract":"Health-related quality of life is a topic of current interest. This paper considers a randomized phase III study of radiation therapy with concurrent chemotherapy (docetaxel) versus radiation therapy alone in non-small cell lung cancer, stage III A/B. Longitudinal data on quality of life have been obtained through repeated administration of a multi-item questionnaire (EORTC QLQ-C30) developed by the European Organisation for Research and Treatment of Cancer. Missingness in the data is owing to patients having failed to complete the questionnaire at some of the scheduled filling-in times.","container-title":"BMC Medical Research Methodology","DOI":"10.1186/1471-2288-9-28","ISSN":"1471-2288","issue":"1","journalAbbreviation":"BMC Medical Research Methodology","page":"28","source":"BioMed Central","title":"Assessing quality of life in a randomized clinical trial: Correcting for missing data","title-short":"Assessing quality of life in a randomized clinical trial","URL":"https://doi.org/10.1186/1471-2288-9-28","volume":"9","author":[{"family":"Gunnes","given":"Nina"},{"family":"Seierstad","given":"Taral G."},{"family":"Aamdal","given":"Steinar"},{"family":"Brunsvig","given":"Paal F."},{"family":"Jacobsen","given":"Anne-Birgitte"},{"family":"Sundstrøm","given":"Stein"},{"family":"Aalen","given":"Odd O."}],"accessed":{"date-parts":[["2021",1,27]]},"issued":{"date-parts":[["2009",4,30]]}}}],"schema":"https://github.com/citation-style-language/schema/raw/master/csl-citation.json"}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[257]</w:t>
      </w:r>
      <w:r w:rsidRPr="00903DE3">
        <w:rPr>
          <w:rFonts w:ascii="Times New Roman" w:hAnsi="Times New Roman"/>
          <w:sz w:val="28"/>
          <w:szCs w:val="28"/>
        </w:rPr>
        <w:fldChar w:fldCharType="end"/>
      </w:r>
      <w:r w:rsidRPr="00903DE3">
        <w:rPr>
          <w:rFonts w:ascii="Times New Roman" w:hAnsi="Times New Roman"/>
          <w:sz w:val="28"/>
          <w:szCs w:val="28"/>
        </w:rPr>
        <w:t>. Опросник качества жизни EORTC (QLQ) представляет собой интегрированную систему для оценки качества жизни (</w:t>
      </w:r>
      <w:proofErr w:type="spellStart"/>
      <w:r w:rsidRPr="00903DE3">
        <w:rPr>
          <w:rFonts w:ascii="Times New Roman" w:hAnsi="Times New Roman"/>
          <w:sz w:val="28"/>
          <w:szCs w:val="28"/>
        </w:rPr>
        <w:t>QoL</w:t>
      </w:r>
      <w:proofErr w:type="spellEnd"/>
      <w:r w:rsidRPr="00903DE3">
        <w:rPr>
          <w:rFonts w:ascii="Times New Roman" w:hAnsi="Times New Roman"/>
          <w:sz w:val="28"/>
          <w:szCs w:val="28"/>
        </w:rPr>
        <w:t>) онкологических больных, участвующих в международных клинических испытаниях, связанных со здоровьем.</w:t>
      </w:r>
    </w:p>
    <w:p w14:paraId="625AB020"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Анкета специального характера, которая применяется в онкологии – EORTC-QLQ C30. Данный опросник имеет различные модули по локализациям рака. В Европе, Канаде и Северной Америке EORTC QLQ-C30 применяется в крупных многоцентровых РКИ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f7vriqp1","properties":{"formattedCitation":"[213]","plainCitation":"[213]","noteIndex":0},"citationItems":[{"id":870,"uris":["http://zotero.org/users/7388323/items/L3AD4IJE"],"uri":["http://zotero.org/users/7388323/items/L3AD4IJE"],"itemData":{"id":870,"type":"article-journal","abstract":"The European Organization for Research and Treatment of Cancer (EORTC) Quality of Life Study Group has adopted a modular approach to quality of life (QoL) assessment in cancer clinical trials. The core instrument (the EORTC QLQ-C30) covers a range of QoL issues relevant to a broad spectrum of patients with cancer. The QLQ-C30 is designed to be supplemented by more specific subscales ('modules') to assess aspects of QoL of particular importance to specific subgroups of patients. Since individual members of the study group were to be involved in module development, guidelines were established. The primary aim of these guidelines was to standardize the module development process in order to ensure uniformly high quality across modules. This paper gives an update of the work completed to date. First, while the guidelines proved practical for module development, producing modules that exhibit adequate levels of psychometric and cross-cultural validity, experience pointed to three areas where the guidelines required more precision. These amendments will be provided and include (1) stricter monitoring of the developmental process from within the study group, (2) the explicit requirement of involvement of the study group and (3) a more precise definition of the criteria to be fulfilled before modules are allowed to be called 'EORTC modules'. Second, an overview of the modules currently under development or available for general use is provided. These modules include those for body image, high-dose chemotherapy, leukaemia, myeloma, palliative care and the following cancers: bladder, brain, breast, colorectal, head and neck, lung, oesophageal, ophthalmic, ovarian, pancreas and prostate. Finally, the need for the coordination of efforts in module development, both from within and outside the EORTC, is discussed.","container-title":"Quality of Life Research: An International Journal of Quality of Life Aspects of Treatment, Care and Rehabilitation","DOI":"10.1023/a:1024977728719","ISSN":"0962-9343","issue":"4","journalAbbreviation":"Qual Life Res","language":"eng","note":"PMID: 9610213","page":"291-300","source":"PubMed","title":"The European Organization for Research and Treatment of Cancer approach to developing questionnaire modules: an update and overview. EORTC Quality of Life Study Group","title-short":"The European Organization for Research and Treatment of Cancer approach to developing questionnaire modules","volume":"7","author":[{"family":"Sprangers","given":"M. A."},{"family":"Cull","given":"A."},{"family":"Groenvold","given":"M."},{"family":"Bjordal","given":"K."},{"family":"Blazeby","given":"J."},{"family":"Aaronson","given":"N. K."}],"issued":{"date-parts":[["1998",5]]}}}],"schema":"https://github.com/citation-style-language/schema/raw/master/csl-citation.json"}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[257]</w:t>
      </w:r>
      <w:r w:rsidRPr="00903DE3">
        <w:rPr>
          <w:rFonts w:ascii="Times New Roman" w:hAnsi="Times New Roman"/>
          <w:sz w:val="28"/>
          <w:szCs w:val="28"/>
        </w:rPr>
        <w:fldChar w:fldCharType="end"/>
      </w:r>
      <w:r w:rsidRPr="00903DE3">
        <w:rPr>
          <w:rFonts w:ascii="Times New Roman" w:hAnsi="Times New Roman"/>
          <w:sz w:val="28"/>
          <w:szCs w:val="28"/>
        </w:rPr>
        <w:t>.</w:t>
      </w:r>
    </w:p>
    <w:p w14:paraId="4C23A0C7" w14:textId="77777777" w:rsidR="00403127"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Методическая база, на которую опирается анкета, содержит следующие пункты: 1) специфичность к раку; 2) </w:t>
      </w:r>
      <w:proofErr w:type="spellStart"/>
      <w:r w:rsidRPr="00903DE3">
        <w:rPr>
          <w:rFonts w:ascii="Times New Roman" w:hAnsi="Times New Roman"/>
          <w:sz w:val="28"/>
          <w:szCs w:val="28"/>
        </w:rPr>
        <w:t>неодномерность</w:t>
      </w:r>
      <w:proofErr w:type="spellEnd"/>
      <w:r w:rsidRPr="00903DE3">
        <w:rPr>
          <w:rFonts w:ascii="Times New Roman" w:hAnsi="Times New Roman"/>
          <w:sz w:val="28"/>
          <w:szCs w:val="28"/>
        </w:rPr>
        <w:t xml:space="preserve"> в структуре (имеется нескольких шкал, которые характеризуют КЖ); 3) допустимость заполнения анкеты самим пациентом; 4) конструктивность в разных культурах [258]. Из разработанных анкет EORTC QLQ-C36 был первым опросником, который соответствовал данным параметрам. EORTC QLQ -C36 разработан в 1987 году и является инструментом КЖ первого поколения. Данный опросник оценивает состояние здоровья пациента по физическому, психологическому функционированию, общему КЖ и симптомам болезни. Анкета EORTC QLQ-</w:t>
      </w:r>
      <w:r w:rsidRPr="00903DE3">
        <w:rPr>
          <w:rFonts w:ascii="Times New Roman" w:hAnsi="Times New Roman"/>
          <w:sz w:val="28"/>
          <w:szCs w:val="28"/>
        </w:rPr>
        <w:lastRenderedPageBreak/>
        <w:t xml:space="preserve">C30 является продуктом усовершенствования предыдущей анкеты и относится к опроснику второго поколения. EORTC QLQ-C30 прошел апробацию в международных клинических исследованиях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192d220j6u","properties":{"formattedCitation":"[213]","plainCitation":"[213]","noteIndex":0},"citationItems":[{"id":870,"uris":["http://zotero.org/users/7388323/items/L3AD4IJE"],"uri":["http://zotero.org/users/7388323/items/L3AD4IJE"],"itemData":{"id":870,"type":"article-journal","abstract":"The European Organization for Research and Treatment of Cancer (EORTC) Quality of Life Study Group has adopted a modular approach to quality of life (QoL) assessment in cancer clinical trials. The core instrument (the EORTC QLQ-C30) covers a range of QoL issues relevant to a broad spectrum of patients with cancer. The QLQ-C30 is designed to be supplemented by more specific subscales ('modules') to assess aspects of QoL of particular importance to specific subgroups of patients. Since individual members of the study group were to be involved in module development, guidelines were established. The primary aim of these guidelines was to standardize the module development process in order to ensure uniformly high quality across modules. This paper gives an update of the work completed to date. First, while the guidelines proved practical for module development, producing modules that exhibit adequate levels of psychometric and cross-cultural validity, experience pointed to three areas where the guidelines required more precision. These amendments will be provided and include (1) stricter monitoring of the developmental process from within the study group, (2) the explicit requirement of involvement of the study group and (3) a more precise definition of the criteria to be fulfilled before modules are allowed to be called 'EORTC modules'. Second, an overview of the modules currently under development or available for general use is provided. These modules include those for body image, high-dose chemotherapy, leukaemia, myeloma, palliative care and the following cancers: bladder, brain, breast, colorectal, head and neck, lung, oesophageal, ophthalmic, ovarian, pancreas and prostate. Finally, the need for the coordination of efforts in module development, both from within and outside the EORTC, is discussed.","container-title":"Quality of Life Research: An International Journal of Quality of Life Aspects of Treatment, Care and Rehabilitation","DOI":"10.1023/a:1024977728719","ISSN":"0962-9343","issue":"4","journalAbbreviation":"Qual Life Res","language":"eng","note":"PMID: 9610213","page":"291-300","source":"PubMed","title":"The European Organization for Research and Treatment of Cancer approach to developing questionnaire modules: an update and overview. EORTC Quality of Life Study Group","title-short":"The European Organization for Research and Treatment of Cancer approach to developing questionnaire modules","volume":"7","author":[{"family":"Sprangers","given":"M. A."},{"family":"Cull","given":"A."},{"family":"Groenvold","given":"M."},{"family":"Bjordal","given":"K."},{"family":"Blazeby","given":"J."},{"family":"Aaronson","given":"N. K."}],"issued":{"date-parts":[["1998",5]]}}}],"schema":"https://github.com/citation-style-language/schema/raw/master/csl-citation.json"}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[258]</w:t>
      </w:r>
      <w:r w:rsidRPr="00903DE3">
        <w:rPr>
          <w:rFonts w:ascii="Times New Roman" w:hAnsi="Times New Roman"/>
          <w:sz w:val="28"/>
          <w:szCs w:val="28"/>
        </w:rPr>
        <w:fldChar w:fldCharType="end"/>
      </w:r>
      <w:r w:rsidRPr="00903DE3">
        <w:rPr>
          <w:rFonts w:ascii="Times New Roman" w:hAnsi="Times New Roman"/>
          <w:sz w:val="28"/>
          <w:szCs w:val="28"/>
        </w:rPr>
        <w:t>. Основные критерии, которым отвечает новая улучшенная версия анкеты это – надежность, обоснованность и реализуемость. Модернизированный вариант EORTC QLQ-C30 включает в себя 30 вопросов и 5 функциональных градации (физическое, ролевое, когнитивное, эмоциональное, социальное функционирование); 3 шкал симптоматики (слабость, тошнота/рвота и боль), шкалы общего КЖ и одиночных позиции (таблица 3). В основе анкеты лежит модульный принцип. В то время как EORTC QLQ-C30 является важным инструментом для оценки основных аспектов КЖ, он имеет свои ограничения, и поэтому модульный подход был принят для измерения лечения конкретных заболеваний.</w:t>
      </w:r>
    </w:p>
    <w:p w14:paraId="0DDBD461"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Для пациентов с </w:t>
      </w:r>
      <w:proofErr w:type="spellStart"/>
      <w:r w:rsidRPr="00903DE3">
        <w:rPr>
          <w:rFonts w:ascii="Times New Roman" w:hAnsi="Times New Roman"/>
          <w:sz w:val="28"/>
          <w:szCs w:val="28"/>
        </w:rPr>
        <w:t>онкопатологией</w:t>
      </w:r>
      <w:proofErr w:type="spellEnd"/>
      <w:r w:rsidRPr="00903DE3">
        <w:rPr>
          <w:rFonts w:ascii="Times New Roman" w:hAnsi="Times New Roman"/>
          <w:sz w:val="28"/>
          <w:szCs w:val="28"/>
        </w:rPr>
        <w:t xml:space="preserve">, кроме базового опросника, рекомендуется дополнительный модуль, содержащий вопросы относительно к конкретной локализации злокачественного процесса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h34saj9me","properties":{"formattedCitation":"[118,213]","plainCitation":"[118,213]","noteIndex":0},"citationItems":[{"id":285,"uris":["http://zotero.org/users/7388323/items/DENKWDSB"],"uri":["http://zotero.org/users/7388323/items/DENKWDSB"],"itemData":{"id":285,"type":"article-journal","abstract":"BACKGROUND: Anatomical changes after intestinal resection and the effects of adjuvant treatment for colorectal cancer may lead to gastrointestinal disturbances. The aim of our study was to assess gastrointestinal function using validated health-related quality of life (HRQoL) questionnaires that are able to reliably quantify patients' symptoms.\nMETHODS: Two hundred and eighty-nine colorectal cancer patients underwent HRQoL assessment preoperatively and at 3,6 and 12 months postoperatively. They were evaluated with the Gastrointestinal Quality of Life Index (GIQLI) [\"global\" and \"symptoms\" scales and questions 3 (\"bloating\"), 4 (\"excessive gas\"), 6 (\"gurgling noises\"), 7 (\"frequent bowel movements (BMs)\"), 30 (\"urgent BMs\"), 31 (\"diarrhea\"), 32 (\"constipation\"), 36 (\"uncontrolled stools\")] and the European Organization for Research and Treatment of Cancer (EORTC) modules QLQ-C30 (symptom scales: \"constipation\" and \"diarrhea\") and QLQ-CR29 (symptom scales: \"defecation problems,\" \"incontinence,\" and \"bloating\").\nRESULTS: GIQLI \"global\" and \"symptom\" indices and the majority of single-item scores and the EORTC QLQ-C30 \"constipation\" and \"diarrhea\" subscales showed significant postoperative improvement (p &lt; 0.05). Females and younger age (&lt;70 years) patients appeared to have worse postoperative gastrointestinal function. Rectal cancer patients had more \"urgent BMs,\" \"uncontrolled stools\" and worse \"global\" and \"symptom\" scores at 3 months and more \"diarrhea\" at 3 and 6 months than colon cancer patients (p &lt; 0.03). Right colectomy patients had less \"excessive passage of gas,\" \"constipation,\" and \"uncontrolled stools\" than left colectomy patients (3 months, p &lt; 0.01). Anterior resection patients faced more gastrointestinal difficulties, especially in the first 6 months after surgery. Adverse effects related to stage and adjuvant treatment were predominant only at baseline (p &lt; 0.05). GIQLI \"diarrhea\" and \"constipation\" scores were correlated with the respective EORTC QLQ-C30 domains (p = 0.0001).\nCONCLUSIONS: Overall, gastrointestinal function is improved after colorectal cancer surgery. However, women and younger patients are at higher risk of postoperative gastrointestinal dysfunction.","container-title":"Techniques in Coloproctology","DOI":"10.1007/s10151-013-1008-9","ISSN":"1128-045X","issue":"5","journalAbbreviation":"Tech Coloproctol","language":"eng","note":"PMID: 23605189","page":"525-536","source":"PubMed","title":"Post-colectomy assessment of gastrointestinal function: a prospective study on colorectal cancer patients","title-short":"Post-colectomy assessment of gastrointestinal function","volume":"17","author":[{"family":"Theodoropoulos","given":"G. E."},{"family":"Papanikolaou","given":"I. G."},{"family":"Karantanos","given":"T."},{"family":"Zografos","given":"G."}],"issued":{"date-parts":[["2013",10]]}}},{"id":870,"uris":["http://zotero.org/users/7388323/items/L3AD4IJE"],"uri":["http://zotero.org/users/7388323/items/L3AD4IJE"],"itemData":{"id":870,"type":"article-journal","abstract":"The European Organization for Research and Treatment of Cancer (EORTC) Quality of Life Study Group has adopted a modular approach to quality of life (QoL) assessment in cancer clinical trials. The core instrument (the EORTC QLQ-C30) covers a range of QoL issues relevant to a broad spectrum of patients with cancer. The QLQ-C30 is designed to be supplemented by more specific subscales ('modules') to assess aspects of QoL of particular importance to specific subgroups of patients. Since individual members of the study group were to be involved in module development, guidelines were established. The primary aim of these guidelines was to standardize the module development process in order to ensure uniformly high quality across modules. This paper gives an update of the work completed to date. First, while the guidelines proved practical for module development, producing modules that exhibit adequate levels of psychometric and cross-cultural validity, experience pointed to three areas where the guidelines required more precision. These amendments will be provided and include (1) stricter monitoring of the developmental process from within the study group, (2) the explicit requirement of involvement of the study group and (3) a more precise definition of the criteria to be fulfilled before modules are allowed to be called 'EORTC modules'. Second, an overview of the modules currently under development or available for general use is provided. These modules include those for body image, high-dose chemotherapy, leukaemia, myeloma, palliative care and the following cancers: bladder, brain, breast, colorectal, head and neck, lung, oesophageal, ophthalmic, ovarian, pancreas and prostate. Finally, the need for the coordination of efforts in module development, both from within and outside the EORTC, is discussed.","container-title":"Quality of Life Research: An International Journal of Quality of Life Aspects of Treatment, Care and Rehabilitation","DOI":"10.1023/a:1024977728719","ISSN":"0962-9343","issue":"4","journalAbbreviation":"Qual Life Res","language":"eng","note":"PMID: 9610213","page":"291-300","source":"PubMed","title":"The European Organization for Research and Treatment of Cancer approach to developing questionnaire modules: an update and overview. EORTC Quality of Life Study Group","title-short":"The European Organization for Research and Treatment of Cancer approach to developing questionnaire modules","volume":"7","author":[{"family":"Sprangers","given":"M. A."},{"family":"Cull","given":"A."},{"family":"Groenvold","given":"M."},{"family":"Bjordal","given":"K."},{"family":"Blazeby","given":"J."},{"family":"Aaronson","given":"N. K."}],"issued":{"date-parts":[["1998",5]]}}}],"schema":"https://github.com/citation-style-language/schema/raw/master/csl-citation.json"}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[258-267]</w:t>
      </w:r>
      <w:r w:rsidRPr="00903DE3">
        <w:rPr>
          <w:rFonts w:ascii="Times New Roman" w:hAnsi="Times New Roman"/>
          <w:sz w:val="28"/>
          <w:szCs w:val="28"/>
        </w:rPr>
        <w:fldChar w:fldCharType="end"/>
      </w:r>
      <w:r w:rsidRPr="00903DE3">
        <w:rPr>
          <w:rFonts w:ascii="Times New Roman" w:hAnsi="Times New Roman"/>
          <w:sz w:val="28"/>
          <w:szCs w:val="28"/>
        </w:rPr>
        <w:t xml:space="preserve">. Модуль колоректального рака EORTC QLQ-CR29 состоит из 29 пунктов, которые оценивают три функциональных пункта КЖ (беспокойство по поводу веса и образа тела) и пунктов касательно симптомов (слизь и кровь в стуле, частота мочеиспускания и стула, дизурия, боль в животе и ягодицах, ощущение вздутия живота, недержание мочи и кала, сухость во рту, выпадение волос, проблемы со вкусом, болезненность кожи и метеоризм), которые связаны с колоректальным раком и его лечением (таблица 4). После проведения согласно международных стандартов языковой и культурной адаптации модуля EORTC QLQ-CR29 создана его </w:t>
      </w:r>
      <w:proofErr w:type="gramStart"/>
      <w:r w:rsidRPr="00903DE3">
        <w:rPr>
          <w:rFonts w:ascii="Times New Roman" w:hAnsi="Times New Roman"/>
          <w:sz w:val="28"/>
          <w:szCs w:val="28"/>
        </w:rPr>
        <w:t>русско-язычная</w:t>
      </w:r>
      <w:proofErr w:type="gramEnd"/>
      <w:r w:rsidRPr="00903DE3">
        <w:rPr>
          <w:rFonts w:ascii="Times New Roman" w:hAnsi="Times New Roman"/>
          <w:sz w:val="28"/>
          <w:szCs w:val="28"/>
        </w:rPr>
        <w:t xml:space="preserve"> версия, эквивалентная оригиналу инструмента с учетом этно-лингвистических особенностей популяции. При этом созданная версия опросника-модуля EORTC QLQ-CR29 характеризуется высокими психометрическими свойствами, что позволяет широко применять ее в клинических исследованиях у больных с колоректальным раком.</w:t>
      </w:r>
    </w:p>
    <w:p w14:paraId="456F37CC"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t xml:space="preserve">Согласно результатам исследования </w:t>
      </w:r>
      <w:proofErr w:type="spellStart"/>
      <w:r w:rsidRPr="00903DE3">
        <w:rPr>
          <w:rFonts w:ascii="Times New Roman" w:hAnsi="Times New Roman"/>
          <w:sz w:val="28"/>
          <w:szCs w:val="28"/>
        </w:rPr>
        <w:t>Akhondi-Meybodi</w:t>
      </w:r>
      <w:proofErr w:type="spellEnd"/>
      <w:r w:rsidRPr="00903DE3">
        <w:rPr>
          <w:rFonts w:ascii="Times New Roman" w:hAnsi="Times New Roman"/>
          <w:sz w:val="28"/>
          <w:szCs w:val="28"/>
        </w:rPr>
        <w:t xml:space="preserve"> и </w:t>
      </w:r>
      <w:proofErr w:type="spellStart"/>
      <w:r w:rsidRPr="00903DE3">
        <w:rPr>
          <w:rFonts w:ascii="Times New Roman" w:hAnsi="Times New Roman"/>
          <w:sz w:val="28"/>
          <w:szCs w:val="28"/>
        </w:rPr>
        <w:t>др</w:t>
      </w:r>
      <w:proofErr w:type="spellEnd"/>
      <w:r w:rsidRPr="00903DE3">
        <w:rPr>
          <w:rFonts w:ascii="Times New Roman" w:hAnsi="Times New Roman"/>
          <w:sz w:val="28"/>
          <w:szCs w:val="28"/>
        </w:rPr>
        <w:t>, у пациентов, перенесших операции и химиотерапию по поводу колоректального рака, наблюдались нарушения умственной и социальной активности; клинические признаки, такие как усталость, одышка, недостаток сна, запоры и диарея; а также финансовые трудности [268].</w:t>
      </w:r>
    </w:p>
    <w:p w14:paraId="56BC6D8B" w14:textId="77777777" w:rsidR="00403127" w:rsidRDefault="00403127" w:rsidP="00403127">
      <w:pPr>
        <w:spacing w:after="0" w:line="240" w:lineRule="auto"/>
        <w:ind w:firstLine="567"/>
        <w:jc w:val="both"/>
        <w:rPr>
          <w:rFonts w:ascii="Times New Roman" w:hAnsi="Times New Roman"/>
          <w:sz w:val="28"/>
          <w:szCs w:val="28"/>
        </w:rPr>
      </w:pPr>
    </w:p>
    <w:p w14:paraId="15C33E92" w14:textId="77777777" w:rsidR="00403127" w:rsidRPr="00903DE3" w:rsidRDefault="00403127" w:rsidP="00403127">
      <w:pPr>
        <w:spacing w:after="0" w:line="240" w:lineRule="auto"/>
        <w:rPr>
          <w:rFonts w:ascii="Times New Roman" w:hAnsi="Times New Roman"/>
          <w:sz w:val="28"/>
          <w:szCs w:val="28"/>
        </w:rPr>
      </w:pPr>
      <w:r w:rsidRPr="00903DE3">
        <w:rPr>
          <w:rFonts w:ascii="Times New Roman" w:hAnsi="Times New Roman"/>
          <w:sz w:val="28"/>
          <w:szCs w:val="28"/>
        </w:rPr>
        <w:t>Таблица 3 – Оценивание EORTC QLQ-C30 версии 3.0</w:t>
      </w:r>
    </w:p>
    <w:p w14:paraId="7E442F0B" w14:textId="77777777" w:rsidR="00403127" w:rsidRPr="00903DE3" w:rsidRDefault="00403127" w:rsidP="00403127">
      <w:pPr>
        <w:spacing w:after="0" w:line="240" w:lineRule="auto"/>
        <w:ind w:firstLine="567"/>
        <w:rPr>
          <w:rFonts w:ascii="Times New Roman" w:hAnsi="Times New Roman"/>
          <w:sz w:val="28"/>
          <w:szCs w:val="28"/>
        </w:rPr>
      </w:pPr>
    </w:p>
    <w:tbl>
      <w:tblPr>
        <w:tblStyle w:val="af1"/>
        <w:tblW w:w="9638" w:type="dxa"/>
        <w:jc w:val="center"/>
        <w:tblLook w:val="04A0" w:firstRow="1" w:lastRow="0" w:firstColumn="1" w:lastColumn="0" w:noHBand="0" w:noVBand="1"/>
      </w:tblPr>
      <w:tblGrid>
        <w:gridCol w:w="482"/>
        <w:gridCol w:w="261"/>
        <w:gridCol w:w="895"/>
        <w:gridCol w:w="1917"/>
        <w:gridCol w:w="1514"/>
        <w:gridCol w:w="710"/>
        <w:gridCol w:w="184"/>
        <w:gridCol w:w="658"/>
        <w:gridCol w:w="346"/>
        <w:gridCol w:w="467"/>
        <w:gridCol w:w="566"/>
        <w:gridCol w:w="814"/>
        <w:gridCol w:w="818"/>
        <w:gridCol w:w="6"/>
      </w:tblGrid>
      <w:tr w:rsidR="00403127" w:rsidRPr="00903DE3" w14:paraId="767C2B29" w14:textId="77777777" w:rsidTr="00094F6F">
        <w:trPr>
          <w:gridAfter w:val="1"/>
          <w:wAfter w:w="10" w:type="dxa"/>
          <w:trHeight w:val="227"/>
          <w:jc w:val="center"/>
        </w:trPr>
        <w:tc>
          <w:tcPr>
            <w:tcW w:w="479" w:type="dxa"/>
            <w:vAlign w:val="center"/>
          </w:tcPr>
          <w:p w14:paraId="18CDA831"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rPr>
              <w:t>№</w:t>
            </w:r>
          </w:p>
        </w:tc>
        <w:tc>
          <w:tcPr>
            <w:tcW w:w="5377" w:type="dxa"/>
            <w:gridSpan w:val="6"/>
            <w:vAlign w:val="center"/>
          </w:tcPr>
          <w:p w14:paraId="24BA288F"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rPr>
              <w:t>Вопросы</w:t>
            </w:r>
          </w:p>
        </w:tc>
        <w:tc>
          <w:tcPr>
            <w:tcW w:w="674"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4B2B7BD"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rPr>
              <w:t>Не было</w:t>
            </w:r>
          </w:p>
        </w:tc>
        <w:tc>
          <w:tcPr>
            <w:tcW w:w="835"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273F9392"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rPr>
              <w:t>Слегка</w:t>
            </w:r>
          </w:p>
        </w:tc>
        <w:tc>
          <w:tcPr>
            <w:tcW w:w="1423"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14:paraId="4D0D0D92"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rPr>
              <w:t>Существенно</w:t>
            </w:r>
          </w:p>
        </w:tc>
        <w:tc>
          <w:tcPr>
            <w:tcW w:w="84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8CE8976"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rPr>
              <w:t>Очень сильно</w:t>
            </w:r>
          </w:p>
        </w:tc>
      </w:tr>
      <w:tr w:rsidR="00403127" w:rsidRPr="00903DE3" w14:paraId="62C9459C" w14:textId="77777777" w:rsidTr="00094F6F">
        <w:trPr>
          <w:gridAfter w:val="1"/>
          <w:wAfter w:w="10" w:type="dxa"/>
          <w:trHeight w:val="227"/>
          <w:jc w:val="center"/>
        </w:trPr>
        <w:tc>
          <w:tcPr>
            <w:tcW w:w="0" w:type="auto"/>
            <w:hideMark/>
          </w:tcPr>
          <w:p w14:paraId="1490C60C" w14:textId="77777777" w:rsidR="00403127" w:rsidRPr="00034667" w:rsidRDefault="00403127" w:rsidP="00094F6F">
            <w:pPr>
              <w:spacing w:after="300" w:line="293" w:lineRule="atLeast"/>
              <w:jc w:val="center"/>
              <w:rPr>
                <w:rFonts w:ascii="Times New Roman" w:hAnsi="Times New Roman"/>
                <w:color w:val="000000" w:themeColor="text1"/>
                <w:lang w:eastAsia="en-US"/>
              </w:rPr>
            </w:pPr>
            <w:r w:rsidRPr="00034667">
              <w:rPr>
                <w:rFonts w:ascii="Times New Roman" w:hAnsi="Times New Roman"/>
                <w:color w:val="000000" w:themeColor="text1"/>
                <w:lang w:eastAsia="en-US"/>
              </w:rPr>
              <w:t>1.</w:t>
            </w:r>
          </w:p>
        </w:tc>
        <w:tc>
          <w:tcPr>
            <w:tcW w:w="0" w:type="auto"/>
            <w:gridSpan w:val="6"/>
            <w:hideMark/>
          </w:tcPr>
          <w:p w14:paraId="110A8178" w14:textId="77777777" w:rsidR="00403127" w:rsidRPr="00034667" w:rsidRDefault="00403127" w:rsidP="00094F6F">
            <w:pPr>
              <w:spacing w:after="0" w:line="293" w:lineRule="atLeast"/>
              <w:rPr>
                <w:rFonts w:ascii="Times New Roman" w:hAnsi="Times New Roman"/>
                <w:color w:val="000000" w:themeColor="text1"/>
                <w:lang w:eastAsia="en-US"/>
              </w:rPr>
            </w:pPr>
            <w:bookmarkStart w:id="2" w:name="101600"/>
            <w:bookmarkEnd w:id="2"/>
            <w:r w:rsidRPr="00034667">
              <w:rPr>
                <w:rFonts w:ascii="Times New Roman" w:hAnsi="Times New Roman"/>
                <w:color w:val="000000" w:themeColor="text1"/>
                <w:lang w:eastAsia="en-US"/>
              </w:rPr>
              <w:t>Испытываете ли Вы какие-нибудь затруднения при выполнении работы, требующей значительных физических усилий, например</w:t>
            </w:r>
            <w:proofErr w:type="gramStart"/>
            <w:r w:rsidRPr="00034667">
              <w:rPr>
                <w:rFonts w:ascii="Times New Roman" w:hAnsi="Times New Roman"/>
                <w:color w:val="000000" w:themeColor="text1"/>
                <w:lang w:eastAsia="en-US"/>
              </w:rPr>
              <w:t>. когда</w:t>
            </w:r>
            <w:proofErr w:type="gramEnd"/>
            <w:r w:rsidRPr="00034667">
              <w:rPr>
                <w:rFonts w:ascii="Times New Roman" w:hAnsi="Times New Roman"/>
                <w:color w:val="000000" w:themeColor="text1"/>
                <w:lang w:eastAsia="en-US"/>
              </w:rPr>
              <w:t xml:space="preserve"> несете тяжелую хозяйственную сумку или чемодан?</w:t>
            </w:r>
          </w:p>
        </w:tc>
        <w:tc>
          <w:tcPr>
            <w:tcW w:w="0" w:type="auto"/>
            <w:vAlign w:val="center"/>
            <w:hideMark/>
          </w:tcPr>
          <w:p w14:paraId="5B159A88" w14:textId="77777777" w:rsidR="00403127" w:rsidRPr="00034667" w:rsidRDefault="00403127" w:rsidP="00094F6F">
            <w:pPr>
              <w:spacing w:after="0" w:line="240" w:lineRule="auto"/>
              <w:jc w:val="center"/>
              <w:rPr>
                <w:rFonts w:ascii="Times New Roman" w:hAnsi="Times New Roman"/>
                <w:color w:val="000000" w:themeColor="text1"/>
                <w:lang w:eastAsia="en-US"/>
              </w:rPr>
            </w:pPr>
            <w:r w:rsidRPr="00034667">
              <w:rPr>
                <w:rFonts w:ascii="Times New Roman" w:hAnsi="Times New Roman"/>
                <w:color w:val="000000" w:themeColor="text1"/>
                <w:lang w:eastAsia="en-US"/>
              </w:rPr>
              <w:t>1</w:t>
            </w:r>
          </w:p>
        </w:tc>
        <w:tc>
          <w:tcPr>
            <w:tcW w:w="0" w:type="auto"/>
            <w:gridSpan w:val="2"/>
            <w:vAlign w:val="center"/>
            <w:hideMark/>
          </w:tcPr>
          <w:p w14:paraId="66D62740"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3" w:name="101601"/>
            <w:bookmarkEnd w:id="3"/>
            <w:r w:rsidRPr="00034667">
              <w:rPr>
                <w:rFonts w:ascii="Times New Roman" w:hAnsi="Times New Roman"/>
                <w:color w:val="000000" w:themeColor="text1"/>
                <w:lang w:eastAsia="en-US"/>
              </w:rPr>
              <w:t>2</w:t>
            </w:r>
          </w:p>
        </w:tc>
        <w:tc>
          <w:tcPr>
            <w:tcW w:w="0" w:type="auto"/>
            <w:gridSpan w:val="2"/>
            <w:vAlign w:val="center"/>
            <w:hideMark/>
          </w:tcPr>
          <w:p w14:paraId="40ACA5E8"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4" w:name="101602"/>
            <w:bookmarkEnd w:id="4"/>
            <w:r w:rsidRPr="00034667">
              <w:rPr>
                <w:rFonts w:ascii="Times New Roman" w:hAnsi="Times New Roman"/>
                <w:color w:val="000000" w:themeColor="text1"/>
                <w:lang w:eastAsia="en-US"/>
              </w:rPr>
              <w:t>3</w:t>
            </w:r>
          </w:p>
        </w:tc>
        <w:tc>
          <w:tcPr>
            <w:tcW w:w="0" w:type="auto"/>
            <w:vAlign w:val="center"/>
            <w:hideMark/>
          </w:tcPr>
          <w:p w14:paraId="3A657F16"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5" w:name="101603"/>
            <w:bookmarkEnd w:id="5"/>
            <w:r w:rsidRPr="00034667">
              <w:rPr>
                <w:rFonts w:ascii="Times New Roman" w:hAnsi="Times New Roman"/>
                <w:color w:val="000000" w:themeColor="text1"/>
                <w:lang w:eastAsia="en-US"/>
              </w:rPr>
              <w:t>4</w:t>
            </w:r>
          </w:p>
        </w:tc>
      </w:tr>
      <w:tr w:rsidR="00403127" w:rsidRPr="00903DE3" w14:paraId="6F5D9047" w14:textId="77777777" w:rsidTr="00094F6F">
        <w:trPr>
          <w:gridAfter w:val="1"/>
          <w:wAfter w:w="10" w:type="dxa"/>
          <w:trHeight w:val="227"/>
          <w:jc w:val="center"/>
        </w:trPr>
        <w:tc>
          <w:tcPr>
            <w:tcW w:w="0" w:type="auto"/>
            <w:hideMark/>
          </w:tcPr>
          <w:p w14:paraId="5E804A9C"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6" w:name="101604"/>
            <w:bookmarkEnd w:id="6"/>
            <w:r w:rsidRPr="00034667">
              <w:rPr>
                <w:rFonts w:ascii="Times New Roman" w:hAnsi="Times New Roman"/>
                <w:color w:val="000000" w:themeColor="text1"/>
                <w:lang w:eastAsia="en-US"/>
              </w:rPr>
              <w:t>2.</w:t>
            </w:r>
          </w:p>
        </w:tc>
        <w:tc>
          <w:tcPr>
            <w:tcW w:w="0" w:type="auto"/>
            <w:gridSpan w:val="6"/>
            <w:hideMark/>
          </w:tcPr>
          <w:p w14:paraId="7ABB33CF" w14:textId="77777777" w:rsidR="00403127" w:rsidRPr="00034667" w:rsidRDefault="00403127" w:rsidP="00094F6F">
            <w:pPr>
              <w:spacing w:after="0" w:line="293" w:lineRule="atLeast"/>
              <w:rPr>
                <w:rFonts w:ascii="Times New Roman" w:hAnsi="Times New Roman"/>
                <w:color w:val="000000" w:themeColor="text1"/>
                <w:lang w:eastAsia="en-US"/>
              </w:rPr>
            </w:pPr>
            <w:bookmarkStart w:id="7" w:name="101605"/>
            <w:bookmarkEnd w:id="7"/>
            <w:r w:rsidRPr="00034667">
              <w:rPr>
                <w:rFonts w:ascii="Times New Roman" w:hAnsi="Times New Roman"/>
                <w:color w:val="000000" w:themeColor="text1"/>
                <w:lang w:eastAsia="en-US"/>
              </w:rPr>
              <w:t>Испытываете ли Вы какие-нибудь затруднения, совершая длительную прогулку?</w:t>
            </w:r>
          </w:p>
        </w:tc>
        <w:tc>
          <w:tcPr>
            <w:tcW w:w="0" w:type="auto"/>
            <w:vAlign w:val="center"/>
            <w:hideMark/>
          </w:tcPr>
          <w:p w14:paraId="7ABF970A"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8" w:name="101606"/>
            <w:bookmarkEnd w:id="8"/>
            <w:r w:rsidRPr="00034667">
              <w:rPr>
                <w:rFonts w:ascii="Times New Roman" w:hAnsi="Times New Roman"/>
                <w:color w:val="000000" w:themeColor="text1"/>
                <w:lang w:eastAsia="en-US"/>
              </w:rPr>
              <w:t>1</w:t>
            </w:r>
          </w:p>
        </w:tc>
        <w:tc>
          <w:tcPr>
            <w:tcW w:w="0" w:type="auto"/>
            <w:gridSpan w:val="2"/>
            <w:vAlign w:val="center"/>
            <w:hideMark/>
          </w:tcPr>
          <w:p w14:paraId="23124ACD"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9" w:name="101607"/>
            <w:bookmarkEnd w:id="9"/>
            <w:r w:rsidRPr="00034667">
              <w:rPr>
                <w:rFonts w:ascii="Times New Roman" w:hAnsi="Times New Roman"/>
                <w:color w:val="000000" w:themeColor="text1"/>
                <w:lang w:eastAsia="en-US"/>
              </w:rPr>
              <w:t>2</w:t>
            </w:r>
          </w:p>
        </w:tc>
        <w:tc>
          <w:tcPr>
            <w:tcW w:w="0" w:type="auto"/>
            <w:gridSpan w:val="2"/>
            <w:vAlign w:val="center"/>
            <w:hideMark/>
          </w:tcPr>
          <w:p w14:paraId="0FCC712B"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10" w:name="101608"/>
            <w:bookmarkEnd w:id="10"/>
            <w:r w:rsidRPr="00034667">
              <w:rPr>
                <w:rFonts w:ascii="Times New Roman" w:hAnsi="Times New Roman"/>
                <w:color w:val="000000" w:themeColor="text1"/>
                <w:lang w:eastAsia="en-US"/>
              </w:rPr>
              <w:t>3</w:t>
            </w:r>
          </w:p>
        </w:tc>
        <w:tc>
          <w:tcPr>
            <w:tcW w:w="0" w:type="auto"/>
            <w:vAlign w:val="center"/>
            <w:hideMark/>
          </w:tcPr>
          <w:p w14:paraId="311E382B"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11" w:name="101609"/>
            <w:bookmarkEnd w:id="11"/>
            <w:r w:rsidRPr="00034667">
              <w:rPr>
                <w:rFonts w:ascii="Times New Roman" w:hAnsi="Times New Roman"/>
                <w:color w:val="000000" w:themeColor="text1"/>
                <w:lang w:eastAsia="en-US"/>
              </w:rPr>
              <w:t>4</w:t>
            </w:r>
          </w:p>
        </w:tc>
      </w:tr>
      <w:tr w:rsidR="00403127" w:rsidRPr="00903DE3" w14:paraId="0AD070F5" w14:textId="77777777" w:rsidTr="00094F6F">
        <w:trPr>
          <w:gridAfter w:val="1"/>
          <w:wAfter w:w="10" w:type="dxa"/>
          <w:trHeight w:val="227"/>
          <w:jc w:val="center"/>
        </w:trPr>
        <w:tc>
          <w:tcPr>
            <w:tcW w:w="0" w:type="auto"/>
            <w:hideMark/>
          </w:tcPr>
          <w:p w14:paraId="7374D8A5"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12" w:name="101610"/>
            <w:bookmarkEnd w:id="12"/>
            <w:r w:rsidRPr="00034667">
              <w:rPr>
                <w:rFonts w:ascii="Times New Roman" w:hAnsi="Times New Roman"/>
                <w:color w:val="000000" w:themeColor="text1"/>
                <w:lang w:eastAsia="en-US"/>
              </w:rPr>
              <w:t>3.</w:t>
            </w:r>
          </w:p>
        </w:tc>
        <w:tc>
          <w:tcPr>
            <w:tcW w:w="0" w:type="auto"/>
            <w:gridSpan w:val="6"/>
            <w:hideMark/>
          </w:tcPr>
          <w:p w14:paraId="64A81EA9" w14:textId="77777777" w:rsidR="00403127" w:rsidRPr="00034667" w:rsidRDefault="00403127" w:rsidP="00094F6F">
            <w:pPr>
              <w:spacing w:after="0" w:line="293" w:lineRule="atLeast"/>
              <w:rPr>
                <w:rFonts w:ascii="Times New Roman" w:hAnsi="Times New Roman"/>
                <w:color w:val="000000" w:themeColor="text1"/>
                <w:lang w:eastAsia="en-US"/>
              </w:rPr>
            </w:pPr>
            <w:bookmarkStart w:id="13" w:name="101611"/>
            <w:bookmarkEnd w:id="13"/>
            <w:r w:rsidRPr="00034667">
              <w:rPr>
                <w:rFonts w:ascii="Times New Roman" w:hAnsi="Times New Roman"/>
                <w:color w:val="000000" w:themeColor="text1"/>
                <w:lang w:eastAsia="en-US"/>
              </w:rPr>
              <w:t>Испытываете ли Вы какие-нибудь затруднения, совершая небольшую прогулку на улице?</w:t>
            </w:r>
          </w:p>
        </w:tc>
        <w:tc>
          <w:tcPr>
            <w:tcW w:w="0" w:type="auto"/>
            <w:vAlign w:val="center"/>
            <w:hideMark/>
          </w:tcPr>
          <w:p w14:paraId="20AD28D1"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14" w:name="101612"/>
            <w:bookmarkEnd w:id="14"/>
            <w:r w:rsidRPr="00034667">
              <w:rPr>
                <w:rFonts w:ascii="Times New Roman" w:hAnsi="Times New Roman"/>
                <w:color w:val="000000" w:themeColor="text1"/>
                <w:lang w:eastAsia="en-US"/>
              </w:rPr>
              <w:t>1</w:t>
            </w:r>
          </w:p>
        </w:tc>
        <w:tc>
          <w:tcPr>
            <w:tcW w:w="0" w:type="auto"/>
            <w:gridSpan w:val="2"/>
            <w:vAlign w:val="center"/>
            <w:hideMark/>
          </w:tcPr>
          <w:p w14:paraId="2E039139"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15" w:name="101613"/>
            <w:bookmarkEnd w:id="15"/>
            <w:r w:rsidRPr="00034667">
              <w:rPr>
                <w:rFonts w:ascii="Times New Roman" w:hAnsi="Times New Roman"/>
                <w:color w:val="000000" w:themeColor="text1"/>
                <w:lang w:eastAsia="en-US"/>
              </w:rPr>
              <w:t>2</w:t>
            </w:r>
          </w:p>
        </w:tc>
        <w:tc>
          <w:tcPr>
            <w:tcW w:w="0" w:type="auto"/>
            <w:gridSpan w:val="2"/>
            <w:vAlign w:val="center"/>
            <w:hideMark/>
          </w:tcPr>
          <w:p w14:paraId="59E7137E"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16" w:name="101614"/>
            <w:bookmarkEnd w:id="16"/>
            <w:r w:rsidRPr="00034667">
              <w:rPr>
                <w:rFonts w:ascii="Times New Roman" w:hAnsi="Times New Roman"/>
                <w:color w:val="000000" w:themeColor="text1"/>
                <w:lang w:eastAsia="en-US"/>
              </w:rPr>
              <w:t>3</w:t>
            </w:r>
          </w:p>
        </w:tc>
        <w:tc>
          <w:tcPr>
            <w:tcW w:w="0" w:type="auto"/>
            <w:vAlign w:val="center"/>
            <w:hideMark/>
          </w:tcPr>
          <w:p w14:paraId="10E3B62C"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17" w:name="101615"/>
            <w:bookmarkEnd w:id="17"/>
            <w:r w:rsidRPr="00034667">
              <w:rPr>
                <w:rFonts w:ascii="Times New Roman" w:hAnsi="Times New Roman"/>
                <w:color w:val="000000" w:themeColor="text1"/>
                <w:lang w:eastAsia="en-US"/>
              </w:rPr>
              <w:t>4</w:t>
            </w:r>
          </w:p>
        </w:tc>
      </w:tr>
      <w:tr w:rsidR="00403127" w:rsidRPr="00903DE3" w14:paraId="0754A1C5" w14:textId="77777777" w:rsidTr="00094F6F">
        <w:trPr>
          <w:gridAfter w:val="1"/>
          <w:wAfter w:w="10" w:type="dxa"/>
          <w:trHeight w:val="227"/>
          <w:jc w:val="center"/>
        </w:trPr>
        <w:tc>
          <w:tcPr>
            <w:tcW w:w="0" w:type="auto"/>
            <w:hideMark/>
          </w:tcPr>
          <w:p w14:paraId="798A189A"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18" w:name="101616"/>
            <w:bookmarkEnd w:id="18"/>
            <w:r w:rsidRPr="00034667">
              <w:rPr>
                <w:rFonts w:ascii="Times New Roman" w:hAnsi="Times New Roman"/>
                <w:color w:val="000000" w:themeColor="text1"/>
                <w:lang w:eastAsia="en-US"/>
              </w:rPr>
              <w:lastRenderedPageBreak/>
              <w:t>4.</w:t>
            </w:r>
          </w:p>
        </w:tc>
        <w:tc>
          <w:tcPr>
            <w:tcW w:w="0" w:type="auto"/>
            <w:gridSpan w:val="6"/>
            <w:hideMark/>
          </w:tcPr>
          <w:p w14:paraId="41DED597" w14:textId="77777777" w:rsidR="00403127" w:rsidRPr="00034667" w:rsidRDefault="00403127" w:rsidP="00094F6F">
            <w:pPr>
              <w:spacing w:after="0" w:line="293" w:lineRule="atLeast"/>
              <w:rPr>
                <w:rFonts w:ascii="Times New Roman" w:hAnsi="Times New Roman"/>
                <w:color w:val="000000" w:themeColor="text1"/>
                <w:lang w:eastAsia="en-US"/>
              </w:rPr>
            </w:pPr>
            <w:bookmarkStart w:id="19" w:name="101617"/>
            <w:bookmarkEnd w:id="19"/>
            <w:r w:rsidRPr="00034667">
              <w:rPr>
                <w:rFonts w:ascii="Times New Roman" w:hAnsi="Times New Roman"/>
                <w:color w:val="000000" w:themeColor="text1"/>
                <w:lang w:eastAsia="en-US"/>
              </w:rPr>
              <w:t>Требуется ли Вам находиться в постели или в кресле в течение дня?</w:t>
            </w:r>
          </w:p>
        </w:tc>
        <w:tc>
          <w:tcPr>
            <w:tcW w:w="0" w:type="auto"/>
            <w:vAlign w:val="center"/>
            <w:hideMark/>
          </w:tcPr>
          <w:p w14:paraId="1CB4CF42"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20" w:name="101618"/>
            <w:bookmarkEnd w:id="20"/>
            <w:r w:rsidRPr="00034667">
              <w:rPr>
                <w:rFonts w:ascii="Times New Roman" w:hAnsi="Times New Roman"/>
                <w:color w:val="000000" w:themeColor="text1"/>
                <w:lang w:eastAsia="en-US"/>
              </w:rPr>
              <w:t>1</w:t>
            </w:r>
          </w:p>
        </w:tc>
        <w:tc>
          <w:tcPr>
            <w:tcW w:w="0" w:type="auto"/>
            <w:gridSpan w:val="2"/>
            <w:vAlign w:val="center"/>
            <w:hideMark/>
          </w:tcPr>
          <w:p w14:paraId="5F7FE2CD"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21" w:name="101619"/>
            <w:bookmarkEnd w:id="21"/>
            <w:r w:rsidRPr="00034667">
              <w:rPr>
                <w:rFonts w:ascii="Times New Roman" w:hAnsi="Times New Roman"/>
                <w:color w:val="000000" w:themeColor="text1"/>
                <w:lang w:eastAsia="en-US"/>
              </w:rPr>
              <w:t>2</w:t>
            </w:r>
          </w:p>
        </w:tc>
        <w:tc>
          <w:tcPr>
            <w:tcW w:w="0" w:type="auto"/>
            <w:gridSpan w:val="2"/>
            <w:vAlign w:val="center"/>
            <w:hideMark/>
          </w:tcPr>
          <w:p w14:paraId="482CCBC8"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22" w:name="101620"/>
            <w:bookmarkEnd w:id="22"/>
            <w:r w:rsidRPr="00034667">
              <w:rPr>
                <w:rFonts w:ascii="Times New Roman" w:hAnsi="Times New Roman"/>
                <w:color w:val="000000" w:themeColor="text1"/>
                <w:lang w:eastAsia="en-US"/>
              </w:rPr>
              <w:t>3</w:t>
            </w:r>
          </w:p>
        </w:tc>
        <w:tc>
          <w:tcPr>
            <w:tcW w:w="0" w:type="auto"/>
            <w:vAlign w:val="center"/>
            <w:hideMark/>
          </w:tcPr>
          <w:p w14:paraId="7992946A"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23" w:name="101621"/>
            <w:bookmarkEnd w:id="23"/>
            <w:r w:rsidRPr="00034667">
              <w:rPr>
                <w:rFonts w:ascii="Times New Roman" w:hAnsi="Times New Roman"/>
                <w:color w:val="000000" w:themeColor="text1"/>
                <w:lang w:eastAsia="en-US"/>
              </w:rPr>
              <w:t>4</w:t>
            </w:r>
          </w:p>
        </w:tc>
      </w:tr>
      <w:tr w:rsidR="00403127" w:rsidRPr="00903DE3" w14:paraId="355E2F91" w14:textId="77777777" w:rsidTr="00094F6F">
        <w:trPr>
          <w:gridAfter w:val="1"/>
          <w:wAfter w:w="10" w:type="dxa"/>
          <w:trHeight w:val="227"/>
          <w:jc w:val="center"/>
        </w:trPr>
        <w:tc>
          <w:tcPr>
            <w:tcW w:w="0" w:type="auto"/>
            <w:hideMark/>
          </w:tcPr>
          <w:p w14:paraId="54CEAE66"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24" w:name="101622"/>
            <w:bookmarkEnd w:id="24"/>
            <w:r w:rsidRPr="00034667">
              <w:rPr>
                <w:rFonts w:ascii="Times New Roman" w:hAnsi="Times New Roman"/>
                <w:color w:val="000000" w:themeColor="text1"/>
                <w:lang w:eastAsia="en-US"/>
              </w:rPr>
              <w:t>5.</w:t>
            </w:r>
          </w:p>
        </w:tc>
        <w:tc>
          <w:tcPr>
            <w:tcW w:w="0" w:type="auto"/>
            <w:gridSpan w:val="6"/>
            <w:hideMark/>
          </w:tcPr>
          <w:p w14:paraId="180562DD" w14:textId="77777777" w:rsidR="00403127" w:rsidRPr="00034667" w:rsidRDefault="00403127" w:rsidP="00094F6F">
            <w:pPr>
              <w:spacing w:after="0" w:line="293" w:lineRule="atLeast"/>
              <w:rPr>
                <w:rFonts w:ascii="Times New Roman" w:hAnsi="Times New Roman"/>
                <w:color w:val="000000" w:themeColor="text1"/>
                <w:lang w:eastAsia="en-US"/>
              </w:rPr>
            </w:pPr>
            <w:bookmarkStart w:id="25" w:name="101623"/>
            <w:bookmarkEnd w:id="25"/>
            <w:r w:rsidRPr="00034667">
              <w:rPr>
                <w:rFonts w:ascii="Times New Roman" w:hAnsi="Times New Roman"/>
                <w:color w:val="000000" w:themeColor="text1"/>
                <w:lang w:eastAsia="en-US"/>
              </w:rPr>
              <w:t>Требуется ли Вам помощь при приеме пищи, одевании, умывании или пользовании туалетом?</w:t>
            </w:r>
          </w:p>
        </w:tc>
        <w:tc>
          <w:tcPr>
            <w:tcW w:w="0" w:type="auto"/>
            <w:vAlign w:val="center"/>
            <w:hideMark/>
          </w:tcPr>
          <w:p w14:paraId="21AE69AA"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26" w:name="101624"/>
            <w:bookmarkEnd w:id="26"/>
            <w:r w:rsidRPr="00034667">
              <w:rPr>
                <w:rFonts w:ascii="Times New Roman" w:hAnsi="Times New Roman"/>
                <w:color w:val="000000" w:themeColor="text1"/>
                <w:lang w:eastAsia="en-US"/>
              </w:rPr>
              <w:t>1</w:t>
            </w:r>
          </w:p>
        </w:tc>
        <w:tc>
          <w:tcPr>
            <w:tcW w:w="0" w:type="auto"/>
            <w:gridSpan w:val="2"/>
            <w:vAlign w:val="center"/>
            <w:hideMark/>
          </w:tcPr>
          <w:p w14:paraId="3B186D22"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27" w:name="101625"/>
            <w:bookmarkEnd w:id="27"/>
            <w:r w:rsidRPr="00034667">
              <w:rPr>
                <w:rFonts w:ascii="Times New Roman" w:hAnsi="Times New Roman"/>
                <w:color w:val="000000" w:themeColor="text1"/>
                <w:lang w:eastAsia="en-US"/>
              </w:rPr>
              <w:t>2</w:t>
            </w:r>
          </w:p>
        </w:tc>
        <w:tc>
          <w:tcPr>
            <w:tcW w:w="0" w:type="auto"/>
            <w:gridSpan w:val="2"/>
            <w:vAlign w:val="center"/>
            <w:hideMark/>
          </w:tcPr>
          <w:p w14:paraId="331F8B0B"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28" w:name="101626"/>
            <w:bookmarkEnd w:id="28"/>
            <w:r w:rsidRPr="00034667">
              <w:rPr>
                <w:rFonts w:ascii="Times New Roman" w:hAnsi="Times New Roman"/>
                <w:color w:val="000000" w:themeColor="text1"/>
                <w:lang w:eastAsia="en-US"/>
              </w:rPr>
              <w:t>3</w:t>
            </w:r>
          </w:p>
        </w:tc>
        <w:tc>
          <w:tcPr>
            <w:tcW w:w="0" w:type="auto"/>
            <w:vAlign w:val="center"/>
            <w:hideMark/>
          </w:tcPr>
          <w:p w14:paraId="5C25E8BB" w14:textId="77777777" w:rsidR="00403127" w:rsidRPr="00034667" w:rsidRDefault="00403127" w:rsidP="00094F6F">
            <w:pPr>
              <w:spacing w:after="0" w:line="293" w:lineRule="atLeast"/>
              <w:jc w:val="center"/>
              <w:rPr>
                <w:rFonts w:ascii="Times New Roman" w:hAnsi="Times New Roman"/>
                <w:color w:val="000000" w:themeColor="text1"/>
                <w:lang w:eastAsia="en-US"/>
              </w:rPr>
            </w:pPr>
            <w:bookmarkStart w:id="29" w:name="101627"/>
            <w:bookmarkEnd w:id="29"/>
            <w:r w:rsidRPr="00034667">
              <w:rPr>
                <w:rFonts w:ascii="Times New Roman" w:hAnsi="Times New Roman"/>
                <w:color w:val="000000" w:themeColor="text1"/>
                <w:lang w:eastAsia="en-US"/>
              </w:rPr>
              <w:t>4</w:t>
            </w:r>
          </w:p>
        </w:tc>
      </w:tr>
      <w:tr w:rsidR="00403127" w:rsidRPr="00903DE3" w14:paraId="57EE2AD9" w14:textId="77777777" w:rsidTr="00094F6F">
        <w:trPr>
          <w:gridAfter w:val="1"/>
          <w:wAfter w:w="10" w:type="dxa"/>
          <w:trHeight w:val="227"/>
          <w:jc w:val="center"/>
        </w:trPr>
        <w:tc>
          <w:tcPr>
            <w:tcW w:w="5856" w:type="dxa"/>
            <w:gridSpan w:val="7"/>
          </w:tcPr>
          <w:p w14:paraId="79539B26"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В течение последней недели:</w:t>
            </w:r>
          </w:p>
        </w:tc>
        <w:tc>
          <w:tcPr>
            <w:tcW w:w="674" w:type="dxa"/>
            <w:vAlign w:val="center"/>
          </w:tcPr>
          <w:p w14:paraId="1773F9F7"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rPr>
              <w:t>Не было</w:t>
            </w:r>
          </w:p>
        </w:tc>
        <w:tc>
          <w:tcPr>
            <w:tcW w:w="835" w:type="dxa"/>
            <w:gridSpan w:val="2"/>
            <w:vAlign w:val="center"/>
          </w:tcPr>
          <w:p w14:paraId="574947A1"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rPr>
              <w:t>Слегка</w:t>
            </w:r>
          </w:p>
        </w:tc>
        <w:tc>
          <w:tcPr>
            <w:tcW w:w="1423" w:type="dxa"/>
            <w:gridSpan w:val="2"/>
            <w:vAlign w:val="center"/>
          </w:tcPr>
          <w:p w14:paraId="314DCF98"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rPr>
              <w:t>Существенно</w:t>
            </w:r>
          </w:p>
        </w:tc>
        <w:tc>
          <w:tcPr>
            <w:tcW w:w="840" w:type="dxa"/>
            <w:vAlign w:val="center"/>
          </w:tcPr>
          <w:p w14:paraId="1121C779"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rPr>
              <w:t>Очень сильно</w:t>
            </w:r>
          </w:p>
        </w:tc>
      </w:tr>
      <w:tr w:rsidR="00403127" w:rsidRPr="00903DE3" w14:paraId="4FD00BC4" w14:textId="77777777" w:rsidTr="00094F6F">
        <w:trPr>
          <w:gridAfter w:val="1"/>
          <w:wAfter w:w="10" w:type="dxa"/>
          <w:trHeight w:val="227"/>
          <w:jc w:val="center"/>
        </w:trPr>
        <w:tc>
          <w:tcPr>
            <w:tcW w:w="479" w:type="dxa"/>
          </w:tcPr>
          <w:p w14:paraId="66EEA205"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6.</w:t>
            </w:r>
          </w:p>
        </w:tc>
        <w:tc>
          <w:tcPr>
            <w:tcW w:w="5377" w:type="dxa"/>
            <w:gridSpan w:val="6"/>
          </w:tcPr>
          <w:p w14:paraId="6BCA75D3"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Ограничивало ли Вас что-либо тем или иным образом при выполнении Вашей работы или других повседневных дел?</w:t>
            </w:r>
          </w:p>
        </w:tc>
        <w:tc>
          <w:tcPr>
            <w:tcW w:w="674" w:type="dxa"/>
            <w:vAlign w:val="center"/>
          </w:tcPr>
          <w:p w14:paraId="511721F4"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7F7E62AE"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2E9CB3A2"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4CA42298"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65A1087D" w14:textId="77777777" w:rsidTr="00094F6F">
        <w:trPr>
          <w:gridAfter w:val="1"/>
          <w:wAfter w:w="10" w:type="dxa"/>
          <w:trHeight w:val="227"/>
          <w:jc w:val="center"/>
        </w:trPr>
        <w:tc>
          <w:tcPr>
            <w:tcW w:w="479" w:type="dxa"/>
          </w:tcPr>
          <w:p w14:paraId="7B604347"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7.</w:t>
            </w:r>
          </w:p>
        </w:tc>
        <w:tc>
          <w:tcPr>
            <w:tcW w:w="5377" w:type="dxa"/>
            <w:gridSpan w:val="6"/>
          </w:tcPr>
          <w:p w14:paraId="3701FC45"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Ограничивало ли Вас что-либо тем или иным образом при занятиях любимым делом или при ином проведении свободного времени?</w:t>
            </w:r>
          </w:p>
        </w:tc>
        <w:tc>
          <w:tcPr>
            <w:tcW w:w="674" w:type="dxa"/>
            <w:vAlign w:val="center"/>
          </w:tcPr>
          <w:p w14:paraId="6237B81C"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0E9EEA3C"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018CAE08"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0CFD1F28"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136C7AC8" w14:textId="77777777" w:rsidTr="00094F6F">
        <w:trPr>
          <w:gridAfter w:val="1"/>
          <w:wAfter w:w="10" w:type="dxa"/>
          <w:trHeight w:val="227"/>
          <w:jc w:val="center"/>
        </w:trPr>
        <w:tc>
          <w:tcPr>
            <w:tcW w:w="479" w:type="dxa"/>
          </w:tcPr>
          <w:p w14:paraId="6DCF8946"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8.</w:t>
            </w:r>
          </w:p>
        </w:tc>
        <w:tc>
          <w:tcPr>
            <w:tcW w:w="5377" w:type="dxa"/>
            <w:gridSpan w:val="6"/>
          </w:tcPr>
          <w:p w14:paraId="4DD22D21"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Была ли у Вас одышка?</w:t>
            </w:r>
          </w:p>
        </w:tc>
        <w:tc>
          <w:tcPr>
            <w:tcW w:w="674" w:type="dxa"/>
            <w:vAlign w:val="center"/>
          </w:tcPr>
          <w:p w14:paraId="131A17A5"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6B09C172"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704F2E91"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28BA7021"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2F314CE0" w14:textId="77777777" w:rsidTr="00094F6F">
        <w:trPr>
          <w:gridAfter w:val="1"/>
          <w:wAfter w:w="10" w:type="dxa"/>
          <w:trHeight w:val="227"/>
          <w:jc w:val="center"/>
        </w:trPr>
        <w:tc>
          <w:tcPr>
            <w:tcW w:w="479" w:type="dxa"/>
          </w:tcPr>
          <w:p w14:paraId="43AF0780"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9.</w:t>
            </w:r>
          </w:p>
        </w:tc>
        <w:tc>
          <w:tcPr>
            <w:tcW w:w="5377" w:type="dxa"/>
            <w:gridSpan w:val="6"/>
          </w:tcPr>
          <w:p w14:paraId="2CBF7FDC"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Была ли у Вас боль?</w:t>
            </w:r>
          </w:p>
        </w:tc>
        <w:tc>
          <w:tcPr>
            <w:tcW w:w="674" w:type="dxa"/>
            <w:vAlign w:val="center"/>
          </w:tcPr>
          <w:p w14:paraId="4998E3E7"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096BEB9D"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0C3A9F95"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4008DDC9"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6EBEC0A8" w14:textId="77777777" w:rsidTr="00094F6F">
        <w:trPr>
          <w:gridAfter w:val="1"/>
          <w:wAfter w:w="10" w:type="dxa"/>
          <w:trHeight w:val="227"/>
          <w:jc w:val="center"/>
        </w:trPr>
        <w:tc>
          <w:tcPr>
            <w:tcW w:w="479" w:type="dxa"/>
          </w:tcPr>
          <w:p w14:paraId="115EF396"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10.</w:t>
            </w:r>
          </w:p>
        </w:tc>
        <w:tc>
          <w:tcPr>
            <w:tcW w:w="5377" w:type="dxa"/>
            <w:gridSpan w:val="6"/>
          </w:tcPr>
          <w:p w14:paraId="02B37C8A"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Нуждались ли Вы в отдыхе?</w:t>
            </w:r>
          </w:p>
        </w:tc>
        <w:tc>
          <w:tcPr>
            <w:tcW w:w="674" w:type="dxa"/>
            <w:vAlign w:val="center"/>
          </w:tcPr>
          <w:p w14:paraId="3ABD72B4"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10E6428E"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6C93FFED"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04CE05BC"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1AE98129" w14:textId="77777777" w:rsidTr="00094F6F">
        <w:trPr>
          <w:gridAfter w:val="1"/>
          <w:wAfter w:w="10" w:type="dxa"/>
          <w:trHeight w:val="227"/>
          <w:jc w:val="center"/>
        </w:trPr>
        <w:tc>
          <w:tcPr>
            <w:tcW w:w="479" w:type="dxa"/>
          </w:tcPr>
          <w:p w14:paraId="26F1D230"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11.</w:t>
            </w:r>
          </w:p>
        </w:tc>
        <w:tc>
          <w:tcPr>
            <w:tcW w:w="5377" w:type="dxa"/>
            <w:gridSpan w:val="6"/>
          </w:tcPr>
          <w:p w14:paraId="2619374F"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Был ли у Вас нарушен сон?</w:t>
            </w:r>
          </w:p>
        </w:tc>
        <w:tc>
          <w:tcPr>
            <w:tcW w:w="674" w:type="dxa"/>
            <w:vAlign w:val="center"/>
          </w:tcPr>
          <w:p w14:paraId="306B8A32"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28A1785B"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55930CE1"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0561FB11"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736875E4" w14:textId="77777777" w:rsidTr="00094F6F">
        <w:trPr>
          <w:gridAfter w:val="1"/>
          <w:wAfter w:w="10" w:type="dxa"/>
          <w:trHeight w:val="227"/>
          <w:jc w:val="center"/>
        </w:trPr>
        <w:tc>
          <w:tcPr>
            <w:tcW w:w="479" w:type="dxa"/>
          </w:tcPr>
          <w:p w14:paraId="0B0CCE66"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12.</w:t>
            </w:r>
          </w:p>
        </w:tc>
        <w:tc>
          <w:tcPr>
            <w:tcW w:w="5377" w:type="dxa"/>
            <w:gridSpan w:val="6"/>
          </w:tcPr>
          <w:p w14:paraId="0556E3FE"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Было ли у Вас чувство слабости?</w:t>
            </w:r>
          </w:p>
        </w:tc>
        <w:tc>
          <w:tcPr>
            <w:tcW w:w="674" w:type="dxa"/>
            <w:vAlign w:val="center"/>
          </w:tcPr>
          <w:p w14:paraId="71753EF1"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39FCA22E"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2BE697A7"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4854AC72"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2BAAFE44" w14:textId="77777777" w:rsidTr="00094F6F">
        <w:trPr>
          <w:gridAfter w:val="1"/>
          <w:wAfter w:w="10" w:type="dxa"/>
          <w:trHeight w:val="227"/>
          <w:jc w:val="center"/>
        </w:trPr>
        <w:tc>
          <w:tcPr>
            <w:tcW w:w="479" w:type="dxa"/>
          </w:tcPr>
          <w:p w14:paraId="097F9BED"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13.</w:t>
            </w:r>
          </w:p>
        </w:tc>
        <w:tc>
          <w:tcPr>
            <w:tcW w:w="5377" w:type="dxa"/>
            <w:gridSpan w:val="6"/>
          </w:tcPr>
          <w:p w14:paraId="7F8D7C61"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Было ли у Вас снижение аппетита?</w:t>
            </w:r>
          </w:p>
        </w:tc>
        <w:tc>
          <w:tcPr>
            <w:tcW w:w="674" w:type="dxa"/>
            <w:vAlign w:val="center"/>
          </w:tcPr>
          <w:p w14:paraId="71E998A9"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29927C50"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73B7D8B5"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6F019B2D"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3E3DC0D0" w14:textId="77777777" w:rsidTr="00094F6F">
        <w:trPr>
          <w:gridAfter w:val="1"/>
          <w:wAfter w:w="10" w:type="dxa"/>
          <w:trHeight w:val="227"/>
          <w:jc w:val="center"/>
        </w:trPr>
        <w:tc>
          <w:tcPr>
            <w:tcW w:w="479" w:type="dxa"/>
          </w:tcPr>
          <w:p w14:paraId="59E9465A"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14.</w:t>
            </w:r>
          </w:p>
        </w:tc>
        <w:tc>
          <w:tcPr>
            <w:tcW w:w="5377" w:type="dxa"/>
            <w:gridSpan w:val="6"/>
          </w:tcPr>
          <w:p w14:paraId="653CC7C1"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Чувствовали ли Вы тошноту?</w:t>
            </w:r>
          </w:p>
        </w:tc>
        <w:tc>
          <w:tcPr>
            <w:tcW w:w="674" w:type="dxa"/>
            <w:vAlign w:val="center"/>
          </w:tcPr>
          <w:p w14:paraId="67C827E1"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04AECABE"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40A492FF"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04A80E6B"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5A17D5B3" w14:textId="77777777" w:rsidTr="00094F6F">
        <w:trPr>
          <w:gridAfter w:val="1"/>
          <w:wAfter w:w="10" w:type="dxa"/>
          <w:trHeight w:val="227"/>
          <w:jc w:val="center"/>
        </w:trPr>
        <w:tc>
          <w:tcPr>
            <w:tcW w:w="479" w:type="dxa"/>
          </w:tcPr>
          <w:p w14:paraId="621AD044"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15.</w:t>
            </w:r>
          </w:p>
        </w:tc>
        <w:tc>
          <w:tcPr>
            <w:tcW w:w="5377" w:type="dxa"/>
            <w:gridSpan w:val="6"/>
          </w:tcPr>
          <w:p w14:paraId="39B49F57"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Была ли у Вас рвота?</w:t>
            </w:r>
          </w:p>
        </w:tc>
        <w:tc>
          <w:tcPr>
            <w:tcW w:w="674" w:type="dxa"/>
            <w:vAlign w:val="center"/>
          </w:tcPr>
          <w:p w14:paraId="61518FE4"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1109FC04"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4715E54B"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2E0A3ECC"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7BFB5B53" w14:textId="77777777" w:rsidTr="00094F6F">
        <w:trPr>
          <w:gridAfter w:val="1"/>
          <w:wAfter w:w="10" w:type="dxa"/>
          <w:trHeight w:val="227"/>
          <w:jc w:val="center"/>
        </w:trPr>
        <w:tc>
          <w:tcPr>
            <w:tcW w:w="479" w:type="dxa"/>
          </w:tcPr>
          <w:p w14:paraId="5F6E19B4"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16.</w:t>
            </w:r>
          </w:p>
        </w:tc>
        <w:tc>
          <w:tcPr>
            <w:tcW w:w="5377" w:type="dxa"/>
            <w:gridSpan w:val="6"/>
          </w:tcPr>
          <w:p w14:paraId="1DDCFAE4"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Был ли у Вас запор?</w:t>
            </w:r>
          </w:p>
        </w:tc>
        <w:tc>
          <w:tcPr>
            <w:tcW w:w="674" w:type="dxa"/>
            <w:vAlign w:val="center"/>
          </w:tcPr>
          <w:p w14:paraId="4191B0E7"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0D3C70FA"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62C6DF3D"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026F1EC0"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616C19B7" w14:textId="77777777" w:rsidTr="00094F6F">
        <w:trPr>
          <w:gridAfter w:val="1"/>
          <w:wAfter w:w="10" w:type="dxa"/>
          <w:trHeight w:val="227"/>
          <w:jc w:val="center"/>
        </w:trPr>
        <w:tc>
          <w:tcPr>
            <w:tcW w:w="479" w:type="dxa"/>
          </w:tcPr>
          <w:p w14:paraId="74EB8C77"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17.</w:t>
            </w:r>
          </w:p>
        </w:tc>
        <w:tc>
          <w:tcPr>
            <w:tcW w:w="5377" w:type="dxa"/>
            <w:gridSpan w:val="6"/>
          </w:tcPr>
          <w:p w14:paraId="0B78B82E"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Был ли у Вас понос?</w:t>
            </w:r>
          </w:p>
        </w:tc>
        <w:tc>
          <w:tcPr>
            <w:tcW w:w="674" w:type="dxa"/>
            <w:vAlign w:val="center"/>
          </w:tcPr>
          <w:p w14:paraId="313E756F"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442BEA0E"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63BF06E8"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3278DABC"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4D0DC063" w14:textId="77777777" w:rsidTr="00094F6F">
        <w:trPr>
          <w:gridAfter w:val="1"/>
          <w:wAfter w:w="10" w:type="dxa"/>
          <w:trHeight w:val="227"/>
          <w:jc w:val="center"/>
        </w:trPr>
        <w:tc>
          <w:tcPr>
            <w:tcW w:w="479" w:type="dxa"/>
          </w:tcPr>
          <w:p w14:paraId="0B235CE6"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18.</w:t>
            </w:r>
          </w:p>
        </w:tc>
        <w:tc>
          <w:tcPr>
            <w:tcW w:w="5377" w:type="dxa"/>
            <w:gridSpan w:val="6"/>
          </w:tcPr>
          <w:p w14:paraId="66AF87BE"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Чувствовали ли Вы усталость?</w:t>
            </w:r>
          </w:p>
        </w:tc>
        <w:tc>
          <w:tcPr>
            <w:tcW w:w="674" w:type="dxa"/>
            <w:vAlign w:val="center"/>
          </w:tcPr>
          <w:p w14:paraId="76F779F5"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0F0EA877"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40618578"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784A14D2"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02121FFF" w14:textId="77777777" w:rsidTr="00094F6F">
        <w:trPr>
          <w:gridAfter w:val="1"/>
          <w:wAfter w:w="10" w:type="dxa"/>
          <w:trHeight w:val="227"/>
          <w:jc w:val="center"/>
        </w:trPr>
        <w:tc>
          <w:tcPr>
            <w:tcW w:w="479" w:type="dxa"/>
          </w:tcPr>
          <w:p w14:paraId="239A78CC"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19.</w:t>
            </w:r>
          </w:p>
        </w:tc>
        <w:tc>
          <w:tcPr>
            <w:tcW w:w="5377" w:type="dxa"/>
            <w:gridSpan w:val="6"/>
          </w:tcPr>
          <w:p w14:paraId="7818F3FC"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Мешала ли Вам боль заниматься Вашими повседневными делами?</w:t>
            </w:r>
          </w:p>
        </w:tc>
        <w:tc>
          <w:tcPr>
            <w:tcW w:w="674" w:type="dxa"/>
            <w:vAlign w:val="center"/>
          </w:tcPr>
          <w:p w14:paraId="70550E7E"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0A19F309"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208D4C1B"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67AD653F"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3C5612C7" w14:textId="77777777" w:rsidTr="00094F6F">
        <w:trPr>
          <w:gridAfter w:val="1"/>
          <w:wAfter w:w="10" w:type="dxa"/>
          <w:trHeight w:val="227"/>
          <w:jc w:val="center"/>
        </w:trPr>
        <w:tc>
          <w:tcPr>
            <w:tcW w:w="479" w:type="dxa"/>
          </w:tcPr>
          <w:p w14:paraId="0C6221A7"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20.</w:t>
            </w:r>
          </w:p>
        </w:tc>
        <w:tc>
          <w:tcPr>
            <w:tcW w:w="5377" w:type="dxa"/>
            <w:gridSpan w:val="6"/>
          </w:tcPr>
          <w:p w14:paraId="2BB1B6FF"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Было ли Вам трудно на чем-то сосредоточиться, например, читать газету или смотреть телевизор?</w:t>
            </w:r>
          </w:p>
        </w:tc>
        <w:tc>
          <w:tcPr>
            <w:tcW w:w="674" w:type="dxa"/>
            <w:vAlign w:val="center"/>
          </w:tcPr>
          <w:p w14:paraId="5BC62F5D"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5D13F277"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6149A222"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60DDE990"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381A67FE" w14:textId="77777777" w:rsidTr="00094F6F">
        <w:trPr>
          <w:gridAfter w:val="1"/>
          <w:wAfter w:w="10" w:type="dxa"/>
          <w:trHeight w:val="227"/>
          <w:jc w:val="center"/>
        </w:trPr>
        <w:tc>
          <w:tcPr>
            <w:tcW w:w="479" w:type="dxa"/>
          </w:tcPr>
          <w:p w14:paraId="4D1B317C"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21.</w:t>
            </w:r>
          </w:p>
        </w:tc>
        <w:tc>
          <w:tcPr>
            <w:tcW w:w="5377" w:type="dxa"/>
            <w:gridSpan w:val="6"/>
          </w:tcPr>
          <w:p w14:paraId="2746500B"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Испытывали ли Вы чувство напряженности?</w:t>
            </w:r>
          </w:p>
        </w:tc>
        <w:tc>
          <w:tcPr>
            <w:tcW w:w="674" w:type="dxa"/>
            <w:vAlign w:val="center"/>
          </w:tcPr>
          <w:p w14:paraId="4F798259"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038A6DB2"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709F0593"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1FA5D649"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63BDF22C" w14:textId="77777777" w:rsidTr="00094F6F">
        <w:trPr>
          <w:gridAfter w:val="1"/>
          <w:wAfter w:w="10" w:type="dxa"/>
          <w:trHeight w:val="227"/>
          <w:jc w:val="center"/>
        </w:trPr>
        <w:tc>
          <w:tcPr>
            <w:tcW w:w="479" w:type="dxa"/>
          </w:tcPr>
          <w:p w14:paraId="68143AF6"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22.</w:t>
            </w:r>
          </w:p>
        </w:tc>
        <w:tc>
          <w:tcPr>
            <w:tcW w:w="5377" w:type="dxa"/>
            <w:gridSpan w:val="6"/>
          </w:tcPr>
          <w:p w14:paraId="6B26D857"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Испытывали ли Вы чувство беспокойства?</w:t>
            </w:r>
          </w:p>
        </w:tc>
        <w:tc>
          <w:tcPr>
            <w:tcW w:w="674" w:type="dxa"/>
            <w:vAlign w:val="center"/>
          </w:tcPr>
          <w:p w14:paraId="4C466DCD"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44EF3667"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2806DA99"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29FCD682"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3D54C3C3" w14:textId="77777777" w:rsidTr="00094F6F">
        <w:trPr>
          <w:gridAfter w:val="1"/>
          <w:wAfter w:w="10" w:type="dxa"/>
          <w:trHeight w:val="227"/>
          <w:jc w:val="center"/>
        </w:trPr>
        <w:tc>
          <w:tcPr>
            <w:tcW w:w="479" w:type="dxa"/>
          </w:tcPr>
          <w:p w14:paraId="09005DA0"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23.</w:t>
            </w:r>
          </w:p>
        </w:tc>
        <w:tc>
          <w:tcPr>
            <w:tcW w:w="5377" w:type="dxa"/>
            <w:gridSpan w:val="6"/>
          </w:tcPr>
          <w:p w14:paraId="6E147C38"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Испытывали ли Вы чувство раздражения?</w:t>
            </w:r>
          </w:p>
        </w:tc>
        <w:tc>
          <w:tcPr>
            <w:tcW w:w="674" w:type="dxa"/>
            <w:vAlign w:val="center"/>
          </w:tcPr>
          <w:p w14:paraId="22EE59EB"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2CFC63AA"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69883BAF"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2A669AFE"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6BFF60DE" w14:textId="77777777" w:rsidTr="00094F6F">
        <w:trPr>
          <w:gridAfter w:val="1"/>
          <w:wAfter w:w="10" w:type="dxa"/>
          <w:trHeight w:val="227"/>
          <w:jc w:val="center"/>
        </w:trPr>
        <w:tc>
          <w:tcPr>
            <w:tcW w:w="479" w:type="dxa"/>
          </w:tcPr>
          <w:p w14:paraId="77E6E03C"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24.</w:t>
            </w:r>
          </w:p>
        </w:tc>
        <w:tc>
          <w:tcPr>
            <w:tcW w:w="5377" w:type="dxa"/>
            <w:gridSpan w:val="6"/>
          </w:tcPr>
          <w:p w14:paraId="6F355A2D"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Испытывали ли Вы чувство подавленности?</w:t>
            </w:r>
          </w:p>
        </w:tc>
        <w:tc>
          <w:tcPr>
            <w:tcW w:w="674" w:type="dxa"/>
            <w:vAlign w:val="center"/>
          </w:tcPr>
          <w:p w14:paraId="6CD15E44"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vAlign w:val="center"/>
          </w:tcPr>
          <w:p w14:paraId="371A4287"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0576F735"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vAlign w:val="center"/>
          </w:tcPr>
          <w:p w14:paraId="3FF66EA4"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5442CCB0" w14:textId="77777777" w:rsidTr="00094F6F">
        <w:trPr>
          <w:gridAfter w:val="1"/>
          <w:wAfter w:w="10" w:type="dxa"/>
          <w:trHeight w:val="227"/>
          <w:jc w:val="center"/>
        </w:trPr>
        <w:tc>
          <w:tcPr>
            <w:tcW w:w="479" w:type="dxa"/>
            <w:tcBorders>
              <w:bottom w:val="single" w:sz="4" w:space="0" w:color="auto"/>
            </w:tcBorders>
          </w:tcPr>
          <w:p w14:paraId="3F3415F1"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25.</w:t>
            </w:r>
          </w:p>
        </w:tc>
        <w:tc>
          <w:tcPr>
            <w:tcW w:w="5377" w:type="dxa"/>
            <w:gridSpan w:val="6"/>
            <w:tcBorders>
              <w:bottom w:val="single" w:sz="4" w:space="0" w:color="auto"/>
            </w:tcBorders>
          </w:tcPr>
          <w:p w14:paraId="4C3A8A9A"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Было ли Вам трудно что-то вспомнить?</w:t>
            </w:r>
          </w:p>
        </w:tc>
        <w:tc>
          <w:tcPr>
            <w:tcW w:w="674" w:type="dxa"/>
            <w:tcBorders>
              <w:bottom w:val="single" w:sz="4" w:space="0" w:color="auto"/>
            </w:tcBorders>
            <w:vAlign w:val="center"/>
          </w:tcPr>
          <w:p w14:paraId="7CE41DCB"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tcBorders>
              <w:bottom w:val="single" w:sz="4" w:space="0" w:color="auto"/>
            </w:tcBorders>
            <w:vAlign w:val="center"/>
          </w:tcPr>
          <w:p w14:paraId="5657EB82"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tcBorders>
              <w:bottom w:val="single" w:sz="4" w:space="0" w:color="auto"/>
            </w:tcBorders>
            <w:vAlign w:val="center"/>
          </w:tcPr>
          <w:p w14:paraId="05F2B053"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tcBorders>
              <w:bottom w:val="single" w:sz="4" w:space="0" w:color="auto"/>
            </w:tcBorders>
            <w:vAlign w:val="center"/>
          </w:tcPr>
          <w:p w14:paraId="4A630850"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903DE3" w14:paraId="421774AC" w14:textId="77777777" w:rsidTr="00094F6F">
        <w:trPr>
          <w:gridAfter w:val="1"/>
          <w:wAfter w:w="10" w:type="dxa"/>
          <w:trHeight w:val="227"/>
          <w:jc w:val="center"/>
        </w:trPr>
        <w:tc>
          <w:tcPr>
            <w:tcW w:w="479" w:type="dxa"/>
            <w:tcBorders>
              <w:bottom w:val="nil"/>
            </w:tcBorders>
          </w:tcPr>
          <w:p w14:paraId="21B35DCC"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26.</w:t>
            </w:r>
          </w:p>
        </w:tc>
        <w:tc>
          <w:tcPr>
            <w:tcW w:w="5377" w:type="dxa"/>
            <w:gridSpan w:val="6"/>
            <w:tcBorders>
              <w:bottom w:val="nil"/>
            </w:tcBorders>
          </w:tcPr>
          <w:p w14:paraId="79221720"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Мешало ли Ваше физическое состояние или проводимое лечение Вашей семейной жизни?</w:t>
            </w:r>
          </w:p>
        </w:tc>
        <w:tc>
          <w:tcPr>
            <w:tcW w:w="674" w:type="dxa"/>
            <w:tcBorders>
              <w:bottom w:val="nil"/>
            </w:tcBorders>
            <w:vAlign w:val="center"/>
          </w:tcPr>
          <w:p w14:paraId="2BDE136C"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5" w:type="dxa"/>
            <w:gridSpan w:val="2"/>
            <w:tcBorders>
              <w:bottom w:val="nil"/>
            </w:tcBorders>
            <w:vAlign w:val="center"/>
          </w:tcPr>
          <w:p w14:paraId="019BE630"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tcBorders>
              <w:bottom w:val="nil"/>
            </w:tcBorders>
            <w:vAlign w:val="center"/>
          </w:tcPr>
          <w:p w14:paraId="54DA6BA5"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0" w:type="dxa"/>
            <w:tcBorders>
              <w:bottom w:val="nil"/>
            </w:tcBorders>
            <w:vAlign w:val="center"/>
          </w:tcPr>
          <w:p w14:paraId="5A607939"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034667" w14:paraId="5745A046" w14:textId="77777777" w:rsidTr="00094F6F">
        <w:trPr>
          <w:gridAfter w:val="1"/>
          <w:wAfter w:w="10" w:type="dxa"/>
          <w:jc w:val="center"/>
        </w:trPr>
        <w:tc>
          <w:tcPr>
            <w:tcW w:w="482" w:type="dxa"/>
            <w:tcBorders>
              <w:top w:val="nil"/>
            </w:tcBorders>
          </w:tcPr>
          <w:p w14:paraId="18E3B2B8"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27.</w:t>
            </w:r>
          </w:p>
        </w:tc>
        <w:tc>
          <w:tcPr>
            <w:tcW w:w="5374" w:type="dxa"/>
            <w:gridSpan w:val="6"/>
            <w:tcBorders>
              <w:top w:val="nil"/>
            </w:tcBorders>
          </w:tcPr>
          <w:p w14:paraId="724BF437"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Мешало ли Вам Ваше физическое состояние или проводимое лечение появляться на людях (ходить в гости, в кино и т.д.)?</w:t>
            </w:r>
          </w:p>
        </w:tc>
        <w:tc>
          <w:tcPr>
            <w:tcW w:w="675" w:type="dxa"/>
            <w:tcBorders>
              <w:top w:val="nil"/>
            </w:tcBorders>
            <w:vAlign w:val="center"/>
          </w:tcPr>
          <w:p w14:paraId="66E4C4BC"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3" w:type="dxa"/>
            <w:gridSpan w:val="2"/>
            <w:tcBorders>
              <w:top w:val="nil"/>
            </w:tcBorders>
            <w:vAlign w:val="center"/>
          </w:tcPr>
          <w:p w14:paraId="715C49B8"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tcBorders>
              <w:top w:val="nil"/>
            </w:tcBorders>
            <w:vAlign w:val="center"/>
          </w:tcPr>
          <w:p w14:paraId="7C85077C"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1" w:type="dxa"/>
            <w:tcBorders>
              <w:top w:val="nil"/>
            </w:tcBorders>
            <w:vAlign w:val="center"/>
          </w:tcPr>
          <w:p w14:paraId="167D12C4"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034667" w14:paraId="45F025FD" w14:textId="77777777" w:rsidTr="00094F6F">
        <w:trPr>
          <w:gridAfter w:val="1"/>
          <w:wAfter w:w="10" w:type="dxa"/>
          <w:jc w:val="center"/>
        </w:trPr>
        <w:tc>
          <w:tcPr>
            <w:tcW w:w="482" w:type="dxa"/>
          </w:tcPr>
          <w:p w14:paraId="25228AAD"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28</w:t>
            </w:r>
          </w:p>
        </w:tc>
        <w:tc>
          <w:tcPr>
            <w:tcW w:w="5374" w:type="dxa"/>
            <w:gridSpan w:val="6"/>
          </w:tcPr>
          <w:p w14:paraId="392EE23E"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Вызывало ли у Вас Ваше физическое состояние или проводимое лечение денежные затруднения?</w:t>
            </w:r>
          </w:p>
        </w:tc>
        <w:tc>
          <w:tcPr>
            <w:tcW w:w="675" w:type="dxa"/>
            <w:vAlign w:val="center"/>
          </w:tcPr>
          <w:p w14:paraId="56AA44BB"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1</w:t>
            </w:r>
          </w:p>
        </w:tc>
        <w:tc>
          <w:tcPr>
            <w:tcW w:w="833" w:type="dxa"/>
            <w:gridSpan w:val="2"/>
            <w:vAlign w:val="center"/>
          </w:tcPr>
          <w:p w14:paraId="5D1B9C76"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2</w:t>
            </w:r>
          </w:p>
        </w:tc>
        <w:tc>
          <w:tcPr>
            <w:tcW w:w="1423" w:type="dxa"/>
            <w:gridSpan w:val="2"/>
            <w:vAlign w:val="center"/>
          </w:tcPr>
          <w:p w14:paraId="074E559A"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3</w:t>
            </w:r>
          </w:p>
        </w:tc>
        <w:tc>
          <w:tcPr>
            <w:tcW w:w="841" w:type="dxa"/>
            <w:vAlign w:val="center"/>
          </w:tcPr>
          <w:p w14:paraId="6336BCA6" w14:textId="77777777" w:rsidR="00403127" w:rsidRPr="00034667" w:rsidRDefault="00403127" w:rsidP="00094F6F">
            <w:pPr>
              <w:spacing w:after="0" w:line="240" w:lineRule="auto"/>
              <w:jc w:val="center"/>
              <w:rPr>
                <w:rFonts w:ascii="Times New Roman" w:hAnsi="Times New Roman"/>
                <w:color w:val="000000" w:themeColor="text1"/>
              </w:rPr>
            </w:pPr>
            <w:r w:rsidRPr="00034667">
              <w:rPr>
                <w:rFonts w:ascii="Times New Roman" w:hAnsi="Times New Roman"/>
                <w:color w:val="000000" w:themeColor="text1"/>
                <w:lang w:eastAsia="en-US"/>
              </w:rPr>
              <w:t>4</w:t>
            </w:r>
          </w:p>
        </w:tc>
      </w:tr>
      <w:tr w:rsidR="00403127" w:rsidRPr="00034667" w14:paraId="7EDA687F" w14:textId="77777777" w:rsidTr="00094F6F">
        <w:trPr>
          <w:jc w:val="center"/>
        </w:trPr>
        <w:tc>
          <w:tcPr>
            <w:tcW w:w="482" w:type="dxa"/>
          </w:tcPr>
          <w:p w14:paraId="28EE3427"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29.</w:t>
            </w:r>
          </w:p>
        </w:tc>
        <w:tc>
          <w:tcPr>
            <w:tcW w:w="9156" w:type="dxa"/>
            <w:gridSpan w:val="13"/>
          </w:tcPr>
          <w:p w14:paraId="55537C75"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Как бы Вы оценили в целом Ваше здоровье за последнюю неделю?</w:t>
            </w:r>
          </w:p>
        </w:tc>
      </w:tr>
      <w:tr w:rsidR="00403127" w:rsidRPr="00034667" w14:paraId="1AD1457C" w14:textId="77777777" w:rsidTr="00094F6F">
        <w:trPr>
          <w:gridAfter w:val="1"/>
          <w:wAfter w:w="10" w:type="dxa"/>
          <w:jc w:val="center"/>
        </w:trPr>
        <w:tc>
          <w:tcPr>
            <w:tcW w:w="1664" w:type="dxa"/>
            <w:gridSpan w:val="3"/>
          </w:tcPr>
          <w:p w14:paraId="1BE7C1BB"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1</w:t>
            </w:r>
          </w:p>
        </w:tc>
        <w:tc>
          <w:tcPr>
            <w:tcW w:w="1944" w:type="dxa"/>
          </w:tcPr>
          <w:p w14:paraId="24FFE47F"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2</w:t>
            </w:r>
          </w:p>
        </w:tc>
        <w:tc>
          <w:tcPr>
            <w:tcW w:w="1519" w:type="dxa"/>
          </w:tcPr>
          <w:p w14:paraId="07EDB382"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3</w:t>
            </w:r>
          </w:p>
        </w:tc>
        <w:tc>
          <w:tcPr>
            <w:tcW w:w="543" w:type="dxa"/>
          </w:tcPr>
          <w:p w14:paraId="450C2DC3"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4</w:t>
            </w:r>
          </w:p>
        </w:tc>
        <w:tc>
          <w:tcPr>
            <w:tcW w:w="1210" w:type="dxa"/>
            <w:gridSpan w:val="3"/>
          </w:tcPr>
          <w:p w14:paraId="7F4459C4"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5</w:t>
            </w:r>
          </w:p>
        </w:tc>
        <w:tc>
          <w:tcPr>
            <w:tcW w:w="1055" w:type="dxa"/>
            <w:gridSpan w:val="2"/>
          </w:tcPr>
          <w:p w14:paraId="7C34C2CA"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6</w:t>
            </w:r>
          </w:p>
        </w:tc>
        <w:tc>
          <w:tcPr>
            <w:tcW w:w="1693" w:type="dxa"/>
            <w:gridSpan w:val="2"/>
          </w:tcPr>
          <w:p w14:paraId="0F21B2B3"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7</w:t>
            </w:r>
          </w:p>
        </w:tc>
      </w:tr>
      <w:tr w:rsidR="00403127" w:rsidRPr="00034667" w14:paraId="7147C525" w14:textId="77777777" w:rsidTr="00094F6F">
        <w:trPr>
          <w:gridAfter w:val="1"/>
          <w:wAfter w:w="10" w:type="dxa"/>
          <w:jc w:val="center"/>
        </w:trPr>
        <w:tc>
          <w:tcPr>
            <w:tcW w:w="1664" w:type="dxa"/>
            <w:gridSpan w:val="3"/>
          </w:tcPr>
          <w:p w14:paraId="69637252"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Очень плохое</w:t>
            </w:r>
          </w:p>
        </w:tc>
        <w:tc>
          <w:tcPr>
            <w:tcW w:w="1944" w:type="dxa"/>
          </w:tcPr>
          <w:p w14:paraId="2725B08C" w14:textId="77777777" w:rsidR="00403127" w:rsidRPr="00034667" w:rsidRDefault="00403127" w:rsidP="00094F6F">
            <w:pPr>
              <w:spacing w:after="0" w:line="240" w:lineRule="auto"/>
              <w:rPr>
                <w:rFonts w:ascii="Times New Roman" w:hAnsi="Times New Roman"/>
                <w:color w:val="000000" w:themeColor="text1"/>
              </w:rPr>
            </w:pPr>
          </w:p>
        </w:tc>
        <w:tc>
          <w:tcPr>
            <w:tcW w:w="1519" w:type="dxa"/>
          </w:tcPr>
          <w:p w14:paraId="6BF2AEE4" w14:textId="77777777" w:rsidR="00403127" w:rsidRPr="00034667" w:rsidRDefault="00403127" w:rsidP="00094F6F">
            <w:pPr>
              <w:spacing w:after="0" w:line="240" w:lineRule="auto"/>
              <w:rPr>
                <w:rFonts w:ascii="Times New Roman" w:hAnsi="Times New Roman"/>
                <w:color w:val="000000" w:themeColor="text1"/>
              </w:rPr>
            </w:pPr>
          </w:p>
        </w:tc>
        <w:tc>
          <w:tcPr>
            <w:tcW w:w="543" w:type="dxa"/>
          </w:tcPr>
          <w:p w14:paraId="582C5E55" w14:textId="77777777" w:rsidR="00403127" w:rsidRPr="00034667" w:rsidRDefault="00403127" w:rsidP="00094F6F">
            <w:pPr>
              <w:spacing w:after="0" w:line="240" w:lineRule="auto"/>
              <w:rPr>
                <w:rFonts w:ascii="Times New Roman" w:hAnsi="Times New Roman"/>
                <w:color w:val="000000" w:themeColor="text1"/>
              </w:rPr>
            </w:pPr>
          </w:p>
        </w:tc>
        <w:tc>
          <w:tcPr>
            <w:tcW w:w="1210" w:type="dxa"/>
            <w:gridSpan w:val="3"/>
          </w:tcPr>
          <w:p w14:paraId="392BC64F" w14:textId="77777777" w:rsidR="00403127" w:rsidRPr="00034667" w:rsidRDefault="00403127" w:rsidP="00094F6F">
            <w:pPr>
              <w:spacing w:after="0" w:line="240" w:lineRule="auto"/>
              <w:rPr>
                <w:rFonts w:ascii="Times New Roman" w:hAnsi="Times New Roman"/>
                <w:color w:val="000000" w:themeColor="text1"/>
              </w:rPr>
            </w:pPr>
          </w:p>
        </w:tc>
        <w:tc>
          <w:tcPr>
            <w:tcW w:w="1055" w:type="dxa"/>
            <w:gridSpan w:val="2"/>
          </w:tcPr>
          <w:p w14:paraId="5F639FF6" w14:textId="77777777" w:rsidR="00403127" w:rsidRPr="00034667" w:rsidRDefault="00403127" w:rsidP="00094F6F">
            <w:pPr>
              <w:spacing w:after="0" w:line="240" w:lineRule="auto"/>
              <w:rPr>
                <w:rFonts w:ascii="Times New Roman" w:hAnsi="Times New Roman"/>
                <w:color w:val="000000" w:themeColor="text1"/>
              </w:rPr>
            </w:pPr>
          </w:p>
        </w:tc>
        <w:tc>
          <w:tcPr>
            <w:tcW w:w="1693" w:type="dxa"/>
            <w:gridSpan w:val="2"/>
          </w:tcPr>
          <w:p w14:paraId="0BFC835A"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Отличное</w:t>
            </w:r>
          </w:p>
        </w:tc>
      </w:tr>
      <w:tr w:rsidR="00403127" w:rsidRPr="00034667" w14:paraId="0068E9DC" w14:textId="77777777" w:rsidTr="00094F6F">
        <w:trPr>
          <w:gridAfter w:val="1"/>
          <w:wAfter w:w="10" w:type="dxa"/>
          <w:jc w:val="center"/>
        </w:trPr>
        <w:tc>
          <w:tcPr>
            <w:tcW w:w="720" w:type="dxa"/>
            <w:gridSpan w:val="2"/>
          </w:tcPr>
          <w:p w14:paraId="69631825"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30.</w:t>
            </w:r>
          </w:p>
        </w:tc>
        <w:tc>
          <w:tcPr>
            <w:tcW w:w="8908" w:type="dxa"/>
            <w:gridSpan w:val="11"/>
          </w:tcPr>
          <w:p w14:paraId="19A23F73"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Как бы Вы оценили в целом Ваше качество жизни за последнюю неделю?</w:t>
            </w:r>
          </w:p>
        </w:tc>
      </w:tr>
      <w:tr w:rsidR="00403127" w:rsidRPr="00034667" w14:paraId="5FF7C7A7" w14:textId="77777777" w:rsidTr="00094F6F">
        <w:trPr>
          <w:gridAfter w:val="1"/>
          <w:wAfter w:w="10" w:type="dxa"/>
          <w:jc w:val="center"/>
        </w:trPr>
        <w:tc>
          <w:tcPr>
            <w:tcW w:w="1664" w:type="dxa"/>
            <w:gridSpan w:val="3"/>
          </w:tcPr>
          <w:p w14:paraId="53E0508C"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1</w:t>
            </w:r>
          </w:p>
        </w:tc>
        <w:tc>
          <w:tcPr>
            <w:tcW w:w="1944" w:type="dxa"/>
          </w:tcPr>
          <w:p w14:paraId="5F7EEA78"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2</w:t>
            </w:r>
          </w:p>
        </w:tc>
        <w:tc>
          <w:tcPr>
            <w:tcW w:w="1519" w:type="dxa"/>
          </w:tcPr>
          <w:p w14:paraId="22F5DD21"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3</w:t>
            </w:r>
          </w:p>
        </w:tc>
        <w:tc>
          <w:tcPr>
            <w:tcW w:w="543" w:type="dxa"/>
          </w:tcPr>
          <w:p w14:paraId="4D31052B"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4</w:t>
            </w:r>
          </w:p>
        </w:tc>
        <w:tc>
          <w:tcPr>
            <w:tcW w:w="1210" w:type="dxa"/>
            <w:gridSpan w:val="3"/>
          </w:tcPr>
          <w:p w14:paraId="6CA015B7"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5</w:t>
            </w:r>
          </w:p>
        </w:tc>
        <w:tc>
          <w:tcPr>
            <w:tcW w:w="1055" w:type="dxa"/>
            <w:gridSpan w:val="2"/>
          </w:tcPr>
          <w:p w14:paraId="546DF82D"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6</w:t>
            </w:r>
          </w:p>
        </w:tc>
        <w:tc>
          <w:tcPr>
            <w:tcW w:w="1693" w:type="dxa"/>
            <w:gridSpan w:val="2"/>
          </w:tcPr>
          <w:p w14:paraId="19D6C95E"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7</w:t>
            </w:r>
          </w:p>
        </w:tc>
      </w:tr>
      <w:tr w:rsidR="00403127" w:rsidRPr="00034667" w14:paraId="3B1B3BDA" w14:textId="77777777" w:rsidTr="00094F6F">
        <w:trPr>
          <w:gridAfter w:val="1"/>
          <w:wAfter w:w="10" w:type="dxa"/>
          <w:jc w:val="center"/>
        </w:trPr>
        <w:tc>
          <w:tcPr>
            <w:tcW w:w="1664" w:type="dxa"/>
            <w:gridSpan w:val="3"/>
          </w:tcPr>
          <w:p w14:paraId="3FB34DD3"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Очень плохое</w:t>
            </w:r>
          </w:p>
        </w:tc>
        <w:tc>
          <w:tcPr>
            <w:tcW w:w="1944" w:type="dxa"/>
          </w:tcPr>
          <w:p w14:paraId="5CBD70AA" w14:textId="77777777" w:rsidR="00403127" w:rsidRPr="00034667" w:rsidRDefault="00403127" w:rsidP="00094F6F">
            <w:pPr>
              <w:spacing w:after="0" w:line="240" w:lineRule="auto"/>
              <w:rPr>
                <w:rFonts w:ascii="Times New Roman" w:hAnsi="Times New Roman"/>
                <w:color w:val="000000" w:themeColor="text1"/>
              </w:rPr>
            </w:pPr>
          </w:p>
        </w:tc>
        <w:tc>
          <w:tcPr>
            <w:tcW w:w="1519" w:type="dxa"/>
          </w:tcPr>
          <w:p w14:paraId="6A9821DE" w14:textId="77777777" w:rsidR="00403127" w:rsidRPr="00034667" w:rsidRDefault="00403127" w:rsidP="00094F6F">
            <w:pPr>
              <w:spacing w:after="0" w:line="240" w:lineRule="auto"/>
              <w:rPr>
                <w:rFonts w:ascii="Times New Roman" w:hAnsi="Times New Roman"/>
                <w:color w:val="000000" w:themeColor="text1"/>
              </w:rPr>
            </w:pPr>
          </w:p>
        </w:tc>
        <w:tc>
          <w:tcPr>
            <w:tcW w:w="543" w:type="dxa"/>
          </w:tcPr>
          <w:p w14:paraId="69582201" w14:textId="77777777" w:rsidR="00403127" w:rsidRPr="00034667" w:rsidRDefault="00403127" w:rsidP="00094F6F">
            <w:pPr>
              <w:spacing w:after="0" w:line="240" w:lineRule="auto"/>
              <w:rPr>
                <w:rFonts w:ascii="Times New Roman" w:hAnsi="Times New Roman"/>
                <w:color w:val="000000" w:themeColor="text1"/>
              </w:rPr>
            </w:pPr>
          </w:p>
        </w:tc>
        <w:tc>
          <w:tcPr>
            <w:tcW w:w="1210" w:type="dxa"/>
            <w:gridSpan w:val="3"/>
          </w:tcPr>
          <w:p w14:paraId="751D70D4" w14:textId="77777777" w:rsidR="00403127" w:rsidRPr="00034667" w:rsidRDefault="00403127" w:rsidP="00094F6F">
            <w:pPr>
              <w:spacing w:after="0" w:line="240" w:lineRule="auto"/>
              <w:rPr>
                <w:rFonts w:ascii="Times New Roman" w:hAnsi="Times New Roman"/>
                <w:color w:val="000000" w:themeColor="text1"/>
              </w:rPr>
            </w:pPr>
          </w:p>
        </w:tc>
        <w:tc>
          <w:tcPr>
            <w:tcW w:w="1055" w:type="dxa"/>
            <w:gridSpan w:val="2"/>
          </w:tcPr>
          <w:p w14:paraId="057E6783" w14:textId="77777777" w:rsidR="00403127" w:rsidRPr="00034667" w:rsidRDefault="00403127" w:rsidP="00094F6F">
            <w:pPr>
              <w:spacing w:after="0" w:line="240" w:lineRule="auto"/>
              <w:rPr>
                <w:rFonts w:ascii="Times New Roman" w:hAnsi="Times New Roman"/>
                <w:color w:val="000000" w:themeColor="text1"/>
              </w:rPr>
            </w:pPr>
          </w:p>
        </w:tc>
        <w:tc>
          <w:tcPr>
            <w:tcW w:w="1693" w:type="dxa"/>
            <w:gridSpan w:val="2"/>
          </w:tcPr>
          <w:p w14:paraId="5D55AEAE" w14:textId="77777777" w:rsidR="00403127" w:rsidRPr="00034667" w:rsidRDefault="00403127" w:rsidP="00094F6F">
            <w:pPr>
              <w:spacing w:after="0" w:line="240" w:lineRule="auto"/>
              <w:rPr>
                <w:rFonts w:ascii="Times New Roman" w:hAnsi="Times New Roman"/>
                <w:color w:val="000000" w:themeColor="text1"/>
              </w:rPr>
            </w:pPr>
            <w:r w:rsidRPr="00034667">
              <w:rPr>
                <w:rFonts w:ascii="Times New Roman" w:hAnsi="Times New Roman"/>
                <w:color w:val="000000" w:themeColor="text1"/>
              </w:rPr>
              <w:t>Отличное</w:t>
            </w:r>
          </w:p>
        </w:tc>
      </w:tr>
    </w:tbl>
    <w:p w14:paraId="1ED3F097" w14:textId="77777777" w:rsidR="00403127" w:rsidRPr="00903DE3" w:rsidRDefault="00403127" w:rsidP="00403127">
      <w:pPr>
        <w:spacing w:after="0" w:line="240" w:lineRule="auto"/>
        <w:rPr>
          <w:rFonts w:ascii="Times New Roman" w:hAnsi="Times New Roman"/>
          <w:sz w:val="28"/>
          <w:szCs w:val="28"/>
        </w:rPr>
      </w:pPr>
    </w:p>
    <w:p w14:paraId="43C194E4" w14:textId="77777777" w:rsidR="00403127" w:rsidRPr="00903DE3" w:rsidRDefault="00403127" w:rsidP="00403127">
      <w:pPr>
        <w:spacing w:after="0" w:line="240" w:lineRule="auto"/>
        <w:jc w:val="both"/>
        <w:rPr>
          <w:rFonts w:ascii="Times New Roman" w:hAnsi="Times New Roman"/>
          <w:sz w:val="28"/>
          <w:szCs w:val="28"/>
        </w:rPr>
      </w:pPr>
      <w:r w:rsidRPr="00903DE3">
        <w:rPr>
          <w:rFonts w:ascii="Times New Roman" w:hAnsi="Times New Roman"/>
          <w:sz w:val="28"/>
          <w:szCs w:val="28"/>
        </w:rPr>
        <w:t>Таблица 4 – Версия опросника-модуля EORTC QLQ-CR29</w:t>
      </w:r>
    </w:p>
    <w:p w14:paraId="7479C5F8" w14:textId="77777777" w:rsidR="00403127" w:rsidRPr="00903DE3" w:rsidRDefault="00403127" w:rsidP="00403127">
      <w:pPr>
        <w:spacing w:after="0" w:line="240" w:lineRule="auto"/>
        <w:ind w:firstLine="709"/>
        <w:jc w:val="both"/>
        <w:rPr>
          <w:rFonts w:ascii="Times New Roman" w:hAnsi="Times New Roman"/>
          <w:sz w:val="28"/>
          <w:szCs w:val="28"/>
        </w:rPr>
      </w:pPr>
    </w:p>
    <w:tbl>
      <w:tblPr>
        <w:tblStyle w:val="af1"/>
        <w:tblW w:w="9641" w:type="dxa"/>
        <w:tblLook w:val="04A0" w:firstRow="1" w:lastRow="0" w:firstColumn="1" w:lastColumn="0" w:noHBand="0" w:noVBand="1"/>
      </w:tblPr>
      <w:tblGrid>
        <w:gridCol w:w="456"/>
        <w:gridCol w:w="4006"/>
        <w:gridCol w:w="1282"/>
        <w:gridCol w:w="11"/>
        <w:gridCol w:w="1142"/>
        <w:gridCol w:w="1211"/>
        <w:gridCol w:w="47"/>
        <w:gridCol w:w="1473"/>
        <w:gridCol w:w="13"/>
      </w:tblGrid>
      <w:tr w:rsidR="00403127" w:rsidRPr="00903DE3" w14:paraId="1729DE46" w14:textId="77777777" w:rsidTr="006570CF">
        <w:tc>
          <w:tcPr>
            <w:tcW w:w="456" w:type="dxa"/>
          </w:tcPr>
          <w:p w14:paraId="7EAC9E72"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w:t>
            </w:r>
          </w:p>
        </w:tc>
        <w:tc>
          <w:tcPr>
            <w:tcW w:w="4006" w:type="dxa"/>
          </w:tcPr>
          <w:p w14:paraId="3F477639"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За последнюю неделю:</w:t>
            </w:r>
          </w:p>
        </w:tc>
        <w:tc>
          <w:tcPr>
            <w:tcW w:w="1293" w:type="dxa"/>
            <w:gridSpan w:val="2"/>
          </w:tcPr>
          <w:p w14:paraId="338F3775"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Нет,</w:t>
            </w:r>
          </w:p>
          <w:p w14:paraId="184F59AD" w14:textId="77777777" w:rsidR="00403127" w:rsidRPr="008312FB" w:rsidRDefault="00403127" w:rsidP="00094F6F">
            <w:pPr>
              <w:spacing w:after="0" w:line="240" w:lineRule="auto"/>
              <w:jc w:val="both"/>
              <w:rPr>
                <w:rFonts w:ascii="Times New Roman" w:hAnsi="Times New Roman"/>
              </w:rPr>
            </w:pPr>
            <w:proofErr w:type="gramStart"/>
            <w:r w:rsidRPr="008312FB">
              <w:rPr>
                <w:rFonts w:ascii="Times New Roman" w:hAnsi="Times New Roman"/>
              </w:rPr>
              <w:t>нисколько</w:t>
            </w:r>
            <w:proofErr w:type="gramEnd"/>
          </w:p>
        </w:tc>
        <w:tc>
          <w:tcPr>
            <w:tcW w:w="1142" w:type="dxa"/>
          </w:tcPr>
          <w:p w14:paraId="372FF0FA"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Немного</w:t>
            </w:r>
          </w:p>
        </w:tc>
        <w:tc>
          <w:tcPr>
            <w:tcW w:w="1258" w:type="dxa"/>
            <w:gridSpan w:val="2"/>
          </w:tcPr>
          <w:p w14:paraId="453C8A53"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Довольно</w:t>
            </w:r>
          </w:p>
          <w:p w14:paraId="3E937462" w14:textId="77777777" w:rsidR="00403127" w:rsidRPr="008312FB" w:rsidRDefault="00403127" w:rsidP="00094F6F">
            <w:pPr>
              <w:spacing w:after="0" w:line="240" w:lineRule="auto"/>
              <w:jc w:val="both"/>
              <w:rPr>
                <w:rFonts w:ascii="Times New Roman" w:hAnsi="Times New Roman"/>
              </w:rPr>
            </w:pPr>
            <w:proofErr w:type="gramStart"/>
            <w:r w:rsidRPr="008312FB">
              <w:rPr>
                <w:rFonts w:ascii="Times New Roman" w:hAnsi="Times New Roman"/>
              </w:rPr>
              <w:t>сильно</w:t>
            </w:r>
            <w:proofErr w:type="gramEnd"/>
          </w:p>
        </w:tc>
        <w:tc>
          <w:tcPr>
            <w:tcW w:w="1486" w:type="dxa"/>
            <w:gridSpan w:val="2"/>
          </w:tcPr>
          <w:p w14:paraId="39E4B276"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Очень</w:t>
            </w:r>
          </w:p>
          <w:p w14:paraId="159F3110" w14:textId="77777777" w:rsidR="00403127" w:rsidRPr="008312FB" w:rsidRDefault="00403127" w:rsidP="00094F6F">
            <w:pPr>
              <w:spacing w:after="0" w:line="240" w:lineRule="auto"/>
              <w:jc w:val="both"/>
              <w:rPr>
                <w:rFonts w:ascii="Times New Roman" w:hAnsi="Times New Roman"/>
              </w:rPr>
            </w:pPr>
            <w:proofErr w:type="gramStart"/>
            <w:r w:rsidRPr="008312FB">
              <w:rPr>
                <w:rFonts w:ascii="Times New Roman" w:hAnsi="Times New Roman"/>
              </w:rPr>
              <w:t>сильно</w:t>
            </w:r>
            <w:proofErr w:type="gramEnd"/>
          </w:p>
        </w:tc>
      </w:tr>
      <w:tr w:rsidR="00403127" w:rsidRPr="00903DE3" w14:paraId="4DE68093" w14:textId="77777777" w:rsidTr="006570CF">
        <w:tc>
          <w:tcPr>
            <w:tcW w:w="456" w:type="dxa"/>
          </w:tcPr>
          <w:p w14:paraId="3C40E465"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31</w:t>
            </w:r>
          </w:p>
        </w:tc>
        <w:tc>
          <w:tcPr>
            <w:tcW w:w="4006" w:type="dxa"/>
          </w:tcPr>
          <w:p w14:paraId="2086BCAD"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Были ли у Вас случаи частого мочеиспускания?</w:t>
            </w:r>
          </w:p>
        </w:tc>
        <w:tc>
          <w:tcPr>
            <w:tcW w:w="1293" w:type="dxa"/>
            <w:gridSpan w:val="2"/>
            <w:vAlign w:val="center"/>
          </w:tcPr>
          <w:p w14:paraId="6C010559"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7E3712A0"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21D28887"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24CC5506"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46D4C251" w14:textId="77777777" w:rsidTr="006570CF">
        <w:tc>
          <w:tcPr>
            <w:tcW w:w="456" w:type="dxa"/>
          </w:tcPr>
          <w:p w14:paraId="1EDF667D"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32</w:t>
            </w:r>
          </w:p>
        </w:tc>
        <w:tc>
          <w:tcPr>
            <w:tcW w:w="4006" w:type="dxa"/>
          </w:tcPr>
          <w:p w14:paraId="7B6B9024"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Были ли у Вас случаи частого мочеиспускания по ночам?</w:t>
            </w:r>
          </w:p>
        </w:tc>
        <w:tc>
          <w:tcPr>
            <w:tcW w:w="1293" w:type="dxa"/>
            <w:gridSpan w:val="2"/>
            <w:vAlign w:val="center"/>
          </w:tcPr>
          <w:p w14:paraId="6885A0E6"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697A8014"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1B906805"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0DF338BF"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71088034" w14:textId="77777777" w:rsidTr="006570CF">
        <w:tc>
          <w:tcPr>
            <w:tcW w:w="456" w:type="dxa"/>
          </w:tcPr>
          <w:p w14:paraId="6B2F697A"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33</w:t>
            </w:r>
          </w:p>
        </w:tc>
        <w:tc>
          <w:tcPr>
            <w:tcW w:w="4006" w:type="dxa"/>
          </w:tcPr>
          <w:p w14:paraId="14EE552D"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Случалось ли у Вас недержание мочи?</w:t>
            </w:r>
          </w:p>
        </w:tc>
        <w:tc>
          <w:tcPr>
            <w:tcW w:w="1293" w:type="dxa"/>
            <w:gridSpan w:val="2"/>
            <w:vAlign w:val="center"/>
          </w:tcPr>
          <w:p w14:paraId="16464989"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217FCA5D"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3E83111A"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4533D894"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5367BE80" w14:textId="77777777" w:rsidTr="006570CF">
        <w:tc>
          <w:tcPr>
            <w:tcW w:w="456" w:type="dxa"/>
            <w:tcBorders>
              <w:bottom w:val="single" w:sz="4" w:space="0" w:color="auto"/>
            </w:tcBorders>
          </w:tcPr>
          <w:p w14:paraId="6E2B2DF1"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34</w:t>
            </w:r>
          </w:p>
        </w:tc>
        <w:tc>
          <w:tcPr>
            <w:tcW w:w="4006" w:type="dxa"/>
            <w:tcBorders>
              <w:bottom w:val="single" w:sz="4" w:space="0" w:color="auto"/>
            </w:tcBorders>
          </w:tcPr>
          <w:p w14:paraId="098E7BDA"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Испытывали ли Вы боль при</w:t>
            </w:r>
          </w:p>
          <w:p w14:paraId="3A321311" w14:textId="77777777" w:rsidR="00403127" w:rsidRPr="008312FB" w:rsidRDefault="00403127" w:rsidP="00094F6F">
            <w:pPr>
              <w:spacing w:after="0" w:line="240" w:lineRule="auto"/>
              <w:jc w:val="both"/>
              <w:rPr>
                <w:rFonts w:ascii="Times New Roman" w:hAnsi="Times New Roman"/>
              </w:rPr>
            </w:pPr>
            <w:proofErr w:type="gramStart"/>
            <w:r w:rsidRPr="008312FB">
              <w:rPr>
                <w:rFonts w:ascii="Times New Roman" w:hAnsi="Times New Roman"/>
              </w:rPr>
              <w:t>мочеиспускании</w:t>
            </w:r>
            <w:proofErr w:type="gramEnd"/>
            <w:r w:rsidRPr="008312FB">
              <w:rPr>
                <w:rFonts w:ascii="Times New Roman" w:hAnsi="Times New Roman"/>
              </w:rPr>
              <w:t>?</w:t>
            </w:r>
          </w:p>
        </w:tc>
        <w:tc>
          <w:tcPr>
            <w:tcW w:w="1293" w:type="dxa"/>
            <w:gridSpan w:val="2"/>
            <w:tcBorders>
              <w:bottom w:val="single" w:sz="4" w:space="0" w:color="auto"/>
            </w:tcBorders>
            <w:vAlign w:val="center"/>
          </w:tcPr>
          <w:p w14:paraId="2E1247D9"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tcBorders>
              <w:bottom w:val="single" w:sz="4" w:space="0" w:color="auto"/>
            </w:tcBorders>
            <w:vAlign w:val="center"/>
          </w:tcPr>
          <w:p w14:paraId="0E5B0D0D"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tcBorders>
              <w:bottom w:val="single" w:sz="4" w:space="0" w:color="auto"/>
            </w:tcBorders>
            <w:vAlign w:val="center"/>
          </w:tcPr>
          <w:p w14:paraId="56106E8F"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tcBorders>
              <w:bottom w:val="single" w:sz="4" w:space="0" w:color="auto"/>
            </w:tcBorders>
            <w:vAlign w:val="center"/>
          </w:tcPr>
          <w:p w14:paraId="4F6E3EB0"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131E0604" w14:textId="77777777" w:rsidTr="006570CF">
        <w:tc>
          <w:tcPr>
            <w:tcW w:w="456" w:type="dxa"/>
            <w:tcBorders>
              <w:bottom w:val="nil"/>
            </w:tcBorders>
          </w:tcPr>
          <w:p w14:paraId="4E04292A"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35</w:t>
            </w:r>
          </w:p>
        </w:tc>
        <w:tc>
          <w:tcPr>
            <w:tcW w:w="4006" w:type="dxa"/>
            <w:tcBorders>
              <w:bottom w:val="nil"/>
            </w:tcBorders>
          </w:tcPr>
          <w:p w14:paraId="10AC02FB"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Испытывали ли Вы боли в брюшной</w:t>
            </w:r>
          </w:p>
          <w:p w14:paraId="31FB1F0A" w14:textId="77777777" w:rsidR="00403127" w:rsidRPr="008312FB" w:rsidRDefault="00403127" w:rsidP="00094F6F">
            <w:pPr>
              <w:spacing w:after="0" w:line="240" w:lineRule="auto"/>
              <w:jc w:val="both"/>
              <w:rPr>
                <w:rFonts w:ascii="Times New Roman" w:hAnsi="Times New Roman"/>
              </w:rPr>
            </w:pPr>
            <w:proofErr w:type="gramStart"/>
            <w:r w:rsidRPr="008312FB">
              <w:rPr>
                <w:rFonts w:ascii="Times New Roman" w:hAnsi="Times New Roman"/>
              </w:rPr>
              <w:t>полости</w:t>
            </w:r>
            <w:proofErr w:type="gramEnd"/>
            <w:r w:rsidRPr="008312FB">
              <w:rPr>
                <w:rFonts w:ascii="Times New Roman" w:hAnsi="Times New Roman"/>
              </w:rPr>
              <w:t>?</w:t>
            </w:r>
          </w:p>
        </w:tc>
        <w:tc>
          <w:tcPr>
            <w:tcW w:w="1293" w:type="dxa"/>
            <w:gridSpan w:val="2"/>
            <w:tcBorders>
              <w:bottom w:val="nil"/>
            </w:tcBorders>
            <w:vAlign w:val="center"/>
          </w:tcPr>
          <w:p w14:paraId="09E2A3E5"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tcBorders>
              <w:bottom w:val="nil"/>
            </w:tcBorders>
            <w:vAlign w:val="center"/>
          </w:tcPr>
          <w:p w14:paraId="56B632D3"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tcBorders>
              <w:bottom w:val="nil"/>
            </w:tcBorders>
            <w:vAlign w:val="center"/>
          </w:tcPr>
          <w:p w14:paraId="26C8B00E"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tcBorders>
              <w:bottom w:val="nil"/>
            </w:tcBorders>
            <w:vAlign w:val="center"/>
          </w:tcPr>
          <w:p w14:paraId="7C16D609"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044B2FC3" w14:textId="77777777" w:rsidTr="006570CF">
        <w:tc>
          <w:tcPr>
            <w:tcW w:w="456" w:type="dxa"/>
            <w:tcBorders>
              <w:top w:val="nil"/>
            </w:tcBorders>
          </w:tcPr>
          <w:p w14:paraId="01D98CEA"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lastRenderedPageBreak/>
              <w:t>36</w:t>
            </w:r>
          </w:p>
        </w:tc>
        <w:tc>
          <w:tcPr>
            <w:tcW w:w="4006" w:type="dxa"/>
            <w:tcBorders>
              <w:top w:val="nil"/>
            </w:tcBorders>
          </w:tcPr>
          <w:p w14:paraId="11FFAF19"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Испытывали ли Вы боль в ягодицах/анальной области/прямой</w:t>
            </w:r>
          </w:p>
          <w:p w14:paraId="18ED0D81" w14:textId="77777777" w:rsidR="00403127" w:rsidRPr="008312FB" w:rsidRDefault="00403127" w:rsidP="00094F6F">
            <w:pPr>
              <w:spacing w:after="0" w:line="240" w:lineRule="auto"/>
              <w:jc w:val="both"/>
              <w:rPr>
                <w:rFonts w:ascii="Times New Roman" w:hAnsi="Times New Roman"/>
              </w:rPr>
            </w:pPr>
            <w:proofErr w:type="gramStart"/>
            <w:r w:rsidRPr="008312FB">
              <w:rPr>
                <w:rFonts w:ascii="Times New Roman" w:hAnsi="Times New Roman"/>
              </w:rPr>
              <w:t>кишке</w:t>
            </w:r>
            <w:proofErr w:type="gramEnd"/>
            <w:r w:rsidRPr="008312FB">
              <w:rPr>
                <w:rFonts w:ascii="Times New Roman" w:hAnsi="Times New Roman"/>
              </w:rPr>
              <w:t>?</w:t>
            </w:r>
          </w:p>
        </w:tc>
        <w:tc>
          <w:tcPr>
            <w:tcW w:w="1293" w:type="dxa"/>
            <w:gridSpan w:val="2"/>
            <w:tcBorders>
              <w:top w:val="nil"/>
            </w:tcBorders>
            <w:vAlign w:val="center"/>
          </w:tcPr>
          <w:p w14:paraId="592BD9EA"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tcBorders>
              <w:top w:val="nil"/>
            </w:tcBorders>
            <w:vAlign w:val="center"/>
          </w:tcPr>
          <w:p w14:paraId="0253CDDD"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tcBorders>
              <w:top w:val="nil"/>
            </w:tcBorders>
            <w:vAlign w:val="center"/>
          </w:tcPr>
          <w:p w14:paraId="640D4151"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tcBorders>
              <w:top w:val="nil"/>
            </w:tcBorders>
            <w:vAlign w:val="center"/>
          </w:tcPr>
          <w:p w14:paraId="6B8FBCCF"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7467D9B0" w14:textId="77777777" w:rsidTr="006570CF">
        <w:tc>
          <w:tcPr>
            <w:tcW w:w="456" w:type="dxa"/>
          </w:tcPr>
          <w:p w14:paraId="5374084E"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37</w:t>
            </w:r>
          </w:p>
        </w:tc>
        <w:tc>
          <w:tcPr>
            <w:tcW w:w="4006" w:type="dxa"/>
          </w:tcPr>
          <w:p w14:paraId="256F8895"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Испытывали ли Вы вздутие живота?</w:t>
            </w:r>
          </w:p>
        </w:tc>
        <w:tc>
          <w:tcPr>
            <w:tcW w:w="1293" w:type="dxa"/>
            <w:gridSpan w:val="2"/>
            <w:vAlign w:val="center"/>
          </w:tcPr>
          <w:p w14:paraId="42D7735A"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5E711883"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33C64B1B"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593C2BC4"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2DF9279E" w14:textId="77777777" w:rsidTr="006570CF">
        <w:tc>
          <w:tcPr>
            <w:tcW w:w="456" w:type="dxa"/>
          </w:tcPr>
          <w:p w14:paraId="4F172CD2"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38</w:t>
            </w:r>
          </w:p>
        </w:tc>
        <w:tc>
          <w:tcPr>
            <w:tcW w:w="4006" w:type="dxa"/>
          </w:tcPr>
          <w:p w14:paraId="471F661B"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Замечали ли Вы кровь в кале?</w:t>
            </w:r>
          </w:p>
        </w:tc>
        <w:tc>
          <w:tcPr>
            <w:tcW w:w="1293" w:type="dxa"/>
            <w:gridSpan w:val="2"/>
            <w:vAlign w:val="center"/>
          </w:tcPr>
          <w:p w14:paraId="1A9CF047"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11BA9ECD"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3F6ACB21"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7EFF94B7"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5FA7F160" w14:textId="77777777" w:rsidTr="006570CF">
        <w:tc>
          <w:tcPr>
            <w:tcW w:w="456" w:type="dxa"/>
          </w:tcPr>
          <w:p w14:paraId="4A71AB0B"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39</w:t>
            </w:r>
          </w:p>
        </w:tc>
        <w:tc>
          <w:tcPr>
            <w:tcW w:w="4006" w:type="dxa"/>
          </w:tcPr>
          <w:p w14:paraId="05BBAC40"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Замечали ли Вы слизь в кале?</w:t>
            </w:r>
          </w:p>
        </w:tc>
        <w:tc>
          <w:tcPr>
            <w:tcW w:w="1293" w:type="dxa"/>
            <w:gridSpan w:val="2"/>
            <w:vAlign w:val="center"/>
          </w:tcPr>
          <w:p w14:paraId="0BCBD245"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254E4B54"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47AC9A13"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439FAC76"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41529D64" w14:textId="77777777" w:rsidTr="006570CF">
        <w:tc>
          <w:tcPr>
            <w:tcW w:w="456" w:type="dxa"/>
          </w:tcPr>
          <w:p w14:paraId="48E3C6CB"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40</w:t>
            </w:r>
          </w:p>
        </w:tc>
        <w:tc>
          <w:tcPr>
            <w:tcW w:w="4006" w:type="dxa"/>
          </w:tcPr>
          <w:p w14:paraId="654E2832"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Ощущали ли Вы сухость в ротовой полости?</w:t>
            </w:r>
          </w:p>
        </w:tc>
        <w:tc>
          <w:tcPr>
            <w:tcW w:w="1293" w:type="dxa"/>
            <w:gridSpan w:val="2"/>
            <w:vAlign w:val="center"/>
          </w:tcPr>
          <w:p w14:paraId="0268E6D3"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0D6BEC45"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0053CEB7"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2A2DFD13"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2BC4D93B" w14:textId="77777777" w:rsidTr="006570CF">
        <w:tc>
          <w:tcPr>
            <w:tcW w:w="456" w:type="dxa"/>
          </w:tcPr>
          <w:p w14:paraId="196CE53D"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41</w:t>
            </w:r>
          </w:p>
        </w:tc>
        <w:tc>
          <w:tcPr>
            <w:tcW w:w="4006" w:type="dxa"/>
          </w:tcPr>
          <w:p w14:paraId="01A31BD2"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Выпадали ли у Вас волосы вследствие лечения?</w:t>
            </w:r>
          </w:p>
        </w:tc>
        <w:tc>
          <w:tcPr>
            <w:tcW w:w="1293" w:type="dxa"/>
            <w:gridSpan w:val="2"/>
            <w:vAlign w:val="center"/>
          </w:tcPr>
          <w:p w14:paraId="696F05C7"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633D8FDD"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4BC4FE28"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5F571B72"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3F550421" w14:textId="77777777" w:rsidTr="006570CF">
        <w:tc>
          <w:tcPr>
            <w:tcW w:w="456" w:type="dxa"/>
          </w:tcPr>
          <w:p w14:paraId="39CE66BA"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42</w:t>
            </w:r>
          </w:p>
        </w:tc>
        <w:tc>
          <w:tcPr>
            <w:tcW w:w="4006" w:type="dxa"/>
          </w:tcPr>
          <w:p w14:paraId="3E47D38C"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Были ли у Вас изменения вкусовых ощущений?</w:t>
            </w:r>
          </w:p>
        </w:tc>
        <w:tc>
          <w:tcPr>
            <w:tcW w:w="1293" w:type="dxa"/>
            <w:gridSpan w:val="2"/>
            <w:vAlign w:val="center"/>
          </w:tcPr>
          <w:p w14:paraId="648B83DD"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574EA59A"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7F33E97F"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0591A434"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53F359BA" w14:textId="77777777" w:rsidTr="006570CF">
        <w:tc>
          <w:tcPr>
            <w:tcW w:w="456" w:type="dxa"/>
          </w:tcPr>
          <w:p w14:paraId="3B8C4A65"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43</w:t>
            </w:r>
          </w:p>
        </w:tc>
        <w:tc>
          <w:tcPr>
            <w:tcW w:w="4006" w:type="dxa"/>
          </w:tcPr>
          <w:p w14:paraId="100EC775"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Волновались ли вы о своем будущем здоровье?</w:t>
            </w:r>
          </w:p>
        </w:tc>
        <w:tc>
          <w:tcPr>
            <w:tcW w:w="1293" w:type="dxa"/>
            <w:gridSpan w:val="2"/>
            <w:vAlign w:val="center"/>
          </w:tcPr>
          <w:p w14:paraId="220680EA"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6E8C4754"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169955CF"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137D9615"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7BBE5BDF" w14:textId="77777777" w:rsidTr="006570CF">
        <w:tc>
          <w:tcPr>
            <w:tcW w:w="456" w:type="dxa"/>
          </w:tcPr>
          <w:p w14:paraId="39C613F4"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44</w:t>
            </w:r>
          </w:p>
        </w:tc>
        <w:tc>
          <w:tcPr>
            <w:tcW w:w="4006" w:type="dxa"/>
          </w:tcPr>
          <w:p w14:paraId="7EF85A3E"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Волновал ли Вас Ваш вес?</w:t>
            </w:r>
          </w:p>
        </w:tc>
        <w:tc>
          <w:tcPr>
            <w:tcW w:w="1293" w:type="dxa"/>
            <w:gridSpan w:val="2"/>
            <w:vAlign w:val="center"/>
          </w:tcPr>
          <w:p w14:paraId="18AAFE3A"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72E7BABA"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3EF37299"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1C802955"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4D0FF317" w14:textId="77777777" w:rsidTr="006570CF">
        <w:tc>
          <w:tcPr>
            <w:tcW w:w="456" w:type="dxa"/>
          </w:tcPr>
          <w:p w14:paraId="50D76A7A"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45</w:t>
            </w:r>
          </w:p>
        </w:tc>
        <w:tc>
          <w:tcPr>
            <w:tcW w:w="4006" w:type="dxa"/>
          </w:tcPr>
          <w:p w14:paraId="731CBCE2"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Ощущали ли Вы себя менее</w:t>
            </w:r>
          </w:p>
          <w:p w14:paraId="30871FE4" w14:textId="77777777" w:rsidR="00403127" w:rsidRPr="008312FB" w:rsidRDefault="00403127" w:rsidP="00094F6F">
            <w:pPr>
              <w:spacing w:after="0" w:line="240" w:lineRule="auto"/>
              <w:jc w:val="both"/>
              <w:rPr>
                <w:rFonts w:ascii="Times New Roman" w:hAnsi="Times New Roman"/>
              </w:rPr>
            </w:pPr>
            <w:proofErr w:type="gramStart"/>
            <w:r w:rsidRPr="008312FB">
              <w:rPr>
                <w:rFonts w:ascii="Times New Roman" w:hAnsi="Times New Roman"/>
              </w:rPr>
              <w:t>привлекательным</w:t>
            </w:r>
            <w:proofErr w:type="gramEnd"/>
            <w:r w:rsidRPr="008312FB">
              <w:rPr>
                <w:rFonts w:ascii="Times New Roman" w:hAnsi="Times New Roman"/>
              </w:rPr>
              <w:t>/привлекательной из-за лечения?</w:t>
            </w:r>
          </w:p>
        </w:tc>
        <w:tc>
          <w:tcPr>
            <w:tcW w:w="1293" w:type="dxa"/>
            <w:gridSpan w:val="2"/>
            <w:vAlign w:val="center"/>
          </w:tcPr>
          <w:p w14:paraId="4ADF35FC"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7026DB50"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1DB872F1"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481E4A29"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616C87D2" w14:textId="77777777" w:rsidTr="006570CF">
        <w:tc>
          <w:tcPr>
            <w:tcW w:w="456" w:type="dxa"/>
          </w:tcPr>
          <w:p w14:paraId="77ED9E48"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46</w:t>
            </w:r>
          </w:p>
        </w:tc>
        <w:tc>
          <w:tcPr>
            <w:tcW w:w="4006" w:type="dxa"/>
          </w:tcPr>
          <w:p w14:paraId="71DE23B1"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Ощущали ли Вы себя менее мужественным/женственной из-за лечения?</w:t>
            </w:r>
          </w:p>
        </w:tc>
        <w:tc>
          <w:tcPr>
            <w:tcW w:w="1293" w:type="dxa"/>
            <w:gridSpan w:val="2"/>
            <w:vAlign w:val="center"/>
          </w:tcPr>
          <w:p w14:paraId="720C4119"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5B2A4967"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004ECEDC"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6A628A9D"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903DE3" w14:paraId="3C1B2641" w14:textId="77777777" w:rsidTr="006570CF">
        <w:tc>
          <w:tcPr>
            <w:tcW w:w="456" w:type="dxa"/>
          </w:tcPr>
          <w:p w14:paraId="1BA362E6"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47</w:t>
            </w:r>
          </w:p>
        </w:tc>
        <w:tc>
          <w:tcPr>
            <w:tcW w:w="4006" w:type="dxa"/>
          </w:tcPr>
          <w:p w14:paraId="6615E2B3"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Ощущали ли Вы разочарованность в своем теле?</w:t>
            </w:r>
          </w:p>
        </w:tc>
        <w:tc>
          <w:tcPr>
            <w:tcW w:w="1293" w:type="dxa"/>
            <w:gridSpan w:val="2"/>
            <w:vAlign w:val="center"/>
          </w:tcPr>
          <w:p w14:paraId="70A6E25D"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42" w:type="dxa"/>
            <w:vAlign w:val="center"/>
          </w:tcPr>
          <w:p w14:paraId="4D46F4DB"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58" w:type="dxa"/>
            <w:gridSpan w:val="2"/>
            <w:vAlign w:val="center"/>
          </w:tcPr>
          <w:p w14:paraId="362C6521"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486" w:type="dxa"/>
            <w:gridSpan w:val="2"/>
            <w:vAlign w:val="center"/>
          </w:tcPr>
          <w:p w14:paraId="60306838"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771B785C" w14:textId="77777777" w:rsidTr="006570CF">
        <w:trPr>
          <w:gridAfter w:val="1"/>
          <w:wAfter w:w="13" w:type="dxa"/>
        </w:trPr>
        <w:tc>
          <w:tcPr>
            <w:tcW w:w="456" w:type="dxa"/>
          </w:tcPr>
          <w:p w14:paraId="78975364"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48</w:t>
            </w:r>
          </w:p>
        </w:tc>
        <w:tc>
          <w:tcPr>
            <w:tcW w:w="4006" w:type="dxa"/>
          </w:tcPr>
          <w:p w14:paraId="606723FA"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Есть ли у Вас калоприемник (</w:t>
            </w:r>
            <w:proofErr w:type="spellStart"/>
            <w:r w:rsidRPr="008312FB">
              <w:rPr>
                <w:rFonts w:ascii="Times New Roman" w:hAnsi="Times New Roman"/>
              </w:rPr>
              <w:t>колостомия</w:t>
            </w:r>
            <w:proofErr w:type="spellEnd"/>
            <w:r w:rsidRPr="008312FB">
              <w:rPr>
                <w:rFonts w:ascii="Times New Roman" w:hAnsi="Times New Roman"/>
              </w:rPr>
              <w:t xml:space="preserve">, </w:t>
            </w:r>
            <w:proofErr w:type="spellStart"/>
            <w:r w:rsidRPr="008312FB">
              <w:rPr>
                <w:rFonts w:ascii="Times New Roman" w:hAnsi="Times New Roman"/>
              </w:rPr>
              <w:t>илеостомия</w:t>
            </w:r>
            <w:proofErr w:type="spellEnd"/>
            <w:r w:rsidRPr="008312FB">
              <w:rPr>
                <w:rFonts w:ascii="Times New Roman" w:hAnsi="Times New Roman"/>
              </w:rPr>
              <w:t>), отметьте кружком один ответ</w:t>
            </w:r>
          </w:p>
        </w:tc>
        <w:tc>
          <w:tcPr>
            <w:tcW w:w="2435" w:type="dxa"/>
            <w:gridSpan w:val="3"/>
            <w:vAlign w:val="center"/>
          </w:tcPr>
          <w:p w14:paraId="6FDC2960" w14:textId="77777777" w:rsidR="00403127" w:rsidRPr="008312FB" w:rsidRDefault="00403127" w:rsidP="00094F6F">
            <w:pPr>
              <w:spacing w:after="0" w:line="240" w:lineRule="auto"/>
              <w:jc w:val="center"/>
              <w:rPr>
                <w:rFonts w:ascii="Times New Roman" w:hAnsi="Times New Roman"/>
              </w:rPr>
            </w:pPr>
            <w:proofErr w:type="gramStart"/>
            <w:r w:rsidRPr="008312FB">
              <w:rPr>
                <w:rFonts w:ascii="Times New Roman" w:hAnsi="Times New Roman"/>
              </w:rPr>
              <w:t>да</w:t>
            </w:r>
            <w:proofErr w:type="gramEnd"/>
          </w:p>
        </w:tc>
        <w:tc>
          <w:tcPr>
            <w:tcW w:w="2731" w:type="dxa"/>
            <w:gridSpan w:val="3"/>
            <w:vAlign w:val="center"/>
          </w:tcPr>
          <w:p w14:paraId="6C2C35DE" w14:textId="77777777" w:rsidR="00403127" w:rsidRPr="008312FB" w:rsidRDefault="00403127" w:rsidP="00094F6F">
            <w:pPr>
              <w:spacing w:after="0" w:line="240" w:lineRule="auto"/>
              <w:jc w:val="center"/>
              <w:rPr>
                <w:rFonts w:ascii="Times New Roman" w:hAnsi="Times New Roman"/>
              </w:rPr>
            </w:pPr>
            <w:proofErr w:type="gramStart"/>
            <w:r w:rsidRPr="008312FB">
              <w:rPr>
                <w:rFonts w:ascii="Times New Roman" w:hAnsi="Times New Roman"/>
              </w:rPr>
              <w:t>нет</w:t>
            </w:r>
            <w:proofErr w:type="gramEnd"/>
          </w:p>
        </w:tc>
      </w:tr>
      <w:tr w:rsidR="00403127" w:rsidRPr="008312FB" w14:paraId="426902AA" w14:textId="77777777" w:rsidTr="006570CF">
        <w:trPr>
          <w:gridAfter w:val="1"/>
          <w:wAfter w:w="13" w:type="dxa"/>
        </w:trPr>
        <w:tc>
          <w:tcPr>
            <w:tcW w:w="9628" w:type="dxa"/>
            <w:gridSpan w:val="8"/>
          </w:tcPr>
          <w:p w14:paraId="73E56538"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Пожалуйста, ответьте на эти вопросы, ТОЛЬКО ЕСЛИ У ВАС ЕСТЬ КАЛОПРИЕМНИК. Если же нет, то пропустите этот блок вопросов</w:t>
            </w:r>
          </w:p>
        </w:tc>
      </w:tr>
      <w:tr w:rsidR="00403127" w:rsidRPr="008312FB" w14:paraId="03DBAD94" w14:textId="77777777" w:rsidTr="006570CF">
        <w:trPr>
          <w:gridAfter w:val="1"/>
          <w:wAfter w:w="13" w:type="dxa"/>
        </w:trPr>
        <w:tc>
          <w:tcPr>
            <w:tcW w:w="456" w:type="dxa"/>
          </w:tcPr>
          <w:p w14:paraId="51980E32"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49</w:t>
            </w:r>
          </w:p>
        </w:tc>
        <w:tc>
          <w:tcPr>
            <w:tcW w:w="4006" w:type="dxa"/>
          </w:tcPr>
          <w:p w14:paraId="51657738"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Были ли у Вас случаи неконтролируемого отхождения газа/метеоризм из калоприемника?</w:t>
            </w:r>
          </w:p>
        </w:tc>
        <w:tc>
          <w:tcPr>
            <w:tcW w:w="1282" w:type="dxa"/>
            <w:vAlign w:val="center"/>
          </w:tcPr>
          <w:p w14:paraId="3C9B7E21"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34428936"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7796B28F"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6B4CFEE6"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16ACC55D" w14:textId="77777777" w:rsidTr="006570CF">
        <w:trPr>
          <w:gridAfter w:val="1"/>
          <w:wAfter w:w="13" w:type="dxa"/>
        </w:trPr>
        <w:tc>
          <w:tcPr>
            <w:tcW w:w="456" w:type="dxa"/>
          </w:tcPr>
          <w:p w14:paraId="1D9EA929"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50</w:t>
            </w:r>
          </w:p>
        </w:tc>
        <w:tc>
          <w:tcPr>
            <w:tcW w:w="4006" w:type="dxa"/>
          </w:tcPr>
          <w:p w14:paraId="6ACC4BAE"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Случались ли утечки кала из калоприемника?</w:t>
            </w:r>
          </w:p>
        </w:tc>
        <w:tc>
          <w:tcPr>
            <w:tcW w:w="1282" w:type="dxa"/>
            <w:vAlign w:val="center"/>
          </w:tcPr>
          <w:p w14:paraId="3A803E7C"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64E9E0A7"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7B5C5D0D"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216ABBA1"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795FB985" w14:textId="77777777" w:rsidTr="006570CF">
        <w:trPr>
          <w:gridAfter w:val="1"/>
          <w:wAfter w:w="13" w:type="dxa"/>
        </w:trPr>
        <w:tc>
          <w:tcPr>
            <w:tcW w:w="456" w:type="dxa"/>
          </w:tcPr>
          <w:p w14:paraId="7D1C4B43"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51</w:t>
            </w:r>
          </w:p>
        </w:tc>
        <w:tc>
          <w:tcPr>
            <w:tcW w:w="4006" w:type="dxa"/>
          </w:tcPr>
          <w:p w14:paraId="4180384F"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Воспалялась ли у Вас кожа вокруг стомы (отверстия вывода кишки)?</w:t>
            </w:r>
          </w:p>
        </w:tc>
        <w:tc>
          <w:tcPr>
            <w:tcW w:w="1282" w:type="dxa"/>
            <w:vAlign w:val="center"/>
          </w:tcPr>
          <w:p w14:paraId="6EFD08FC"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7C4EA706"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706A9E91"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45521796"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0E852DBD" w14:textId="77777777" w:rsidTr="006570CF">
        <w:trPr>
          <w:gridAfter w:val="1"/>
          <w:wAfter w:w="13" w:type="dxa"/>
        </w:trPr>
        <w:tc>
          <w:tcPr>
            <w:tcW w:w="456" w:type="dxa"/>
          </w:tcPr>
          <w:p w14:paraId="685D0FF6"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52</w:t>
            </w:r>
          </w:p>
        </w:tc>
        <w:tc>
          <w:tcPr>
            <w:tcW w:w="4006" w:type="dxa"/>
          </w:tcPr>
          <w:p w14:paraId="553A38E4"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Возникала ли необходимость часто менять калоприемник в течение дня?</w:t>
            </w:r>
          </w:p>
        </w:tc>
        <w:tc>
          <w:tcPr>
            <w:tcW w:w="1282" w:type="dxa"/>
            <w:vAlign w:val="center"/>
          </w:tcPr>
          <w:p w14:paraId="35A56B94"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261CE40F"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3D65DE61"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0810FB4B"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71992F33" w14:textId="77777777" w:rsidTr="006570CF">
        <w:trPr>
          <w:gridAfter w:val="1"/>
          <w:wAfter w:w="13" w:type="dxa"/>
        </w:trPr>
        <w:tc>
          <w:tcPr>
            <w:tcW w:w="456" w:type="dxa"/>
          </w:tcPr>
          <w:p w14:paraId="263855B2"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53</w:t>
            </w:r>
          </w:p>
        </w:tc>
        <w:tc>
          <w:tcPr>
            <w:tcW w:w="4006" w:type="dxa"/>
          </w:tcPr>
          <w:p w14:paraId="5A3C63AE"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Возникала ли необходимость часто менять калоприемник по ночам?</w:t>
            </w:r>
          </w:p>
        </w:tc>
        <w:tc>
          <w:tcPr>
            <w:tcW w:w="1282" w:type="dxa"/>
            <w:vAlign w:val="center"/>
          </w:tcPr>
          <w:p w14:paraId="59C8F821"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0DE3F5BD"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7D570EC6"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0FDECE33"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20E1849E" w14:textId="77777777" w:rsidTr="006570CF">
        <w:trPr>
          <w:gridAfter w:val="1"/>
          <w:wAfter w:w="13" w:type="dxa"/>
        </w:trPr>
        <w:tc>
          <w:tcPr>
            <w:tcW w:w="456" w:type="dxa"/>
          </w:tcPr>
          <w:p w14:paraId="1CB4ABF8"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54</w:t>
            </w:r>
          </w:p>
        </w:tc>
        <w:tc>
          <w:tcPr>
            <w:tcW w:w="4006" w:type="dxa"/>
          </w:tcPr>
          <w:p w14:paraId="5A36070F"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Испытывали ли Вы стеснение из-за</w:t>
            </w:r>
          </w:p>
          <w:p w14:paraId="65B9AC9A" w14:textId="77777777" w:rsidR="00403127" w:rsidRPr="008312FB" w:rsidRDefault="00403127" w:rsidP="00094F6F">
            <w:pPr>
              <w:spacing w:after="0" w:line="240" w:lineRule="auto"/>
              <w:jc w:val="both"/>
              <w:rPr>
                <w:rFonts w:ascii="Times New Roman" w:hAnsi="Times New Roman"/>
              </w:rPr>
            </w:pPr>
            <w:proofErr w:type="gramStart"/>
            <w:r w:rsidRPr="008312FB">
              <w:rPr>
                <w:rFonts w:ascii="Times New Roman" w:hAnsi="Times New Roman"/>
              </w:rPr>
              <w:t>необходимости</w:t>
            </w:r>
            <w:proofErr w:type="gramEnd"/>
            <w:r w:rsidRPr="008312FB">
              <w:rPr>
                <w:rFonts w:ascii="Times New Roman" w:hAnsi="Times New Roman"/>
              </w:rPr>
              <w:t xml:space="preserve"> использовать</w:t>
            </w:r>
          </w:p>
          <w:p w14:paraId="1F1F8E34" w14:textId="77777777" w:rsidR="00403127" w:rsidRPr="008312FB" w:rsidRDefault="00403127" w:rsidP="00094F6F">
            <w:pPr>
              <w:spacing w:after="0" w:line="240" w:lineRule="auto"/>
              <w:jc w:val="both"/>
              <w:rPr>
                <w:rFonts w:ascii="Times New Roman" w:hAnsi="Times New Roman"/>
              </w:rPr>
            </w:pPr>
            <w:proofErr w:type="gramStart"/>
            <w:r w:rsidRPr="008312FB">
              <w:rPr>
                <w:rFonts w:ascii="Times New Roman" w:hAnsi="Times New Roman"/>
              </w:rPr>
              <w:t>калоприемник</w:t>
            </w:r>
            <w:proofErr w:type="gramEnd"/>
            <w:r w:rsidRPr="008312FB">
              <w:rPr>
                <w:rFonts w:ascii="Times New Roman" w:hAnsi="Times New Roman"/>
              </w:rPr>
              <w:t>?</w:t>
            </w:r>
          </w:p>
        </w:tc>
        <w:tc>
          <w:tcPr>
            <w:tcW w:w="1282" w:type="dxa"/>
            <w:vAlign w:val="center"/>
          </w:tcPr>
          <w:p w14:paraId="189F16D7"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2A3C078E"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5BFA9712"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37826821"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01A19A69" w14:textId="77777777" w:rsidTr="006570CF">
        <w:trPr>
          <w:gridAfter w:val="1"/>
          <w:wAfter w:w="13" w:type="dxa"/>
        </w:trPr>
        <w:tc>
          <w:tcPr>
            <w:tcW w:w="456" w:type="dxa"/>
          </w:tcPr>
          <w:p w14:paraId="06A977F2"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55</w:t>
            </w:r>
          </w:p>
        </w:tc>
        <w:tc>
          <w:tcPr>
            <w:tcW w:w="4006" w:type="dxa"/>
          </w:tcPr>
          <w:p w14:paraId="2E6B2A86"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 xml:space="preserve">Сталкивались ли Вы с проблемами в уходе за </w:t>
            </w:r>
            <w:proofErr w:type="spellStart"/>
            <w:r w:rsidRPr="008312FB">
              <w:rPr>
                <w:rFonts w:ascii="Times New Roman" w:hAnsi="Times New Roman"/>
              </w:rPr>
              <w:t>стомой</w:t>
            </w:r>
            <w:proofErr w:type="spellEnd"/>
            <w:r w:rsidRPr="008312FB">
              <w:rPr>
                <w:rFonts w:ascii="Times New Roman" w:hAnsi="Times New Roman"/>
              </w:rPr>
              <w:t>?</w:t>
            </w:r>
          </w:p>
        </w:tc>
        <w:tc>
          <w:tcPr>
            <w:tcW w:w="1282" w:type="dxa"/>
            <w:vAlign w:val="center"/>
          </w:tcPr>
          <w:p w14:paraId="604B2594"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3DED82DF"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5BC27243"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4DA65898"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29DA3EB0" w14:textId="77777777" w:rsidTr="006570CF">
        <w:trPr>
          <w:gridAfter w:val="1"/>
          <w:wAfter w:w="13" w:type="dxa"/>
        </w:trPr>
        <w:tc>
          <w:tcPr>
            <w:tcW w:w="9628" w:type="dxa"/>
            <w:gridSpan w:val="8"/>
            <w:tcBorders>
              <w:bottom w:val="single" w:sz="4" w:space="0" w:color="auto"/>
            </w:tcBorders>
          </w:tcPr>
          <w:p w14:paraId="2FAD63CB" w14:textId="77777777" w:rsidR="00403127" w:rsidRPr="008312FB" w:rsidRDefault="00403127" w:rsidP="00094F6F">
            <w:pPr>
              <w:spacing w:after="0" w:line="240" w:lineRule="auto"/>
              <w:rPr>
                <w:rFonts w:ascii="Times New Roman" w:hAnsi="Times New Roman"/>
              </w:rPr>
            </w:pPr>
            <w:r w:rsidRPr="008312FB">
              <w:rPr>
                <w:rFonts w:ascii="Times New Roman" w:hAnsi="Times New Roman"/>
              </w:rPr>
              <w:t>Пожалуйста, ответьте на эти вопросы, ТОЛЬКО ЕСЛИ У ВАС НЕТ КАЛОПРИЕМНИКА</w:t>
            </w:r>
          </w:p>
        </w:tc>
      </w:tr>
      <w:tr w:rsidR="00403127" w:rsidRPr="008312FB" w14:paraId="75330133" w14:textId="77777777" w:rsidTr="006570CF">
        <w:trPr>
          <w:gridAfter w:val="1"/>
          <w:wAfter w:w="13" w:type="dxa"/>
        </w:trPr>
        <w:tc>
          <w:tcPr>
            <w:tcW w:w="456" w:type="dxa"/>
            <w:tcBorders>
              <w:bottom w:val="single" w:sz="4" w:space="0" w:color="auto"/>
            </w:tcBorders>
          </w:tcPr>
          <w:p w14:paraId="34A3A00C"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49</w:t>
            </w:r>
          </w:p>
        </w:tc>
        <w:tc>
          <w:tcPr>
            <w:tcW w:w="4006" w:type="dxa"/>
            <w:tcBorders>
              <w:bottom w:val="single" w:sz="4" w:space="0" w:color="auto"/>
            </w:tcBorders>
          </w:tcPr>
          <w:p w14:paraId="043FADBD"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Были ли у Вас случаи неконтролируемого отхождения газа/метеоризм из заднего прохода?</w:t>
            </w:r>
          </w:p>
        </w:tc>
        <w:tc>
          <w:tcPr>
            <w:tcW w:w="1282" w:type="dxa"/>
            <w:tcBorders>
              <w:bottom w:val="single" w:sz="4" w:space="0" w:color="auto"/>
            </w:tcBorders>
            <w:vAlign w:val="center"/>
          </w:tcPr>
          <w:p w14:paraId="19F8DE6D"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tcBorders>
              <w:bottom w:val="single" w:sz="4" w:space="0" w:color="auto"/>
            </w:tcBorders>
            <w:vAlign w:val="center"/>
          </w:tcPr>
          <w:p w14:paraId="7B79C49D"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tcBorders>
              <w:bottom w:val="single" w:sz="4" w:space="0" w:color="auto"/>
            </w:tcBorders>
            <w:vAlign w:val="center"/>
          </w:tcPr>
          <w:p w14:paraId="0978A866"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tcBorders>
              <w:bottom w:val="single" w:sz="4" w:space="0" w:color="auto"/>
            </w:tcBorders>
            <w:vAlign w:val="center"/>
          </w:tcPr>
          <w:p w14:paraId="74E0F564"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7CDDA6E5" w14:textId="77777777" w:rsidTr="006570CF">
        <w:trPr>
          <w:gridAfter w:val="1"/>
          <w:wAfter w:w="13" w:type="dxa"/>
        </w:trPr>
        <w:tc>
          <w:tcPr>
            <w:tcW w:w="456" w:type="dxa"/>
          </w:tcPr>
          <w:p w14:paraId="09156A59"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50</w:t>
            </w:r>
          </w:p>
        </w:tc>
        <w:tc>
          <w:tcPr>
            <w:tcW w:w="4006" w:type="dxa"/>
          </w:tcPr>
          <w:p w14:paraId="159D9D1E"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Были ли у Вас случаи неконтролируемого опорожнения кишечника?</w:t>
            </w:r>
          </w:p>
        </w:tc>
        <w:tc>
          <w:tcPr>
            <w:tcW w:w="1282" w:type="dxa"/>
            <w:vAlign w:val="center"/>
          </w:tcPr>
          <w:p w14:paraId="5AA157FF"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7AB9B224"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40F40D7C"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6DB61201"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5D0C7253" w14:textId="77777777" w:rsidTr="006570CF">
        <w:trPr>
          <w:gridAfter w:val="1"/>
          <w:wAfter w:w="13" w:type="dxa"/>
        </w:trPr>
        <w:tc>
          <w:tcPr>
            <w:tcW w:w="456" w:type="dxa"/>
          </w:tcPr>
          <w:p w14:paraId="5E58AD2E"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51</w:t>
            </w:r>
          </w:p>
        </w:tc>
        <w:tc>
          <w:tcPr>
            <w:tcW w:w="4006" w:type="dxa"/>
          </w:tcPr>
          <w:p w14:paraId="0AF89FA5"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Воспалялась ли у Вас кожа вокруг заднего прохода?</w:t>
            </w:r>
          </w:p>
        </w:tc>
        <w:tc>
          <w:tcPr>
            <w:tcW w:w="1282" w:type="dxa"/>
            <w:vAlign w:val="center"/>
          </w:tcPr>
          <w:p w14:paraId="7F113FEC"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53CE4FC6"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2CD72F54"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563F7F88"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17F2610B" w14:textId="77777777" w:rsidTr="006570CF">
        <w:trPr>
          <w:gridAfter w:val="1"/>
          <w:wAfter w:w="13" w:type="dxa"/>
        </w:trPr>
        <w:tc>
          <w:tcPr>
            <w:tcW w:w="456" w:type="dxa"/>
          </w:tcPr>
          <w:p w14:paraId="418AC5E6"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52</w:t>
            </w:r>
          </w:p>
        </w:tc>
        <w:tc>
          <w:tcPr>
            <w:tcW w:w="4006" w:type="dxa"/>
          </w:tcPr>
          <w:p w14:paraId="03D6EA0A"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Были ли случаи частого испражнения в течение дня?</w:t>
            </w:r>
          </w:p>
        </w:tc>
        <w:tc>
          <w:tcPr>
            <w:tcW w:w="1282" w:type="dxa"/>
            <w:vAlign w:val="center"/>
          </w:tcPr>
          <w:p w14:paraId="66DD412C"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511A1006"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6FE58441"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530F95CB"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3CF2E57A" w14:textId="77777777" w:rsidTr="006570CF">
        <w:trPr>
          <w:gridAfter w:val="1"/>
          <w:wAfter w:w="13" w:type="dxa"/>
        </w:trPr>
        <w:tc>
          <w:tcPr>
            <w:tcW w:w="456" w:type="dxa"/>
          </w:tcPr>
          <w:p w14:paraId="4881A3BC"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53</w:t>
            </w:r>
          </w:p>
        </w:tc>
        <w:tc>
          <w:tcPr>
            <w:tcW w:w="4006" w:type="dxa"/>
          </w:tcPr>
          <w:p w14:paraId="30733ABD"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Были ли случаи частого испражнения в течение ночи?</w:t>
            </w:r>
          </w:p>
        </w:tc>
        <w:tc>
          <w:tcPr>
            <w:tcW w:w="1282" w:type="dxa"/>
            <w:vAlign w:val="center"/>
          </w:tcPr>
          <w:p w14:paraId="4FA13D86"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77C227DA"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6E7FBECB"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35C76177"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6E53A7A6" w14:textId="77777777" w:rsidTr="006570CF">
        <w:trPr>
          <w:gridAfter w:val="1"/>
          <w:wAfter w:w="13" w:type="dxa"/>
        </w:trPr>
        <w:tc>
          <w:tcPr>
            <w:tcW w:w="456" w:type="dxa"/>
          </w:tcPr>
          <w:p w14:paraId="4D5A4B97"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54</w:t>
            </w:r>
          </w:p>
        </w:tc>
        <w:tc>
          <w:tcPr>
            <w:tcW w:w="4006" w:type="dxa"/>
          </w:tcPr>
          <w:p w14:paraId="1C12CAA1"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Испытывали ли Вы стеснения из-за необходимости частых испражнений?</w:t>
            </w:r>
          </w:p>
        </w:tc>
        <w:tc>
          <w:tcPr>
            <w:tcW w:w="1282" w:type="dxa"/>
            <w:vAlign w:val="center"/>
          </w:tcPr>
          <w:p w14:paraId="17F4561C"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13983EED"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52B2B9E7"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2D92A86A"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6E4E0E32" w14:textId="77777777" w:rsidTr="006570CF">
        <w:trPr>
          <w:gridAfter w:val="1"/>
          <w:wAfter w:w="13" w:type="dxa"/>
        </w:trPr>
        <w:tc>
          <w:tcPr>
            <w:tcW w:w="4462" w:type="dxa"/>
            <w:gridSpan w:val="2"/>
          </w:tcPr>
          <w:p w14:paraId="1A536D8A"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За последний месяц:</w:t>
            </w:r>
          </w:p>
        </w:tc>
        <w:tc>
          <w:tcPr>
            <w:tcW w:w="1282" w:type="dxa"/>
            <w:vAlign w:val="center"/>
          </w:tcPr>
          <w:p w14:paraId="0D9DFFB5"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Нет,</w:t>
            </w:r>
          </w:p>
          <w:p w14:paraId="01677B8E" w14:textId="77777777" w:rsidR="00403127" w:rsidRPr="008312FB" w:rsidRDefault="00403127" w:rsidP="00094F6F">
            <w:pPr>
              <w:spacing w:after="0" w:line="240" w:lineRule="auto"/>
              <w:jc w:val="center"/>
              <w:rPr>
                <w:rFonts w:ascii="Times New Roman" w:hAnsi="Times New Roman"/>
              </w:rPr>
            </w:pPr>
            <w:proofErr w:type="gramStart"/>
            <w:r w:rsidRPr="008312FB">
              <w:rPr>
                <w:rFonts w:ascii="Times New Roman" w:hAnsi="Times New Roman"/>
              </w:rPr>
              <w:t>нисколько</w:t>
            </w:r>
            <w:proofErr w:type="gramEnd"/>
          </w:p>
        </w:tc>
        <w:tc>
          <w:tcPr>
            <w:tcW w:w="1153" w:type="dxa"/>
            <w:gridSpan w:val="2"/>
            <w:vAlign w:val="center"/>
          </w:tcPr>
          <w:p w14:paraId="79FB9DEC"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Немного</w:t>
            </w:r>
          </w:p>
        </w:tc>
        <w:tc>
          <w:tcPr>
            <w:tcW w:w="1211" w:type="dxa"/>
            <w:vAlign w:val="center"/>
          </w:tcPr>
          <w:p w14:paraId="44E64E70"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Довольно</w:t>
            </w:r>
          </w:p>
          <w:p w14:paraId="525BECB0" w14:textId="77777777" w:rsidR="00403127" w:rsidRPr="008312FB" w:rsidRDefault="00403127" w:rsidP="00094F6F">
            <w:pPr>
              <w:spacing w:after="0" w:line="240" w:lineRule="auto"/>
              <w:jc w:val="center"/>
              <w:rPr>
                <w:rFonts w:ascii="Times New Roman" w:hAnsi="Times New Roman"/>
              </w:rPr>
            </w:pPr>
            <w:proofErr w:type="gramStart"/>
            <w:r w:rsidRPr="008312FB">
              <w:rPr>
                <w:rFonts w:ascii="Times New Roman" w:hAnsi="Times New Roman"/>
              </w:rPr>
              <w:t>сильно</w:t>
            </w:r>
            <w:proofErr w:type="gramEnd"/>
          </w:p>
        </w:tc>
        <w:tc>
          <w:tcPr>
            <w:tcW w:w="1520" w:type="dxa"/>
            <w:gridSpan w:val="2"/>
            <w:vAlign w:val="center"/>
          </w:tcPr>
          <w:p w14:paraId="2B93F926"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Очень</w:t>
            </w:r>
          </w:p>
          <w:p w14:paraId="66C9FF25" w14:textId="77777777" w:rsidR="00403127" w:rsidRPr="008312FB" w:rsidRDefault="00403127" w:rsidP="00094F6F">
            <w:pPr>
              <w:spacing w:after="0" w:line="240" w:lineRule="auto"/>
              <w:jc w:val="center"/>
              <w:rPr>
                <w:rFonts w:ascii="Times New Roman" w:hAnsi="Times New Roman"/>
              </w:rPr>
            </w:pPr>
            <w:proofErr w:type="gramStart"/>
            <w:r w:rsidRPr="008312FB">
              <w:rPr>
                <w:rFonts w:ascii="Times New Roman" w:hAnsi="Times New Roman"/>
              </w:rPr>
              <w:t>сильно</w:t>
            </w:r>
            <w:proofErr w:type="gramEnd"/>
          </w:p>
        </w:tc>
      </w:tr>
      <w:tr w:rsidR="00403127" w:rsidRPr="008312FB" w14:paraId="2AA8E2D8" w14:textId="77777777" w:rsidTr="006570CF">
        <w:trPr>
          <w:gridAfter w:val="1"/>
          <w:wAfter w:w="13" w:type="dxa"/>
        </w:trPr>
        <w:tc>
          <w:tcPr>
            <w:tcW w:w="9628" w:type="dxa"/>
            <w:gridSpan w:val="8"/>
          </w:tcPr>
          <w:p w14:paraId="4383999D"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Только для мужчин:</w:t>
            </w:r>
          </w:p>
        </w:tc>
      </w:tr>
      <w:tr w:rsidR="00403127" w:rsidRPr="008312FB" w14:paraId="4DB81463" w14:textId="77777777" w:rsidTr="006570CF">
        <w:trPr>
          <w:gridAfter w:val="1"/>
          <w:wAfter w:w="13" w:type="dxa"/>
        </w:trPr>
        <w:tc>
          <w:tcPr>
            <w:tcW w:w="456" w:type="dxa"/>
          </w:tcPr>
          <w:p w14:paraId="2C1344E6"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56</w:t>
            </w:r>
          </w:p>
        </w:tc>
        <w:tc>
          <w:tcPr>
            <w:tcW w:w="4006" w:type="dxa"/>
          </w:tcPr>
          <w:p w14:paraId="7A46E984"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Насколько сильно Вы были заинтересованы</w:t>
            </w:r>
          </w:p>
          <w:p w14:paraId="0D79757A" w14:textId="77777777" w:rsidR="00403127" w:rsidRPr="008312FB" w:rsidRDefault="00403127" w:rsidP="00094F6F">
            <w:pPr>
              <w:spacing w:after="0" w:line="240" w:lineRule="auto"/>
              <w:jc w:val="both"/>
              <w:rPr>
                <w:rFonts w:ascii="Times New Roman" w:hAnsi="Times New Roman"/>
              </w:rPr>
            </w:pPr>
            <w:proofErr w:type="gramStart"/>
            <w:r w:rsidRPr="008312FB">
              <w:rPr>
                <w:rFonts w:ascii="Times New Roman" w:hAnsi="Times New Roman"/>
              </w:rPr>
              <w:t>в</w:t>
            </w:r>
            <w:proofErr w:type="gramEnd"/>
            <w:r w:rsidRPr="008312FB">
              <w:rPr>
                <w:rFonts w:ascii="Times New Roman" w:hAnsi="Times New Roman"/>
              </w:rPr>
              <w:t xml:space="preserve"> сексе?</w:t>
            </w:r>
          </w:p>
        </w:tc>
        <w:tc>
          <w:tcPr>
            <w:tcW w:w="1282" w:type="dxa"/>
            <w:vAlign w:val="center"/>
          </w:tcPr>
          <w:p w14:paraId="079C7B00"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192772E3"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196F37AC"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5AB786B8"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47A1A138" w14:textId="77777777" w:rsidTr="006570CF">
        <w:trPr>
          <w:gridAfter w:val="1"/>
          <w:wAfter w:w="13" w:type="dxa"/>
        </w:trPr>
        <w:tc>
          <w:tcPr>
            <w:tcW w:w="456" w:type="dxa"/>
          </w:tcPr>
          <w:p w14:paraId="29F3081C"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57</w:t>
            </w:r>
          </w:p>
        </w:tc>
        <w:tc>
          <w:tcPr>
            <w:tcW w:w="4006" w:type="dxa"/>
          </w:tcPr>
          <w:p w14:paraId="6B8AF475"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Были ли трудности с эрекцией?</w:t>
            </w:r>
          </w:p>
        </w:tc>
        <w:tc>
          <w:tcPr>
            <w:tcW w:w="1282" w:type="dxa"/>
            <w:vAlign w:val="center"/>
          </w:tcPr>
          <w:p w14:paraId="4CD127FC"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0EF7D594"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54C938E0"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4697C65C"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4C812C31" w14:textId="77777777" w:rsidTr="006570CF">
        <w:trPr>
          <w:gridAfter w:val="1"/>
          <w:wAfter w:w="13" w:type="dxa"/>
        </w:trPr>
        <w:tc>
          <w:tcPr>
            <w:tcW w:w="9628" w:type="dxa"/>
            <w:gridSpan w:val="8"/>
          </w:tcPr>
          <w:p w14:paraId="1EB2CD78"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lastRenderedPageBreak/>
              <w:t>Только для женщин:</w:t>
            </w:r>
          </w:p>
        </w:tc>
      </w:tr>
      <w:tr w:rsidR="00403127" w:rsidRPr="008312FB" w14:paraId="07442BA8" w14:textId="77777777" w:rsidTr="006570CF">
        <w:trPr>
          <w:gridAfter w:val="1"/>
          <w:wAfter w:w="13" w:type="dxa"/>
        </w:trPr>
        <w:tc>
          <w:tcPr>
            <w:tcW w:w="456" w:type="dxa"/>
          </w:tcPr>
          <w:p w14:paraId="1289251A"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58</w:t>
            </w:r>
          </w:p>
        </w:tc>
        <w:tc>
          <w:tcPr>
            <w:tcW w:w="4006" w:type="dxa"/>
          </w:tcPr>
          <w:p w14:paraId="32610CFF"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Насколько сильно Вы были заинтересованы в сексе?</w:t>
            </w:r>
          </w:p>
        </w:tc>
        <w:tc>
          <w:tcPr>
            <w:tcW w:w="1282" w:type="dxa"/>
            <w:vAlign w:val="center"/>
          </w:tcPr>
          <w:p w14:paraId="503C4F1A"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34B388B0"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668FA585"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2FCDDA80"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r w:rsidR="00403127" w:rsidRPr="008312FB" w14:paraId="114FD483" w14:textId="77777777" w:rsidTr="006570CF">
        <w:trPr>
          <w:gridAfter w:val="1"/>
          <w:wAfter w:w="13" w:type="dxa"/>
        </w:trPr>
        <w:tc>
          <w:tcPr>
            <w:tcW w:w="456" w:type="dxa"/>
          </w:tcPr>
          <w:p w14:paraId="5D4B86A0"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59</w:t>
            </w:r>
          </w:p>
        </w:tc>
        <w:tc>
          <w:tcPr>
            <w:tcW w:w="4006" w:type="dxa"/>
          </w:tcPr>
          <w:p w14:paraId="3578839D" w14:textId="77777777" w:rsidR="00403127" w:rsidRPr="008312FB" w:rsidRDefault="00403127" w:rsidP="00094F6F">
            <w:pPr>
              <w:spacing w:after="0" w:line="240" w:lineRule="auto"/>
              <w:jc w:val="both"/>
              <w:rPr>
                <w:rFonts w:ascii="Times New Roman" w:hAnsi="Times New Roman"/>
              </w:rPr>
            </w:pPr>
            <w:r w:rsidRPr="008312FB">
              <w:rPr>
                <w:rFonts w:ascii="Times New Roman" w:hAnsi="Times New Roman"/>
              </w:rPr>
              <w:t>Испытывали ли Вы дискомфорт или боль вовремя полового акта?</w:t>
            </w:r>
          </w:p>
        </w:tc>
        <w:tc>
          <w:tcPr>
            <w:tcW w:w="1282" w:type="dxa"/>
            <w:vAlign w:val="center"/>
          </w:tcPr>
          <w:p w14:paraId="6B5DEF8E"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1</w:t>
            </w:r>
          </w:p>
        </w:tc>
        <w:tc>
          <w:tcPr>
            <w:tcW w:w="1153" w:type="dxa"/>
            <w:gridSpan w:val="2"/>
            <w:vAlign w:val="center"/>
          </w:tcPr>
          <w:p w14:paraId="0DBC0C68"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2</w:t>
            </w:r>
          </w:p>
        </w:tc>
        <w:tc>
          <w:tcPr>
            <w:tcW w:w="1211" w:type="dxa"/>
            <w:vAlign w:val="center"/>
          </w:tcPr>
          <w:p w14:paraId="0234A1F7"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3</w:t>
            </w:r>
          </w:p>
        </w:tc>
        <w:tc>
          <w:tcPr>
            <w:tcW w:w="1520" w:type="dxa"/>
            <w:gridSpan w:val="2"/>
            <w:vAlign w:val="center"/>
          </w:tcPr>
          <w:p w14:paraId="38362C57" w14:textId="77777777" w:rsidR="00403127" w:rsidRPr="008312FB" w:rsidRDefault="00403127" w:rsidP="00094F6F">
            <w:pPr>
              <w:spacing w:after="0" w:line="240" w:lineRule="auto"/>
              <w:jc w:val="center"/>
              <w:rPr>
                <w:rFonts w:ascii="Times New Roman" w:hAnsi="Times New Roman"/>
              </w:rPr>
            </w:pPr>
            <w:r w:rsidRPr="008312FB">
              <w:rPr>
                <w:rFonts w:ascii="Times New Roman" w:hAnsi="Times New Roman"/>
              </w:rPr>
              <w:t>4</w:t>
            </w:r>
          </w:p>
        </w:tc>
      </w:tr>
    </w:tbl>
    <w:p w14:paraId="3E9853F9" w14:textId="77777777" w:rsidR="00403127" w:rsidRPr="00903DE3" w:rsidRDefault="00403127" w:rsidP="00403127">
      <w:pPr>
        <w:spacing w:after="0" w:line="240" w:lineRule="auto"/>
        <w:jc w:val="both"/>
        <w:rPr>
          <w:rFonts w:ascii="Times New Roman" w:hAnsi="Times New Roman"/>
          <w:sz w:val="28"/>
          <w:szCs w:val="28"/>
        </w:rPr>
      </w:pPr>
    </w:p>
    <w:p w14:paraId="74DA3BA4" w14:textId="77777777" w:rsidR="00403127" w:rsidRPr="00903DE3" w:rsidRDefault="00094F6F" w:rsidP="00403127">
      <w:pPr>
        <w:spacing w:after="0" w:line="240" w:lineRule="auto"/>
        <w:ind w:firstLine="567"/>
        <w:jc w:val="both"/>
        <w:rPr>
          <w:rStyle w:val="author-sup-separator"/>
          <w:rFonts w:ascii="Times New Roman" w:hAnsi="Times New Roman"/>
          <w:color w:val="000000"/>
          <w:sz w:val="28"/>
          <w:szCs w:val="28"/>
          <w:shd w:val="clear" w:color="auto" w:fill="FFFFFF"/>
        </w:rPr>
      </w:pPr>
      <w:hyperlink r:id="rId22" w:history="1">
        <w:proofErr w:type="spellStart"/>
        <w:r w:rsidR="00403127" w:rsidRPr="00903DE3">
          <w:rPr>
            <w:rStyle w:val="af3"/>
            <w:rFonts w:ascii="Times New Roman" w:hAnsi="Times New Roman"/>
            <w:color w:val="000000"/>
            <w:sz w:val="28"/>
            <w:szCs w:val="28"/>
            <w:shd w:val="clear" w:color="auto" w:fill="FFFFFF"/>
          </w:rPr>
          <w:t>Theodoropoulos</w:t>
        </w:r>
        <w:proofErr w:type="spellEnd"/>
      </w:hyperlink>
      <w:r w:rsidR="00403127" w:rsidRPr="00903DE3">
        <w:rPr>
          <w:rStyle w:val="af3"/>
          <w:rFonts w:ascii="Times New Roman" w:hAnsi="Times New Roman"/>
          <w:color w:val="000000"/>
          <w:sz w:val="28"/>
          <w:szCs w:val="28"/>
          <w:shd w:val="clear" w:color="auto" w:fill="FFFFFF"/>
        </w:rPr>
        <w:t xml:space="preserve"> G.E.</w:t>
      </w:r>
      <w:r w:rsidR="00403127" w:rsidRPr="00903DE3">
        <w:rPr>
          <w:rFonts w:ascii="Times New Roman" w:hAnsi="Times New Roman"/>
          <w:color w:val="000000"/>
          <w:sz w:val="28"/>
          <w:szCs w:val="28"/>
        </w:rPr>
        <w:t xml:space="preserve"> и соавт</w:t>
      </w:r>
      <w:proofErr w:type="gramStart"/>
      <w:r w:rsidR="00403127" w:rsidRPr="00903DE3">
        <w:rPr>
          <w:rFonts w:ascii="Times New Roman" w:hAnsi="Times New Roman"/>
          <w:color w:val="000000"/>
          <w:sz w:val="28"/>
          <w:szCs w:val="28"/>
        </w:rPr>
        <w:t>. провели</w:t>
      </w:r>
      <w:proofErr w:type="gramEnd"/>
      <w:r w:rsidR="00403127" w:rsidRPr="00903DE3">
        <w:rPr>
          <w:rFonts w:ascii="Times New Roman" w:hAnsi="Times New Roman"/>
          <w:color w:val="000000"/>
          <w:sz w:val="28"/>
          <w:szCs w:val="28"/>
        </w:rPr>
        <w:t xml:space="preserve"> анализ анкет КЖ 289 больных после гемиколэктомии и резекции прямой кишки. КЖ </w:t>
      </w:r>
      <w:r w:rsidR="00403127" w:rsidRPr="00903DE3">
        <w:rPr>
          <w:rStyle w:val="author-sup-separator"/>
          <w:rFonts w:ascii="Times New Roman" w:hAnsi="Times New Roman"/>
          <w:color w:val="000000"/>
          <w:sz w:val="28"/>
          <w:szCs w:val="28"/>
          <w:shd w:val="clear" w:color="auto" w:fill="FFFFFF"/>
        </w:rPr>
        <w:t xml:space="preserve">оценивалось через 3, 6, 12 месяцев после операции. Результаты показали низкие функциональные шкалы у молодых женщин, которые по мнению авторов больше подвержены развитию гастроинтестинальных осложнений после операции. Симптоматические шкалы «диарея», «констипация», «неконтролируемая дефекация» показали высокий уровень в первые 6 месяцев после операции </w:t>
      </w:r>
      <w:r w:rsidR="00403127" w:rsidRPr="00903DE3">
        <w:rPr>
          <w:rStyle w:val="author-sup-separator"/>
          <w:rFonts w:ascii="Times New Roman" w:hAnsi="Times New Roman"/>
          <w:color w:val="000000"/>
          <w:sz w:val="28"/>
          <w:szCs w:val="28"/>
          <w:shd w:val="clear" w:color="auto" w:fill="FFFFFF"/>
        </w:rPr>
        <w:fldChar w:fldCharType="begin"/>
      </w:r>
      <w:r w:rsidR="00403127" w:rsidRPr="00903DE3">
        <w:rPr>
          <w:rStyle w:val="author-sup-separator"/>
          <w:rFonts w:ascii="Times New Roman" w:hAnsi="Times New Roman"/>
          <w:color w:val="000000"/>
          <w:sz w:val="28"/>
          <w:szCs w:val="28"/>
          <w:shd w:val="clear" w:color="auto" w:fill="FFFFFF"/>
        </w:rPr>
        <w:instrText xml:space="preserve"> ADDIN ZOTERO_ITEM CSL_CITATION {"citationID":"a2adhgk44c5","properties":{"formattedCitation":"[118]","plainCitation":"[118]","noteIndex":0},"citationItems":[{"id":285,"uris":["http://zotero.org/users/7388323/items/DENKWDSB"],"uri":["http://zotero.org/users/7388323/items/DENKWDSB"],"itemData":{"id":285,"type":"article-journal","abstract":"BACKGROUND: Anatomical changes after intestinal resection and the effects of adjuvant treatment for colorectal cancer may lead to gastrointestinal disturbances. The aim of our study was to assess gastrointestinal function using validated health-related quality of life (HRQoL) questionnaires that are able to reliably quantify patients' symptoms.\nMETHODS: Two hundred and eighty-nine colorectal cancer patients underwent HRQoL assessment preoperatively and at 3,6 and 12 months postoperatively. They were evaluated with the Gastrointestinal Quality of Life Index (GIQLI) [\"global\" and \"symptoms\" scales and questions 3 (\"bloating\"), 4 (\"excessive gas\"), 6 (\"gurgling noises\"), 7 (\"frequent bowel movements (BMs)\"), 30 (\"urgent BMs\"), 31 (\"diarrhea\"), 32 (\"constipation\"), 36 (\"uncontrolled stools\")] and the European Organization for Research and Treatment of Cancer (EORTC) modules QLQ-C30 (symptom scales: \"constipation\" and \"diarrhea\") and QLQ-CR29 (symptom scales: \"defecation problems,\" \"incontinence,\" and \"bloating\").\nRESULTS: GIQLI \"global\" and \"symptom\" indices and the majority of single-item scores and the EORTC QLQ-C30 \"constipation\" and \"diarrhea\" subscales showed significant postoperative improvement (p &lt; 0.05). Females and younger age (&lt;70 years) patients appeared to have worse postoperative gastrointestinal function. Rectal cancer patients had more \"urgent BMs,\" \"uncontrolled stools\" and worse \"global\" and \"symptom\" scores at 3 months and more \"diarrhea\" at 3 and 6 months than colon cancer patients (p &lt; 0.03). Right colectomy patients had less \"excessive passage of gas,\" \"constipation,\" and \"uncontrolled stools\" than left colectomy patients (3 months, p &lt; 0.01). Anterior resection patients faced more gastrointestinal difficulties, especially in the first 6 months after surgery. Adverse effects related to stage and adjuvant treatment were predominant only at baseline (p &lt; 0.05). GIQLI \"diarrhea\" and \"constipation\" scores were correlated with the respective EORTC QLQ-C30 domains (p = 0.0001).\nCONCLUSIONS: Overall, gastrointestinal function is improved after colorectal cancer surgery. However, women and younger patients are at higher risk of postoperative gastrointestinal dysfunction.","container-title":"Techniques in Coloproctology","DOI":"10.1007/s10151-013-1008-9","ISSN":"1128-045X","issue":"5","journalAbbreviation":"Tech Coloproctol","language":"eng","note":"PMID: 23605189","page":"525-536","source":"PubMed","title":"Post-colectomy assessment of gastrointestinal function: a prospective study on colorectal cancer patients","title-short":"Post-colectomy assessment of gastrointestinal function","volume":"17","author":[{"family":"Theodoropoulos","given":"G. E."},{"family":"Papanikolaou","given":"I. G."},{"family":"Karantanos","given":"T."},{"family":"Zografos","given":"G."}],"issued":{"date-parts":[["2013",10]]}}}],"schema":"https://github.com/citation-style-language/schema/raw/master/csl-citation.json"} </w:instrText>
      </w:r>
      <w:r w:rsidR="00403127" w:rsidRPr="00903DE3">
        <w:rPr>
          <w:rStyle w:val="author-sup-separator"/>
          <w:rFonts w:ascii="Times New Roman" w:hAnsi="Times New Roman"/>
          <w:color w:val="000000"/>
          <w:sz w:val="28"/>
          <w:szCs w:val="28"/>
          <w:shd w:val="clear" w:color="auto" w:fill="FFFFFF"/>
        </w:rPr>
        <w:fldChar w:fldCharType="separate"/>
      </w:r>
      <w:r w:rsidR="00403127" w:rsidRPr="00903DE3">
        <w:rPr>
          <w:rFonts w:ascii="Times New Roman" w:hAnsi="Times New Roman"/>
          <w:sz w:val="28"/>
          <w:szCs w:val="28"/>
        </w:rPr>
        <w:t>[155]</w:t>
      </w:r>
      <w:r w:rsidR="00403127" w:rsidRPr="00903DE3">
        <w:rPr>
          <w:rStyle w:val="author-sup-separator"/>
          <w:rFonts w:ascii="Times New Roman" w:hAnsi="Times New Roman"/>
          <w:color w:val="000000"/>
          <w:sz w:val="28"/>
          <w:szCs w:val="28"/>
          <w:shd w:val="clear" w:color="auto" w:fill="FFFFFF"/>
        </w:rPr>
        <w:fldChar w:fldCharType="end"/>
      </w:r>
      <w:r w:rsidR="00403127" w:rsidRPr="00903DE3">
        <w:rPr>
          <w:rStyle w:val="author-sup-separator"/>
          <w:rFonts w:ascii="Times New Roman" w:hAnsi="Times New Roman"/>
          <w:color w:val="000000"/>
          <w:sz w:val="28"/>
          <w:szCs w:val="28"/>
          <w:shd w:val="clear" w:color="auto" w:fill="FFFFFF"/>
        </w:rPr>
        <w:t>.</w:t>
      </w:r>
    </w:p>
    <w:p w14:paraId="732EE7A7" w14:textId="77777777" w:rsidR="00403127" w:rsidRPr="00903DE3" w:rsidRDefault="00403127" w:rsidP="00403127">
      <w:pPr>
        <w:spacing w:after="0" w:line="240" w:lineRule="auto"/>
        <w:ind w:firstLine="567"/>
        <w:jc w:val="both"/>
        <w:rPr>
          <w:rFonts w:ascii="Times New Roman" w:hAnsi="Times New Roman"/>
          <w:color w:val="000000"/>
          <w:sz w:val="28"/>
          <w:szCs w:val="28"/>
          <w:shd w:val="clear" w:color="auto" w:fill="FFFFFF"/>
        </w:rPr>
      </w:pPr>
      <w:proofErr w:type="spellStart"/>
      <w:r w:rsidRPr="00903DE3">
        <w:rPr>
          <w:rFonts w:ascii="Times New Roman" w:hAnsi="Times New Roman"/>
          <w:sz w:val="28"/>
          <w:szCs w:val="28"/>
        </w:rPr>
        <w:t>Seow‐En</w:t>
      </w:r>
      <w:proofErr w:type="spellEnd"/>
      <w:r w:rsidRPr="00903DE3">
        <w:rPr>
          <w:rStyle w:val="author-sup-separator"/>
          <w:rFonts w:ascii="Times New Roman" w:hAnsi="Times New Roman"/>
          <w:color w:val="000000"/>
          <w:sz w:val="28"/>
          <w:szCs w:val="28"/>
          <w:shd w:val="clear" w:color="auto" w:fill="FFFFFF"/>
        </w:rPr>
        <w:t xml:space="preserve"> и </w:t>
      </w:r>
      <w:proofErr w:type="spellStart"/>
      <w:r w:rsidRPr="00903DE3">
        <w:rPr>
          <w:rStyle w:val="author-sup-separator"/>
          <w:rFonts w:ascii="Times New Roman" w:hAnsi="Times New Roman"/>
          <w:color w:val="000000"/>
          <w:sz w:val="28"/>
          <w:szCs w:val="28"/>
          <w:shd w:val="clear" w:color="auto" w:fill="FFFFFF"/>
        </w:rPr>
        <w:t>др</w:t>
      </w:r>
      <w:proofErr w:type="spellEnd"/>
      <w:r w:rsidRPr="00903DE3">
        <w:rPr>
          <w:rStyle w:val="author-sup-separator"/>
          <w:rFonts w:ascii="Times New Roman" w:hAnsi="Times New Roman"/>
          <w:color w:val="000000"/>
          <w:sz w:val="28"/>
          <w:szCs w:val="28"/>
          <w:shd w:val="clear" w:color="auto" w:fill="FFFFFF"/>
        </w:rPr>
        <w:t xml:space="preserve"> исследуя долгосрочное качество жизни, сексуальное здоровье и функция желудочно‐кишечного тракта после резекции колоректального рака в азиатской когорте выявили, что стадия опухоли значительно влияла на большинство показателей общего качества жизни </w:t>
      </w:r>
      <w:r w:rsidRPr="00903DE3">
        <w:rPr>
          <w:rStyle w:val="author-sup-separator"/>
          <w:rFonts w:ascii="Times New Roman" w:hAnsi="Times New Roman"/>
          <w:color w:val="000000"/>
          <w:sz w:val="28"/>
          <w:szCs w:val="28"/>
          <w:shd w:val="clear" w:color="auto" w:fill="FFFFFF"/>
        </w:rPr>
        <w:fldChar w:fldCharType="begin"/>
      </w:r>
      <w:r w:rsidRPr="00903DE3">
        <w:rPr>
          <w:rStyle w:val="author-sup-separator"/>
          <w:rFonts w:ascii="Times New Roman" w:hAnsi="Times New Roman"/>
          <w:color w:val="000000"/>
          <w:sz w:val="28"/>
          <w:szCs w:val="28"/>
          <w:shd w:val="clear" w:color="auto" w:fill="FFFFFF"/>
        </w:rPr>
        <w:instrText xml:space="preserve"> ADDIN ZOTERO_ITEM CSL_CITATION {"citationID":"a2adhgk44c5","properties":{"formattedCitation":"[118]","plainCitation":"[118]","noteIndex":0},"citationItems":[{"id":285,"uris":["http://zotero.org/users/7388323/items/DENKWDSB"],"uri":["http://zotero.org/users/7388323/items/DENKWDSB"],"itemData":{"id":285,"type":"article-journal","abstract":"BACKGROUND: Anatomical changes after intestinal resection and the effects of adjuvant treatment for colorectal cancer may lead to gastrointestinal disturbances. The aim of our study was to assess gastrointestinal function using validated health-related quality of life (HRQoL) questionnaires that are able to reliably quantify patients' symptoms.\nMETHODS: Two hundred and eighty-nine colorectal cancer patients underwent HRQoL assessment preoperatively and at 3,6 and 12 months postoperatively. They were evaluated with the Gastrointestinal Quality of Life Index (GIQLI) [\"global\" and \"symptoms\" scales and questions 3 (\"bloating\"), 4 (\"excessive gas\"), 6 (\"gurgling noises\"), 7 (\"frequent bowel movements (BMs)\"), 30 (\"urgent BMs\"), 31 (\"diarrhea\"), 32 (\"constipation\"), 36 (\"uncontrolled stools\")] and the European Organization for Research and Treatment of Cancer (EORTC) modules QLQ-C30 (symptom scales: \"constipation\" and \"diarrhea\") and QLQ-CR29 (symptom scales: \"defecation problems,\" \"incontinence,\" and \"bloating\").\nRESULTS: GIQLI \"global\" and \"symptom\" indices and the majority of single-item scores and the EORTC QLQ-C30 \"constipation\" and \"diarrhea\" subscales showed significant postoperative improvement (p &lt; 0.05). Females and younger age (&lt;70 years) patients appeared to have worse postoperative gastrointestinal function. Rectal cancer patients had more \"urgent BMs,\" \"uncontrolled stools\" and worse \"global\" and \"symptom\" scores at 3 months and more \"diarrhea\" at 3 and 6 months than colon cancer patients (p &lt; 0.03). Right colectomy patients had less \"excessive passage of gas,\" \"constipation,\" and \"uncontrolled stools\" than left colectomy patients (3 months, p &lt; 0.01). Anterior resection patients faced more gastrointestinal difficulties, especially in the first 6 months after surgery. Adverse effects related to stage and adjuvant treatment were predominant only at baseline (p &lt; 0.05). GIQLI \"diarrhea\" and \"constipation\" scores were correlated with the respective EORTC QLQ-C30 domains (p = 0.0001).\nCONCLUSIONS: Overall, gastrointestinal function is improved after colorectal cancer surgery. However, women and younger patients are at higher risk of postoperative gastrointestinal dysfunction.","container-title":"Techniques in Coloproctology","DOI":"10.1007/s10151-013-1008-9","ISSN":"1128-045X","issue":"5","journalAbbreviation":"Tech Coloproctol","language":"eng","note":"PMID: 23605189","page":"525-536","source":"PubMed","title":"Post-colectomy assessment of gastrointestinal function: a prospective study on colorectal cancer patients","title-short":"Post-colectomy assessment of gastrointestinal function","volume":"17","author":[{"family":"Theodoropoulos","given":"G. E."},{"family":"Papanikolaou","given":"I. G."},{"family":"Karantanos","given":"T."},{"family":"Zografos","given":"G."}],"issued":{"date-parts":[["2013",10]]}}}],"schema":"https://github.com/citation-style-language/schema/raw/master/csl-citation.json"} </w:instrText>
      </w:r>
      <w:r w:rsidRPr="00903DE3">
        <w:rPr>
          <w:rStyle w:val="author-sup-separator"/>
          <w:rFonts w:ascii="Times New Roman" w:hAnsi="Times New Roman"/>
          <w:color w:val="000000"/>
          <w:sz w:val="28"/>
          <w:szCs w:val="28"/>
          <w:shd w:val="clear" w:color="auto" w:fill="FFFFFF"/>
        </w:rPr>
        <w:fldChar w:fldCharType="separate"/>
      </w:r>
      <w:r w:rsidRPr="00903DE3">
        <w:rPr>
          <w:rFonts w:ascii="Times New Roman" w:hAnsi="Times New Roman"/>
          <w:sz w:val="28"/>
          <w:szCs w:val="28"/>
        </w:rPr>
        <w:t>[269]</w:t>
      </w:r>
      <w:r w:rsidRPr="00903DE3">
        <w:rPr>
          <w:rStyle w:val="author-sup-separator"/>
          <w:rFonts w:ascii="Times New Roman" w:hAnsi="Times New Roman"/>
          <w:color w:val="000000"/>
          <w:sz w:val="28"/>
          <w:szCs w:val="28"/>
          <w:shd w:val="clear" w:color="auto" w:fill="FFFFFF"/>
        </w:rPr>
        <w:fldChar w:fldCharType="end"/>
      </w:r>
      <w:r w:rsidRPr="00903DE3">
        <w:rPr>
          <w:rStyle w:val="author-sup-separator"/>
          <w:rFonts w:ascii="Times New Roman" w:hAnsi="Times New Roman"/>
          <w:color w:val="000000"/>
          <w:sz w:val="28"/>
          <w:szCs w:val="28"/>
          <w:shd w:val="clear" w:color="auto" w:fill="FFFFFF"/>
        </w:rPr>
        <w:t xml:space="preserve">. Примечательно, что пациенты с раком III стадии сообщили о лучших физических, когнитивных и общих показателях здоровья, а также о меньшей усталости по сравнению с пациентами с раком I и II стадии. Аналогичная тенденция наблюдалась и у пациентов, получавших </w:t>
      </w:r>
      <w:proofErr w:type="spellStart"/>
      <w:r w:rsidRPr="00903DE3">
        <w:rPr>
          <w:rStyle w:val="author-sup-separator"/>
          <w:rFonts w:ascii="Times New Roman" w:hAnsi="Times New Roman"/>
          <w:color w:val="000000"/>
          <w:sz w:val="28"/>
          <w:szCs w:val="28"/>
          <w:shd w:val="clear" w:color="auto" w:fill="FFFFFF"/>
        </w:rPr>
        <w:t>адъювантную</w:t>
      </w:r>
      <w:proofErr w:type="spellEnd"/>
      <w:r w:rsidRPr="00903DE3">
        <w:rPr>
          <w:rStyle w:val="author-sup-separator"/>
          <w:rFonts w:ascii="Times New Roman" w:hAnsi="Times New Roman"/>
          <w:color w:val="000000"/>
          <w:sz w:val="28"/>
          <w:szCs w:val="28"/>
          <w:shd w:val="clear" w:color="auto" w:fill="FFFFFF"/>
        </w:rPr>
        <w:t xml:space="preserve"> химиотерапию; эти пациенты испытывали улучшение физического, эмоционального, социального функционирования и меньшую усталость по сравнению с теми, кто не проходил химиотерапию. Мужчины показали положительные результаты по физическим и эмоциональным аспектам качества жизни по сравнению с женщинами, но хуже по ролевым, когнитивным и социальным аспектам функционирования. Наличие стомы неизменно ассоциировалось со снижением образа тела и снижением сексуального интереса [</w:t>
      </w:r>
      <w:r w:rsidRPr="00903DE3">
        <w:rPr>
          <w:rFonts w:ascii="Times New Roman" w:hAnsi="Times New Roman"/>
          <w:sz w:val="28"/>
          <w:szCs w:val="28"/>
        </w:rPr>
        <w:t>270, 271</w:t>
      </w:r>
      <w:r w:rsidRPr="00903DE3">
        <w:rPr>
          <w:rStyle w:val="author-sup-separator"/>
          <w:rFonts w:ascii="Times New Roman" w:hAnsi="Times New Roman"/>
          <w:color w:val="000000"/>
          <w:sz w:val="28"/>
          <w:szCs w:val="28"/>
          <w:shd w:val="clear" w:color="auto" w:fill="FFFFFF"/>
        </w:rPr>
        <w:t>], что может быть результатом основного заболевания или психосоциального воздействия стомы. Также было обнаружено, что выжившие после рака толстой кишки сообщают о более высоком уровне сексуальной дисфункции по сравнению с нормативной популяцией [</w:t>
      </w:r>
      <w:r w:rsidRPr="00903DE3">
        <w:rPr>
          <w:rFonts w:ascii="Times New Roman" w:hAnsi="Times New Roman"/>
          <w:sz w:val="28"/>
          <w:szCs w:val="28"/>
        </w:rPr>
        <w:t>272</w:t>
      </w:r>
      <w:r w:rsidRPr="00903DE3">
        <w:rPr>
          <w:rStyle w:val="author-sup-separator"/>
          <w:rFonts w:ascii="Times New Roman" w:hAnsi="Times New Roman"/>
          <w:color w:val="000000"/>
          <w:sz w:val="28"/>
          <w:szCs w:val="28"/>
          <w:shd w:val="clear" w:color="auto" w:fill="FFFFFF"/>
        </w:rPr>
        <w:t>], что может быть в меньшей степени результатом нарушения вегетативных нервов и более многофакторным по своей природе.</w:t>
      </w:r>
    </w:p>
    <w:p w14:paraId="6979F337" w14:textId="77777777" w:rsidR="00403127" w:rsidRPr="00903DE3" w:rsidRDefault="00403127" w:rsidP="00403127">
      <w:pPr>
        <w:spacing w:after="0" w:line="240" w:lineRule="auto"/>
        <w:ind w:firstLine="567"/>
        <w:jc w:val="both"/>
        <w:rPr>
          <w:rFonts w:ascii="Times New Roman" w:hAnsi="Times New Roman"/>
          <w:sz w:val="28"/>
          <w:szCs w:val="28"/>
        </w:rPr>
      </w:pPr>
      <w:proofErr w:type="spellStart"/>
      <w:r w:rsidRPr="00903DE3">
        <w:rPr>
          <w:rFonts w:ascii="Times New Roman" w:hAnsi="Times New Roman"/>
          <w:sz w:val="28"/>
          <w:szCs w:val="28"/>
        </w:rPr>
        <w:t>Hope</w:t>
      </w:r>
      <w:proofErr w:type="spellEnd"/>
      <w:r w:rsidRPr="00903DE3">
        <w:rPr>
          <w:rFonts w:ascii="Times New Roman" w:hAnsi="Times New Roman"/>
          <w:sz w:val="28"/>
          <w:szCs w:val="28"/>
        </w:rPr>
        <w:t xml:space="preserve"> и соавт</w:t>
      </w:r>
      <w:proofErr w:type="gramStart"/>
      <w:r w:rsidRPr="00903DE3">
        <w:rPr>
          <w:rFonts w:ascii="Times New Roman" w:hAnsi="Times New Roman"/>
          <w:sz w:val="28"/>
          <w:szCs w:val="28"/>
        </w:rPr>
        <w:t>. в</w:t>
      </w:r>
      <w:proofErr w:type="gramEnd"/>
      <w:r w:rsidRPr="00903DE3">
        <w:rPr>
          <w:rFonts w:ascii="Times New Roman" w:hAnsi="Times New Roman"/>
          <w:sz w:val="28"/>
          <w:szCs w:val="28"/>
        </w:rPr>
        <w:t xml:space="preserve"> 2020 году опубликовали систематический обзор (СО) по КЖ пациентов после правосторонней гемиколэктомии. В обзор включены исследования с января 2008 до декабря 2018 года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asu6q3m148","properties":{"formattedCitation":"[27]","plainCitation":"[27]","noteIndex":0},"citationItems":[{"id":872,"uris":["http://zotero.org/users/7388323/items/QWWVBLT9"],"uri":["http://zotero.org/users/7388323/items/QWWVBLT9"],"itemData":{"id":872,"type":"article-journal","abstract":"BACKGROUND: Right-sided cancer accounts for approximately 30% of bowel cancer in women and 22% in men. Colonic resection can cause changes in bowel function which affect daily activity. The aims are to assess the impact of right hemicolectomy for cancer on bowel function and to identify useful treatment modalities for managing bowel dysfunction after right hemicolectomy.\nMETHOD: The review was conducted in line with PRISMA. Eligible studies evaluated the impact of right hemicolectomy on bowel function in those treated for colorectal neoplasia or assessed the effect of surgical technique or other intervention on bowel function after right hemicolectomy. Right hemicolectomy for inflammatory bowel disease or benign cases only were excluded. Articles were limited to studies on human subjects written in English published between January 2008 and December 2018.\nRESULTS: The searches identified 7531 articles. Nine articles met the inclusion criteria, of which eight were cohort studies and one was a randomised trial. Loose stool, increased bowel frequency and/or nocturnal defaecation following right-sided colectomy occurs in approximately one in five patients. Some of these symptoms may improve spontaneously with time. Bile acid malabsorption and/or small bowel bacterial overgrowth may be the cause for chronic dysfunction. Some studies report that no or little difference in outcome between right-sided and rectal resections likely suggests poor function after right-sided resection.\nCONCLUSION: Right hemicolectomy can result in changes to bowel function. Patients should be counselled preoperatively, and follow-up should be designed to identify and effectively treat significantly altered bowel function.","container-title":"Supportive Care in Cancer: Official Journal of the Multinational Association of Supportive Care in Cancer","DOI":"10.1007/s00520-020-05519-5","ISSN":"1433-7339","issue":"10","journalAbbreviation":"Support Care Cancer","language":"eng","note":"PMID: 32430603\nPMCID: PMC7447648","page":"4549-4559","source":"PubMed","title":"Systematic review: the effect of right hemicolectomy for cancer on postoperative bowel function","title-short":"Systematic review","volume":"28","author":[{"family":"Hope","given":"C."},{"family":"Reilly","given":"J."},{"family":"Lund","given":"J."},{"family":"Andreyev","given":"Hjn"}],"issued":{"date-parts":[["2020",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[32]</w:t>
      </w:r>
      <w:r w:rsidRPr="00903DE3">
        <w:rPr>
          <w:rFonts w:ascii="Times New Roman" w:hAnsi="Times New Roman"/>
          <w:sz w:val="28"/>
          <w:szCs w:val="28"/>
        </w:rPr>
        <w:fldChar w:fldCharType="end"/>
      </w:r>
      <w:r w:rsidRPr="00903DE3">
        <w:rPr>
          <w:rFonts w:ascii="Times New Roman" w:hAnsi="Times New Roman"/>
          <w:sz w:val="28"/>
          <w:szCs w:val="28"/>
        </w:rPr>
        <w:t xml:space="preserve">. В общей сложности были рассмотрены 7531 исследование. В этом СО оценивалось влияние правосторонней гемиколэктомии на функцию кишечника. Использовались анкеты EORTC QLQ C30, </w:t>
      </w:r>
      <w:proofErr w:type="spellStart"/>
      <w:r w:rsidRPr="00903DE3">
        <w:rPr>
          <w:rFonts w:ascii="Times New Roman" w:hAnsi="Times New Roman"/>
          <w:sz w:val="28"/>
          <w:szCs w:val="28"/>
        </w:rPr>
        <w:t>Wexner</w:t>
      </w:r>
      <w:proofErr w:type="spellEnd"/>
      <w:r w:rsidRPr="00903DE3">
        <w:rPr>
          <w:rFonts w:ascii="Times New Roman" w:hAnsi="Times New Roman"/>
          <w:sz w:val="28"/>
          <w:szCs w:val="28"/>
        </w:rPr>
        <w:t xml:space="preserve">, SF-36. Частый жидкий стул и/или ночная дефекация после правосторонней гемиколэктомии происходит у каждого пятого пациента. Некоторые из этих симптомов могут со временем улучшиться самопроизвольно. Подтверждён факт неблагоприятного функционального исхода у больных после правосторонней гемиколэктомии и ректальной резекции. Нарушение функции кишечника негативно влияет на КЖ больных в реабилитационном периоде </w:t>
      </w:r>
      <w:r w:rsidRPr="00903DE3">
        <w:rPr>
          <w:rFonts w:ascii="Times New Roman" w:hAnsi="Times New Roman"/>
          <w:sz w:val="28"/>
          <w:szCs w:val="28"/>
        </w:rPr>
        <w:fldChar w:fldCharType="begin"/>
      </w:r>
      <w:r w:rsidRPr="00903DE3">
        <w:rPr>
          <w:rFonts w:ascii="Times New Roman" w:hAnsi="Times New Roman"/>
          <w:sz w:val="28"/>
          <w:szCs w:val="28"/>
        </w:rPr>
        <w:instrText xml:space="preserve"> ADDIN ZOTERO_ITEM CSL_CITATION {"citationID":"2szan4bY","properties":{"formattedCitation":"[27]","plainCitation":"[27]","noteIndex":0},"citationItems":[{"id":872,"uris":["http://zotero.org/users/7388323/items/QWWVBLT9"],"uri":["http://zotero.org/users/7388323/items/QWWVBLT9"],"itemData":{"id":872,"type":"article-journal","abstract":"BACKGROUND: Right-sided cancer accounts for approximately 30% of bowel cancer in women and 22% in men. Colonic resection can cause changes in bowel function which affect daily activity. The aims are to assess the impact of right hemicolectomy for cancer on bowel function and to identify useful treatment modalities for managing bowel dysfunction after right hemicolectomy.\nMETHOD: The review was conducted in line with PRISMA. Eligible studies evaluated the impact of right hemicolectomy on bowel function in those treated for colorectal neoplasia or assessed the effect of surgical technique or other intervention on bowel function after right hemicolectomy. Right hemicolectomy for inflammatory bowel disease or benign cases only were excluded. Articles were limited to studies on human subjects written in English published between January 2008 and December 2018.\nRESULTS: The searches identified 7531 articles. Nine articles met the inclusion criteria, of which eight were cohort studies and one was a randomised trial. Loose stool, increased bowel frequency and/or nocturnal defaecation following right-sided colectomy occurs in approximately one in five patients. Some of these symptoms may improve spontaneously with time. Bile acid malabsorption and/or small bowel bacterial overgrowth may be the cause for chronic dysfunction. Some studies report that no or little difference in outcome between right-sided and rectal resections likely suggests poor function after right-sided resection.\nCONCLUSION: Right hemicolectomy can result in changes to bowel function. Patients should be counselled preoperatively, and follow-up should be designed to identify and effectively treat significantly altered bowel function.","container-title":"Supportive Care in Cancer: Official Journal of the Multinational Association of Supportive Care in Cancer","DOI":"10.1007/s00520-020-05519-5","ISSN":"1433-7339","issue":"10","journalAbbreviation":"Support Care Cancer","language":"eng","note":"PMID: 32430603\nPMCID: PMC7447648","page":"4549-4559","source":"PubMed","title":"Systematic review: the effect of right hemicolectomy for cancer on postoperative bowel function","title-short":"Systematic review","volume":"28","author":[{"family":"Hope","given":"C."},{"family":"Reilly","given":"J."},{"family":"Lund","given":"J."},{"family":"Andreyev","given":"Hjn"}],"issued":{"date-parts":[["2020",10]]}}}],"schema":"https://github.com/citation-style-language/schema/raw/master/csl-citation.json"} </w:instrText>
      </w:r>
      <w:r w:rsidRPr="00903DE3">
        <w:rPr>
          <w:rFonts w:ascii="Times New Roman" w:hAnsi="Times New Roman"/>
          <w:sz w:val="28"/>
          <w:szCs w:val="28"/>
        </w:rPr>
        <w:fldChar w:fldCharType="separate"/>
      </w:r>
      <w:r w:rsidRPr="00903DE3">
        <w:rPr>
          <w:rFonts w:ascii="Times New Roman" w:hAnsi="Times New Roman"/>
          <w:sz w:val="28"/>
          <w:szCs w:val="28"/>
        </w:rPr>
        <w:t>[32]</w:t>
      </w:r>
      <w:r w:rsidRPr="00903DE3">
        <w:rPr>
          <w:rFonts w:ascii="Times New Roman" w:hAnsi="Times New Roman"/>
          <w:sz w:val="28"/>
          <w:szCs w:val="28"/>
        </w:rPr>
        <w:fldChar w:fldCharType="end"/>
      </w:r>
      <w:r w:rsidRPr="00903DE3">
        <w:rPr>
          <w:rFonts w:ascii="Times New Roman" w:hAnsi="Times New Roman"/>
          <w:sz w:val="28"/>
          <w:szCs w:val="28"/>
        </w:rPr>
        <w:t>.</w:t>
      </w:r>
    </w:p>
    <w:p w14:paraId="0674876F" w14:textId="77777777" w:rsidR="00403127" w:rsidRPr="00903DE3" w:rsidRDefault="00403127" w:rsidP="00403127">
      <w:pPr>
        <w:spacing w:after="0" w:line="240" w:lineRule="auto"/>
        <w:ind w:firstLine="567"/>
        <w:jc w:val="both"/>
        <w:rPr>
          <w:rFonts w:ascii="Times New Roman" w:hAnsi="Times New Roman"/>
          <w:sz w:val="28"/>
          <w:szCs w:val="28"/>
        </w:rPr>
      </w:pPr>
      <w:r w:rsidRPr="00903DE3">
        <w:rPr>
          <w:rFonts w:ascii="Times New Roman" w:hAnsi="Times New Roman"/>
          <w:sz w:val="28"/>
          <w:szCs w:val="28"/>
        </w:rPr>
        <w:lastRenderedPageBreak/>
        <w:t>Таким образом, отсутствие исследовательских работ по определению КЖ и алгоритма реабилитации пациентов после радикальных операции по поводу рака ободочной кишки в Казахстане, а также рекомендации ведущих организаций по исследованию и лечению рака о необходимости индивидуального многогранного мониторинга пациентов после радикальных операции по поводу рака ободочной кишки формирует актуальность и необходимость проведения данного исследования.</w:t>
      </w:r>
    </w:p>
    <w:p w14:paraId="461D17AD" w14:textId="4EE8DC37" w:rsidR="00403127" w:rsidRDefault="00403127">
      <w:pPr>
        <w:spacing w:after="160" w:line="259" w:lineRule="auto"/>
      </w:pPr>
      <w:r>
        <w:br w:type="page"/>
      </w:r>
    </w:p>
    <w:p w14:paraId="4FFB8F61" w14:textId="77777777" w:rsidR="005C199B" w:rsidRPr="00145B66" w:rsidRDefault="005C199B" w:rsidP="005C199B">
      <w:pPr>
        <w:widowControl w:val="0"/>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hAnsi="Times New Roman"/>
          <w:b/>
          <w:bCs/>
          <w:sz w:val="28"/>
          <w:szCs w:val="28"/>
        </w:rPr>
      </w:pPr>
      <w:bookmarkStart w:id="30" w:name="_Hlk104368888"/>
      <w:bookmarkEnd w:id="30"/>
      <w:r w:rsidRPr="00145B66">
        <w:rPr>
          <w:rFonts w:ascii="Times New Roman" w:hAnsi="Times New Roman"/>
          <w:b/>
          <w:bCs/>
          <w:sz w:val="28"/>
          <w:szCs w:val="28"/>
        </w:rPr>
        <w:lastRenderedPageBreak/>
        <w:t>2</w:t>
      </w:r>
      <w:r>
        <w:rPr>
          <w:rFonts w:ascii="Times New Roman" w:hAnsi="Times New Roman"/>
          <w:sz w:val="28"/>
          <w:szCs w:val="28"/>
        </w:rPr>
        <w:t> </w:t>
      </w:r>
      <w:r w:rsidRPr="00145B66">
        <w:rPr>
          <w:rFonts w:ascii="Times New Roman" w:hAnsi="Times New Roman"/>
          <w:b/>
          <w:bCs/>
          <w:sz w:val="28"/>
          <w:szCs w:val="28"/>
        </w:rPr>
        <w:t>МАТЕРИАЛЫ И МЕТОДЫ ИССЛЕДОВАНИЯ</w:t>
      </w:r>
    </w:p>
    <w:p w14:paraId="00B85E53" w14:textId="77777777" w:rsidR="005C199B" w:rsidRPr="00145B66" w:rsidRDefault="005C199B" w:rsidP="005C199B">
      <w:pPr>
        <w:widowControl w:val="0"/>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hAnsi="Times New Roman"/>
          <w:b/>
          <w:bCs/>
          <w:sz w:val="28"/>
          <w:szCs w:val="28"/>
        </w:rPr>
      </w:pPr>
    </w:p>
    <w:p w14:paraId="3C0740B6" w14:textId="77777777" w:rsidR="005C199B" w:rsidRPr="00145B66" w:rsidRDefault="005C199B" w:rsidP="005C199B">
      <w:pPr>
        <w:widowControl w:val="0"/>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hAnsi="Times New Roman"/>
          <w:b/>
          <w:bCs/>
          <w:sz w:val="28"/>
          <w:szCs w:val="28"/>
        </w:rPr>
      </w:pPr>
      <w:r w:rsidRPr="00145B66">
        <w:rPr>
          <w:rFonts w:ascii="Times New Roman" w:hAnsi="Times New Roman"/>
          <w:b/>
          <w:bCs/>
          <w:sz w:val="28"/>
          <w:szCs w:val="28"/>
        </w:rPr>
        <w:t>2.1</w:t>
      </w:r>
      <w:r>
        <w:rPr>
          <w:rFonts w:ascii="Times New Roman" w:hAnsi="Times New Roman"/>
          <w:sz w:val="28"/>
          <w:szCs w:val="28"/>
        </w:rPr>
        <w:t> </w:t>
      </w:r>
      <w:r w:rsidRPr="00145B66">
        <w:rPr>
          <w:rFonts w:ascii="Times New Roman" w:hAnsi="Times New Roman"/>
          <w:b/>
          <w:bCs/>
          <w:sz w:val="28"/>
          <w:szCs w:val="28"/>
        </w:rPr>
        <w:t xml:space="preserve">Материалы исследования </w:t>
      </w:r>
    </w:p>
    <w:p w14:paraId="2A4D0BC3" w14:textId="77777777" w:rsidR="005C199B" w:rsidRPr="00145B66" w:rsidRDefault="005C199B" w:rsidP="005C199B">
      <w:pPr>
        <w:widowControl w:val="0"/>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8"/>
          <w:szCs w:val="28"/>
        </w:rPr>
      </w:pPr>
      <w:r w:rsidRPr="00145B66">
        <w:rPr>
          <w:rFonts w:ascii="Times New Roman" w:hAnsi="Times New Roman"/>
          <w:sz w:val="28"/>
          <w:szCs w:val="28"/>
        </w:rPr>
        <w:t xml:space="preserve">Научно-исследовательская работа была проведена на базе «Многопрофильного медицинского центра» акимата г. Нур-Султан. </w:t>
      </w:r>
      <w:r w:rsidRPr="00145B66">
        <w:rPr>
          <w:rFonts w:ascii="Times New Roman" w:hAnsi="Times New Roman"/>
          <w:color w:val="000000"/>
          <w:sz w:val="28"/>
          <w:szCs w:val="28"/>
        </w:rPr>
        <w:t>Структура исследовательской работы соответствует современным этическим нормам и требованиям. Протокол исследования одобрен этическим комитетом</w:t>
      </w:r>
      <w:r>
        <w:rPr>
          <w:rFonts w:ascii="Times New Roman" w:hAnsi="Times New Roman"/>
          <w:color w:val="000000"/>
          <w:sz w:val="28"/>
          <w:szCs w:val="28"/>
        </w:rPr>
        <w:t xml:space="preserve"> (Приложение В)</w:t>
      </w:r>
      <w:r w:rsidRPr="00145B66">
        <w:rPr>
          <w:rFonts w:ascii="Times New Roman" w:hAnsi="Times New Roman"/>
          <w:color w:val="000000"/>
          <w:sz w:val="28"/>
          <w:szCs w:val="28"/>
        </w:rPr>
        <w:t>. Исследование проводилось в 2 этапа: ретроспективный анализ (</w:t>
      </w:r>
      <w:r w:rsidRPr="00145B66">
        <w:rPr>
          <w:rFonts w:ascii="Times New Roman" w:hAnsi="Times New Roman"/>
          <w:sz w:val="28"/>
          <w:szCs w:val="28"/>
        </w:rPr>
        <w:t>n=150</w:t>
      </w:r>
      <w:r w:rsidRPr="00145B66">
        <w:rPr>
          <w:rFonts w:ascii="Times New Roman" w:hAnsi="Times New Roman"/>
          <w:color w:val="000000"/>
          <w:sz w:val="28"/>
          <w:szCs w:val="28"/>
        </w:rPr>
        <w:t xml:space="preserve">) и проспективное одноцентровое исследование </w:t>
      </w:r>
      <w:r w:rsidRPr="00145B66">
        <w:rPr>
          <w:rFonts w:ascii="Times New Roman" w:hAnsi="Times New Roman"/>
          <w:sz w:val="28"/>
          <w:szCs w:val="28"/>
        </w:rPr>
        <w:t>(n=125)</w:t>
      </w:r>
      <w:r w:rsidRPr="00145B66">
        <w:rPr>
          <w:rFonts w:ascii="Times New Roman" w:hAnsi="Times New Roman"/>
          <w:color w:val="000000"/>
          <w:sz w:val="28"/>
          <w:szCs w:val="28"/>
        </w:rPr>
        <w:t>.</w:t>
      </w:r>
    </w:p>
    <w:p w14:paraId="68C8F7E7" w14:textId="77777777" w:rsidR="005C199B" w:rsidRPr="00145B66" w:rsidRDefault="005C199B" w:rsidP="005C199B">
      <w:pPr>
        <w:widowControl w:val="0"/>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bCs/>
          <w:i/>
          <w:sz w:val="28"/>
          <w:szCs w:val="28"/>
        </w:rPr>
      </w:pPr>
      <w:r w:rsidRPr="00145B66">
        <w:rPr>
          <w:rFonts w:ascii="Times New Roman" w:hAnsi="Times New Roman"/>
          <w:i/>
          <w:noProof/>
          <w:sz w:val="28"/>
          <w:szCs w:val="28"/>
          <w:lang w:val="en-US"/>
        </w:rPr>
        <w:t>I</w:t>
      </w:r>
      <w:r w:rsidRPr="00145B66">
        <w:rPr>
          <w:rFonts w:ascii="Times New Roman" w:hAnsi="Times New Roman"/>
          <w:i/>
          <w:noProof/>
          <w:sz w:val="28"/>
          <w:szCs w:val="28"/>
        </w:rPr>
        <w:t xml:space="preserve"> этап – ретроспективное исследование</w:t>
      </w:r>
      <w:r>
        <w:rPr>
          <w:rFonts w:ascii="Times New Roman" w:hAnsi="Times New Roman"/>
          <w:i/>
          <w:noProof/>
          <w:sz w:val="28"/>
          <w:szCs w:val="28"/>
        </w:rPr>
        <w:t xml:space="preserve">. </w:t>
      </w:r>
    </w:p>
    <w:p w14:paraId="00DB3E60" w14:textId="77777777" w:rsidR="005C199B" w:rsidRPr="00145B66" w:rsidRDefault="005C199B" w:rsidP="005C199B">
      <w:pPr>
        <w:widowControl w:val="0"/>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45B66">
        <w:rPr>
          <w:rFonts w:ascii="Times New Roman" w:hAnsi="Times New Roman"/>
          <w:sz w:val="28"/>
          <w:szCs w:val="28"/>
        </w:rPr>
        <w:t>Первый этап исследования проводился с целью выявления факторов, которые могли потенциально влиять на общую одногодичную, трехлетнюю и пятилетнюю, а также на трехлетнюю безрецидивную выживаемость. Сплошная выборка была сформирована из 150 больных</w:t>
      </w:r>
      <w:r w:rsidRPr="00145B66">
        <w:rPr>
          <w:rFonts w:ascii="Times New Roman" w:hAnsi="Times New Roman"/>
          <w:color w:val="000000"/>
          <w:sz w:val="28"/>
          <w:szCs w:val="28"/>
        </w:rPr>
        <w:t xml:space="preserve"> с диагнозом </w:t>
      </w:r>
      <w:r>
        <w:rPr>
          <w:rFonts w:ascii="Times New Roman" w:hAnsi="Times New Roman"/>
          <w:color w:val="000000"/>
          <w:sz w:val="28"/>
          <w:szCs w:val="28"/>
        </w:rPr>
        <w:t xml:space="preserve">злокачественное новообразование </w:t>
      </w:r>
      <w:r w:rsidRPr="00145B66">
        <w:rPr>
          <w:rFonts w:ascii="Times New Roman" w:hAnsi="Times New Roman"/>
          <w:color w:val="000000"/>
          <w:sz w:val="28"/>
          <w:szCs w:val="28"/>
        </w:rPr>
        <w:t xml:space="preserve">ободочной кишки </w:t>
      </w:r>
      <w:r w:rsidRPr="00145B66">
        <w:rPr>
          <w:rFonts w:ascii="Times New Roman" w:hAnsi="Times New Roman"/>
          <w:color w:val="000000"/>
          <w:sz w:val="28"/>
          <w:szCs w:val="28"/>
          <w:lang w:val="en-US"/>
        </w:rPr>
        <w:t>I</w:t>
      </w:r>
      <w:r w:rsidRPr="00145B66">
        <w:rPr>
          <w:rFonts w:ascii="Times New Roman" w:hAnsi="Times New Roman"/>
          <w:color w:val="000000"/>
          <w:sz w:val="28"/>
          <w:szCs w:val="28"/>
        </w:rPr>
        <w:t xml:space="preserve">, </w:t>
      </w:r>
      <w:r w:rsidRPr="00145B66">
        <w:rPr>
          <w:rFonts w:ascii="Times New Roman" w:hAnsi="Times New Roman"/>
          <w:color w:val="000000"/>
          <w:sz w:val="28"/>
          <w:szCs w:val="28"/>
          <w:lang w:val="en-US"/>
        </w:rPr>
        <w:t>II</w:t>
      </w:r>
      <w:r w:rsidRPr="00145B66">
        <w:rPr>
          <w:rFonts w:ascii="Times New Roman" w:hAnsi="Times New Roman"/>
          <w:color w:val="000000"/>
          <w:sz w:val="28"/>
          <w:szCs w:val="28"/>
        </w:rPr>
        <w:t xml:space="preserve">, </w:t>
      </w:r>
      <w:r w:rsidRPr="00145B66">
        <w:rPr>
          <w:rFonts w:ascii="Times New Roman" w:hAnsi="Times New Roman"/>
          <w:color w:val="000000"/>
          <w:sz w:val="28"/>
          <w:szCs w:val="28"/>
          <w:lang w:val="en-US"/>
        </w:rPr>
        <w:t>III</w:t>
      </w:r>
      <w:r w:rsidRPr="00145B66">
        <w:rPr>
          <w:rFonts w:ascii="Times New Roman" w:hAnsi="Times New Roman"/>
          <w:sz w:val="28"/>
          <w:szCs w:val="28"/>
        </w:rPr>
        <w:t xml:space="preserve"> стадии, которым была произведена хирургическая операция в условиях ГКП на ПХВ «Онкологического центра» Акимата г. Нур-Султан в период с 2012 по 2017 годы. В исследование не вошли </w:t>
      </w:r>
      <w:r w:rsidRPr="00145B66">
        <w:rPr>
          <w:rFonts w:ascii="Times New Roman" w:hAnsi="Times New Roman"/>
          <w:color w:val="000000"/>
          <w:sz w:val="28"/>
          <w:szCs w:val="28"/>
        </w:rPr>
        <w:t xml:space="preserve">амбулаторные карты больных с диагнозом </w:t>
      </w:r>
      <w:r>
        <w:rPr>
          <w:rFonts w:ascii="Times New Roman" w:hAnsi="Times New Roman"/>
          <w:color w:val="000000"/>
          <w:sz w:val="28"/>
          <w:szCs w:val="28"/>
        </w:rPr>
        <w:t xml:space="preserve">злокачественное новообразование </w:t>
      </w:r>
      <w:r w:rsidRPr="00145B66">
        <w:rPr>
          <w:rFonts w:ascii="Times New Roman" w:hAnsi="Times New Roman"/>
          <w:color w:val="000000"/>
          <w:sz w:val="28"/>
          <w:szCs w:val="28"/>
        </w:rPr>
        <w:t>ободочной кишки IV</w:t>
      </w:r>
      <w:r w:rsidRPr="00145B66">
        <w:rPr>
          <w:rFonts w:ascii="Times New Roman" w:hAnsi="Times New Roman"/>
          <w:sz w:val="28"/>
          <w:szCs w:val="28"/>
        </w:rPr>
        <w:t xml:space="preserve"> стадии, рак прямой кишки. Анализировались такие факторы, как возраст, пол, локализация опухоли по Международной классификации болезней 10-го пересмотра, стадия </w:t>
      </w:r>
      <w:r w:rsidRPr="00145B66">
        <w:rPr>
          <w:rFonts w:ascii="Times New Roman" w:hAnsi="Times New Roman"/>
          <w:sz w:val="28"/>
          <w:szCs w:val="28"/>
          <w:lang w:val="en-US"/>
        </w:rPr>
        <w:t>TNM</w:t>
      </w:r>
      <w:r w:rsidRPr="00145B66">
        <w:rPr>
          <w:rFonts w:ascii="Times New Roman" w:hAnsi="Times New Roman"/>
          <w:sz w:val="28"/>
          <w:szCs w:val="28"/>
        </w:rPr>
        <w:t>, гистологический тип опухоли, дифференцировка опухолевой клетки, адъювантная химиотерапия, сопутствующая патология, хирургические осложнения в раннем послеоперационном периоде, функциональные осложнения после хирургическог</w:t>
      </w:r>
      <w:r>
        <w:rPr>
          <w:rFonts w:ascii="Times New Roman" w:hAnsi="Times New Roman"/>
          <w:sz w:val="28"/>
          <w:szCs w:val="28"/>
        </w:rPr>
        <w:t>о лечения рака ободочной кишки</w:t>
      </w:r>
      <w:r w:rsidRPr="00145B66">
        <w:rPr>
          <w:rFonts w:ascii="Times New Roman" w:hAnsi="Times New Roman"/>
          <w:sz w:val="28"/>
          <w:szCs w:val="28"/>
        </w:rPr>
        <w:t xml:space="preserve">, электролитные нарушения и нутритивную недостаточность, возникшие в течение 1 года после операций. Информация о стадии злокачественного новообразования по классификации </w:t>
      </w:r>
      <w:r w:rsidRPr="00145B66">
        <w:rPr>
          <w:rFonts w:ascii="Times New Roman" w:hAnsi="Times New Roman"/>
          <w:sz w:val="28"/>
          <w:szCs w:val="28"/>
          <w:lang w:val="en-US"/>
        </w:rPr>
        <w:t>TNM</w:t>
      </w:r>
      <w:r w:rsidRPr="00145B66">
        <w:rPr>
          <w:rFonts w:ascii="Times New Roman" w:hAnsi="Times New Roman"/>
          <w:sz w:val="28"/>
          <w:szCs w:val="28"/>
        </w:rPr>
        <w:t xml:space="preserve"> была основана на результатах гистологического исследования. Клиническая характеристика и долгосрочные осложнения получены из медицинских карт больных.</w:t>
      </w:r>
      <w:r w:rsidRPr="00145B66">
        <w:rPr>
          <w:rFonts w:ascii="Times New Roman" w:hAnsi="Times New Roman"/>
          <w:bCs/>
          <w:sz w:val="28"/>
          <w:szCs w:val="28"/>
        </w:rPr>
        <w:t xml:space="preserve"> </w:t>
      </w:r>
      <w:r w:rsidRPr="00145B66">
        <w:rPr>
          <w:rFonts w:ascii="Times New Roman" w:hAnsi="Times New Roman"/>
          <w:sz w:val="28"/>
          <w:szCs w:val="28"/>
        </w:rPr>
        <w:t xml:space="preserve">Общая выживаемость рассчитывалась с момента оперативного вмешательства до периода смерти по любым причинам, либо до конца наблюдения (цензурированные). Безрецидивная выживаемость рассчитывалась с момента оперативного вмешательства до периода развития рецидива, либо до конца наблюдения или смерти по иной причине. Дизайн </w:t>
      </w:r>
      <w:r w:rsidRPr="00145B66">
        <w:rPr>
          <w:rFonts w:ascii="Times New Roman" w:hAnsi="Times New Roman"/>
          <w:sz w:val="28"/>
          <w:szCs w:val="28"/>
          <w:lang w:val="en-US"/>
        </w:rPr>
        <w:t>I</w:t>
      </w:r>
      <w:r w:rsidRPr="00145B66">
        <w:rPr>
          <w:rFonts w:ascii="Times New Roman" w:hAnsi="Times New Roman"/>
          <w:sz w:val="28"/>
          <w:szCs w:val="28"/>
        </w:rPr>
        <w:t xml:space="preserve"> этапа исследования представлен на рисунке 1</w:t>
      </w:r>
      <w:r w:rsidRPr="005C199B">
        <w:rPr>
          <w:rFonts w:ascii="Times New Roman" w:hAnsi="Times New Roman"/>
          <w:sz w:val="28"/>
          <w:szCs w:val="28"/>
        </w:rPr>
        <w:t>4</w:t>
      </w:r>
      <w:r w:rsidRPr="00145B66">
        <w:rPr>
          <w:rFonts w:ascii="Times New Roman" w:hAnsi="Times New Roman"/>
          <w:sz w:val="28"/>
          <w:szCs w:val="28"/>
        </w:rPr>
        <w:t>.</w:t>
      </w:r>
    </w:p>
    <w:p w14:paraId="75F49A1A" w14:textId="77777777" w:rsidR="005C199B" w:rsidRDefault="005C199B" w:rsidP="005C199B">
      <w:pPr>
        <w:pStyle w:val="a6"/>
        <w:widowControl w:val="0"/>
        <w:tabs>
          <w:tab w:val="left" w:pos="0"/>
        </w:tabs>
        <w:spacing w:after="0" w:line="240" w:lineRule="auto"/>
        <w:ind w:left="0" w:firstLine="567"/>
        <w:jc w:val="both"/>
        <w:rPr>
          <w:rFonts w:ascii="Times New Roman" w:hAnsi="Times New Roman"/>
          <w:bCs/>
          <w:sz w:val="28"/>
          <w:szCs w:val="28"/>
        </w:rPr>
      </w:pPr>
      <w:r w:rsidRPr="00145B66">
        <w:rPr>
          <w:rFonts w:ascii="Times New Roman" w:hAnsi="Times New Roman"/>
          <w:bCs/>
          <w:sz w:val="28"/>
          <w:szCs w:val="28"/>
        </w:rPr>
        <w:t xml:space="preserve">Согласно данным таблицы </w:t>
      </w:r>
      <w:r w:rsidRPr="00E964C4">
        <w:rPr>
          <w:rFonts w:ascii="Times New Roman" w:hAnsi="Times New Roman"/>
          <w:bCs/>
          <w:sz w:val="28"/>
          <w:szCs w:val="28"/>
        </w:rPr>
        <w:t>5</w:t>
      </w:r>
      <w:r w:rsidRPr="00145B66">
        <w:rPr>
          <w:rFonts w:ascii="Times New Roman" w:hAnsi="Times New Roman"/>
          <w:bCs/>
          <w:sz w:val="28"/>
          <w:szCs w:val="28"/>
        </w:rPr>
        <w:t xml:space="preserve"> с</w:t>
      </w:r>
      <w:r w:rsidRPr="00145B66">
        <w:rPr>
          <w:rFonts w:ascii="Times New Roman" w:hAnsi="Times New Roman"/>
          <w:sz w:val="28"/>
          <w:szCs w:val="28"/>
        </w:rPr>
        <w:t>редний возраст больных после хирургического лечения рака ободочной кишки составил 6</w:t>
      </w:r>
      <w:r>
        <w:rPr>
          <w:rFonts w:ascii="Times New Roman" w:hAnsi="Times New Roman"/>
          <w:sz w:val="28"/>
          <w:szCs w:val="28"/>
        </w:rPr>
        <w:t>1 год</w:t>
      </w:r>
      <w:r w:rsidRPr="00145B66">
        <w:rPr>
          <w:rFonts w:ascii="Times New Roman" w:hAnsi="Times New Roman"/>
          <w:sz w:val="28"/>
          <w:szCs w:val="28"/>
        </w:rPr>
        <w:t xml:space="preserve"> (</w:t>
      </w:r>
      <w:r w:rsidRPr="00145B66">
        <w:rPr>
          <w:rFonts w:ascii="Times New Roman" w:hAnsi="Times New Roman"/>
          <w:sz w:val="28"/>
          <w:szCs w:val="28"/>
          <w:lang w:val="en-US"/>
        </w:rPr>
        <w:t>range</w:t>
      </w:r>
      <w:r w:rsidRPr="00145B66">
        <w:rPr>
          <w:rFonts w:ascii="Times New Roman" w:hAnsi="Times New Roman"/>
          <w:sz w:val="28"/>
          <w:szCs w:val="28"/>
        </w:rPr>
        <w:t xml:space="preserve"> 19–82), отмечалось преобладание больных старше 60</w:t>
      </w:r>
      <w:r>
        <w:rPr>
          <w:rFonts w:ascii="Times New Roman" w:hAnsi="Times New Roman"/>
          <w:sz w:val="28"/>
          <w:szCs w:val="28"/>
        </w:rPr>
        <w:t>-69</w:t>
      </w:r>
      <w:r w:rsidRPr="00145B66">
        <w:rPr>
          <w:rFonts w:ascii="Times New Roman" w:hAnsi="Times New Roman"/>
          <w:sz w:val="28"/>
          <w:szCs w:val="28"/>
        </w:rPr>
        <w:t xml:space="preserve"> лет</w:t>
      </w:r>
      <w:r>
        <w:rPr>
          <w:rFonts w:ascii="Times New Roman" w:hAnsi="Times New Roman"/>
          <w:sz w:val="28"/>
          <w:szCs w:val="28"/>
        </w:rPr>
        <w:t xml:space="preserve"> (66,7%)</w:t>
      </w:r>
      <w:r w:rsidRPr="00145B66">
        <w:rPr>
          <w:rFonts w:ascii="Times New Roman" w:hAnsi="Times New Roman"/>
          <w:sz w:val="28"/>
          <w:szCs w:val="28"/>
        </w:rPr>
        <w:t>, мужчин 7</w:t>
      </w:r>
      <w:r>
        <w:rPr>
          <w:rFonts w:ascii="Times New Roman" w:hAnsi="Times New Roman"/>
          <w:sz w:val="28"/>
          <w:szCs w:val="28"/>
        </w:rPr>
        <w:t>3</w:t>
      </w:r>
      <w:r w:rsidRPr="00145B66">
        <w:rPr>
          <w:rFonts w:ascii="Times New Roman" w:hAnsi="Times New Roman"/>
          <w:sz w:val="28"/>
          <w:szCs w:val="28"/>
        </w:rPr>
        <w:t xml:space="preserve"> (</w:t>
      </w:r>
      <w:r>
        <w:rPr>
          <w:rFonts w:ascii="Times New Roman" w:hAnsi="Times New Roman"/>
          <w:sz w:val="28"/>
          <w:szCs w:val="28"/>
        </w:rPr>
        <w:t>48,7%</w:t>
      </w:r>
      <w:r w:rsidRPr="00145B66">
        <w:rPr>
          <w:rFonts w:ascii="Times New Roman" w:hAnsi="Times New Roman"/>
          <w:sz w:val="28"/>
          <w:szCs w:val="28"/>
        </w:rPr>
        <w:t>), женщин 7</w:t>
      </w:r>
      <w:r>
        <w:rPr>
          <w:rFonts w:ascii="Times New Roman" w:hAnsi="Times New Roman"/>
          <w:sz w:val="28"/>
          <w:szCs w:val="28"/>
        </w:rPr>
        <w:t>7</w:t>
      </w:r>
      <w:r w:rsidRPr="00145B66">
        <w:rPr>
          <w:rFonts w:ascii="Times New Roman" w:hAnsi="Times New Roman"/>
          <w:sz w:val="28"/>
          <w:szCs w:val="28"/>
        </w:rPr>
        <w:t xml:space="preserve"> (</w:t>
      </w:r>
      <w:r>
        <w:rPr>
          <w:rFonts w:ascii="Times New Roman" w:hAnsi="Times New Roman"/>
          <w:sz w:val="28"/>
          <w:szCs w:val="28"/>
        </w:rPr>
        <w:t>51,3%</w:t>
      </w:r>
      <w:r w:rsidRPr="00145B66">
        <w:rPr>
          <w:rFonts w:ascii="Times New Roman" w:hAnsi="Times New Roman"/>
          <w:sz w:val="28"/>
          <w:szCs w:val="28"/>
        </w:rPr>
        <w:t xml:space="preserve">%). </w:t>
      </w:r>
      <w:r w:rsidRPr="00145B66">
        <w:rPr>
          <w:rFonts w:ascii="Times New Roman" w:hAnsi="Times New Roman"/>
          <w:sz w:val="28"/>
          <w:szCs w:val="28"/>
          <w:lang w:val="en-US"/>
        </w:rPr>
        <w:t>III</w:t>
      </w:r>
      <w:r w:rsidRPr="00145B66">
        <w:rPr>
          <w:rFonts w:ascii="Times New Roman" w:hAnsi="Times New Roman"/>
          <w:sz w:val="28"/>
          <w:szCs w:val="28"/>
        </w:rPr>
        <w:t xml:space="preserve"> стадия рака встречалась с наибольшей частотой (6</w:t>
      </w:r>
      <w:r>
        <w:rPr>
          <w:rFonts w:ascii="Times New Roman" w:hAnsi="Times New Roman"/>
          <w:sz w:val="28"/>
          <w:szCs w:val="28"/>
        </w:rPr>
        <w:t>4</w:t>
      </w:r>
      <w:proofErr w:type="gramStart"/>
      <w:r>
        <w:rPr>
          <w:rFonts w:ascii="Times New Roman" w:hAnsi="Times New Roman"/>
          <w:sz w:val="28"/>
          <w:szCs w:val="28"/>
        </w:rPr>
        <w:t>,7</w:t>
      </w:r>
      <w:proofErr w:type="gramEnd"/>
      <w:r>
        <w:rPr>
          <w:rFonts w:ascii="Times New Roman" w:hAnsi="Times New Roman"/>
          <w:sz w:val="28"/>
          <w:szCs w:val="28"/>
        </w:rPr>
        <w:t>%</w:t>
      </w:r>
      <w:r w:rsidRPr="00145B66">
        <w:rPr>
          <w:rFonts w:ascii="Times New Roman" w:hAnsi="Times New Roman"/>
          <w:sz w:val="28"/>
          <w:szCs w:val="28"/>
        </w:rPr>
        <w:t xml:space="preserve">). Локализация рака в восходящей и нисходящей части ободочной кишки встречалась с одинаковой частотой. Правосторонняя и левосторонняя гемиколэктомия имела схожие показатели распространённости, в то время как с меньшей частотой встречались виды операции как </w:t>
      </w:r>
      <w:r w:rsidRPr="00145B66">
        <w:rPr>
          <w:rFonts w:ascii="Times New Roman" w:hAnsi="Times New Roman"/>
          <w:sz w:val="28"/>
          <w:szCs w:val="28"/>
          <w:lang w:eastAsia="en-US"/>
        </w:rPr>
        <w:t>резекция поперечно-ободочной кишки</w:t>
      </w:r>
      <w:r w:rsidRPr="00145B66">
        <w:rPr>
          <w:rFonts w:ascii="Times New Roman" w:hAnsi="Times New Roman"/>
          <w:bCs/>
          <w:sz w:val="28"/>
          <w:szCs w:val="28"/>
        </w:rPr>
        <w:t xml:space="preserve"> и</w:t>
      </w:r>
      <w:r w:rsidRPr="00145B66">
        <w:rPr>
          <w:rFonts w:ascii="Times New Roman" w:hAnsi="Times New Roman"/>
          <w:sz w:val="28"/>
          <w:szCs w:val="28"/>
          <w:lang w:eastAsia="en-US"/>
        </w:rPr>
        <w:t xml:space="preserve"> резекция кишечника с формирование</w:t>
      </w:r>
      <w:r>
        <w:rPr>
          <w:rFonts w:ascii="Times New Roman" w:hAnsi="Times New Roman"/>
          <w:sz w:val="28"/>
          <w:szCs w:val="28"/>
          <w:lang w:eastAsia="en-US"/>
        </w:rPr>
        <w:t>м</w:t>
      </w:r>
      <w:r w:rsidRPr="00145B66">
        <w:rPr>
          <w:rFonts w:ascii="Times New Roman" w:hAnsi="Times New Roman"/>
          <w:sz w:val="28"/>
          <w:szCs w:val="28"/>
          <w:lang w:eastAsia="en-US"/>
        </w:rPr>
        <w:t xml:space="preserve"> стомы</w:t>
      </w:r>
      <w:r w:rsidRPr="00145B66">
        <w:rPr>
          <w:rFonts w:ascii="Times New Roman" w:hAnsi="Times New Roman"/>
          <w:bCs/>
          <w:sz w:val="28"/>
          <w:szCs w:val="28"/>
        </w:rPr>
        <w:t>.</w:t>
      </w:r>
    </w:p>
    <w:p w14:paraId="43C8BE40" w14:textId="77777777" w:rsidR="005C199B" w:rsidRDefault="005C199B" w:rsidP="005C199B">
      <w:pPr>
        <w:pStyle w:val="a6"/>
        <w:widowControl w:val="0"/>
        <w:tabs>
          <w:tab w:val="left" w:pos="0"/>
        </w:tabs>
        <w:spacing w:after="0" w:line="240" w:lineRule="auto"/>
        <w:ind w:left="0"/>
        <w:jc w:val="both"/>
        <w:rPr>
          <w:rFonts w:ascii="Times New Roman" w:hAnsi="Times New Roman"/>
          <w:bCs/>
          <w:sz w:val="28"/>
          <w:szCs w:val="28"/>
        </w:rPr>
      </w:pPr>
    </w:p>
    <w:p w14:paraId="0737645C" w14:textId="77777777" w:rsidR="005C199B" w:rsidRDefault="005C199B" w:rsidP="005C199B">
      <w:pPr>
        <w:pStyle w:val="a6"/>
        <w:widowControl w:val="0"/>
        <w:tabs>
          <w:tab w:val="left" w:pos="0"/>
        </w:tabs>
        <w:spacing w:after="0" w:line="240" w:lineRule="auto"/>
        <w:ind w:left="0"/>
        <w:jc w:val="center"/>
        <w:rPr>
          <w:rFonts w:ascii="Times New Roman" w:hAnsi="Times New Roman"/>
          <w:bCs/>
          <w:sz w:val="28"/>
          <w:szCs w:val="28"/>
        </w:rPr>
      </w:pPr>
      <w:r w:rsidRPr="00654FA6">
        <w:rPr>
          <w:rFonts w:ascii="Times New Roman" w:hAnsi="Times New Roman"/>
          <w:bCs/>
          <w:noProof/>
          <w:sz w:val="28"/>
          <w:szCs w:val="28"/>
        </w:rPr>
        <w:lastRenderedPageBreak/>
        <w:drawing>
          <wp:inline distT="0" distB="0" distL="0" distR="0" wp14:anchorId="17DFEE44" wp14:editId="04C45204">
            <wp:extent cx="8211600" cy="5209200"/>
            <wp:effectExtent l="0" t="3810" r="0" b="0"/>
            <wp:docPr id="5" name="Рисунок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 descr="Diagram&#10;&#10;Description automatically generated"/>
                    <pic:cNvPicPr/>
                  </pic:nvPicPr>
                  <pic:blipFill>
                    <a:blip r:embed="rId23"/>
                    <a:stretch>
                      <a:fillRect/>
                    </a:stretch>
                  </pic:blipFill>
                  <pic:spPr>
                    <a:xfrm rot="16200000">
                      <a:off x="0" y="0"/>
                      <a:ext cx="8211600" cy="5209200"/>
                    </a:xfrm>
                    <a:prstGeom prst="rect">
                      <a:avLst/>
                    </a:prstGeom>
                  </pic:spPr>
                </pic:pic>
              </a:graphicData>
            </a:graphic>
          </wp:inline>
        </w:drawing>
      </w:r>
    </w:p>
    <w:p w14:paraId="7311DF5B" w14:textId="77777777" w:rsidR="005C199B" w:rsidRDefault="005C199B" w:rsidP="005C199B">
      <w:pPr>
        <w:tabs>
          <w:tab w:val="left" w:pos="6180"/>
        </w:tabs>
        <w:spacing w:after="0" w:line="240" w:lineRule="auto"/>
        <w:jc w:val="center"/>
        <w:rPr>
          <w:rFonts w:ascii="Times New Roman" w:hAnsi="Times New Roman"/>
          <w:sz w:val="28"/>
          <w:szCs w:val="28"/>
        </w:rPr>
      </w:pPr>
    </w:p>
    <w:p w14:paraId="0FB2A045" w14:textId="77777777" w:rsidR="005C199B" w:rsidRDefault="005C199B" w:rsidP="005C199B">
      <w:pPr>
        <w:tabs>
          <w:tab w:val="left" w:pos="6180"/>
        </w:tabs>
        <w:spacing w:after="0" w:line="240" w:lineRule="auto"/>
        <w:jc w:val="center"/>
        <w:rPr>
          <w:rFonts w:ascii="Times New Roman" w:hAnsi="Times New Roman"/>
          <w:sz w:val="28"/>
          <w:szCs w:val="28"/>
        </w:rPr>
      </w:pPr>
      <w:r w:rsidRPr="00145B66">
        <w:rPr>
          <w:rFonts w:ascii="Times New Roman" w:hAnsi="Times New Roman"/>
          <w:sz w:val="28"/>
          <w:szCs w:val="28"/>
        </w:rPr>
        <w:t>Рисунок 1</w:t>
      </w:r>
      <w:r>
        <w:rPr>
          <w:rFonts w:ascii="Times New Roman" w:hAnsi="Times New Roman"/>
          <w:sz w:val="28"/>
          <w:szCs w:val="28"/>
        </w:rPr>
        <w:t>4</w:t>
      </w:r>
      <w:r w:rsidRPr="00145B66">
        <w:rPr>
          <w:rFonts w:ascii="Times New Roman" w:hAnsi="Times New Roman"/>
          <w:sz w:val="28"/>
          <w:szCs w:val="28"/>
        </w:rPr>
        <w:t xml:space="preserve"> – Дизайн </w:t>
      </w:r>
      <w:r w:rsidRPr="00145B66">
        <w:rPr>
          <w:rFonts w:ascii="Times New Roman" w:hAnsi="Times New Roman"/>
          <w:sz w:val="28"/>
          <w:szCs w:val="28"/>
          <w:lang w:val="en-US"/>
        </w:rPr>
        <w:t>I</w:t>
      </w:r>
      <w:r w:rsidRPr="00145B66">
        <w:rPr>
          <w:rFonts w:ascii="Times New Roman" w:hAnsi="Times New Roman"/>
          <w:sz w:val="28"/>
          <w:szCs w:val="28"/>
        </w:rPr>
        <w:t xml:space="preserve"> этапа исследования</w:t>
      </w:r>
    </w:p>
    <w:p w14:paraId="52BB346F" w14:textId="77777777" w:rsidR="005C199B" w:rsidRDefault="005C199B" w:rsidP="005C199B">
      <w:pPr>
        <w:pStyle w:val="a6"/>
        <w:widowControl w:val="0"/>
        <w:tabs>
          <w:tab w:val="left" w:pos="0"/>
        </w:tabs>
        <w:spacing w:after="0" w:line="240" w:lineRule="auto"/>
        <w:ind w:left="0" w:firstLine="567"/>
        <w:jc w:val="both"/>
        <w:rPr>
          <w:rFonts w:ascii="Times New Roman" w:hAnsi="Times New Roman"/>
          <w:bCs/>
          <w:sz w:val="28"/>
          <w:szCs w:val="28"/>
        </w:rPr>
      </w:pPr>
    </w:p>
    <w:p w14:paraId="72D75718" w14:textId="77777777" w:rsidR="005C199B" w:rsidRDefault="005C199B" w:rsidP="005C199B">
      <w:pPr>
        <w:widowControl w:val="0"/>
        <w:spacing w:after="0" w:line="240" w:lineRule="auto"/>
        <w:rPr>
          <w:rFonts w:ascii="Times New Roman" w:hAnsi="Times New Roman"/>
          <w:bCs/>
          <w:sz w:val="28"/>
          <w:szCs w:val="28"/>
        </w:rPr>
      </w:pPr>
      <w:r>
        <w:rPr>
          <w:rFonts w:ascii="Times New Roman" w:hAnsi="Times New Roman"/>
          <w:bCs/>
          <w:sz w:val="28"/>
          <w:szCs w:val="28"/>
        </w:rPr>
        <w:br w:type="page"/>
      </w:r>
    </w:p>
    <w:p w14:paraId="4A352C94" w14:textId="77777777" w:rsidR="005C199B" w:rsidRDefault="005C199B" w:rsidP="005C199B">
      <w:pPr>
        <w:pStyle w:val="a6"/>
        <w:widowControl w:val="0"/>
        <w:tabs>
          <w:tab w:val="left" w:pos="0"/>
        </w:tabs>
        <w:spacing w:after="0" w:line="240" w:lineRule="auto"/>
        <w:ind w:left="0"/>
        <w:jc w:val="both"/>
        <w:rPr>
          <w:rFonts w:ascii="Times New Roman" w:hAnsi="Times New Roman"/>
          <w:bCs/>
          <w:sz w:val="28"/>
          <w:szCs w:val="28"/>
        </w:rPr>
      </w:pPr>
      <w:r w:rsidRPr="00145B66">
        <w:rPr>
          <w:rFonts w:ascii="Times New Roman" w:hAnsi="Times New Roman"/>
          <w:bCs/>
          <w:sz w:val="28"/>
          <w:szCs w:val="28"/>
        </w:rPr>
        <w:lastRenderedPageBreak/>
        <w:t xml:space="preserve">Таблица </w:t>
      </w:r>
      <w:r w:rsidRPr="00E964C4">
        <w:rPr>
          <w:rFonts w:ascii="Times New Roman" w:hAnsi="Times New Roman"/>
          <w:bCs/>
          <w:sz w:val="28"/>
          <w:szCs w:val="28"/>
        </w:rPr>
        <w:t>5</w:t>
      </w:r>
      <w:r w:rsidRPr="00145B66">
        <w:rPr>
          <w:rFonts w:ascii="Times New Roman" w:hAnsi="Times New Roman"/>
          <w:bCs/>
          <w:sz w:val="28"/>
          <w:szCs w:val="28"/>
        </w:rPr>
        <w:t xml:space="preserve"> – Клиническая характеристика больных </w:t>
      </w:r>
      <w:r w:rsidRPr="00145B66">
        <w:rPr>
          <w:rFonts w:ascii="Times New Roman" w:hAnsi="Times New Roman"/>
          <w:bCs/>
          <w:sz w:val="28"/>
          <w:szCs w:val="28"/>
          <w:lang w:val="en-US"/>
        </w:rPr>
        <w:t>I</w:t>
      </w:r>
      <w:r w:rsidRPr="00145B66">
        <w:rPr>
          <w:rFonts w:ascii="Times New Roman" w:hAnsi="Times New Roman"/>
          <w:bCs/>
          <w:sz w:val="28"/>
          <w:szCs w:val="28"/>
        </w:rPr>
        <w:t xml:space="preserve"> этапа исследования</w:t>
      </w:r>
    </w:p>
    <w:p w14:paraId="74FC0327" w14:textId="77777777" w:rsidR="005C199B" w:rsidRPr="00145B66" w:rsidRDefault="005C199B" w:rsidP="005C199B">
      <w:pPr>
        <w:pStyle w:val="a6"/>
        <w:widowControl w:val="0"/>
        <w:tabs>
          <w:tab w:val="left" w:pos="0"/>
        </w:tabs>
        <w:spacing w:after="0" w:line="240" w:lineRule="auto"/>
        <w:ind w:left="0"/>
        <w:jc w:val="both"/>
        <w:rPr>
          <w:rFonts w:ascii="Times New Roman" w:hAnsi="Times New Roman"/>
          <w:bCs/>
          <w:sz w:val="28"/>
          <w:szCs w:val="2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706"/>
      </w:tblGrid>
      <w:tr w:rsidR="005C199B" w:rsidRPr="00145B66" w14:paraId="28A1A808" w14:textId="77777777" w:rsidTr="00094F6F">
        <w:trPr>
          <w:trHeight w:val="340"/>
          <w:jc w:val="center"/>
        </w:trPr>
        <w:tc>
          <w:tcPr>
            <w:tcW w:w="7366" w:type="dxa"/>
            <w:shd w:val="clear" w:color="auto" w:fill="auto"/>
            <w:vAlign w:val="center"/>
            <w:hideMark/>
          </w:tcPr>
          <w:p w14:paraId="0311E3C3"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eastAsia="en-US" w:bidi="kn-IN"/>
              </w:rPr>
              <w:t>Признаки</w:t>
            </w:r>
          </w:p>
        </w:tc>
        <w:tc>
          <w:tcPr>
            <w:tcW w:w="1706" w:type="dxa"/>
            <w:shd w:val="clear" w:color="auto" w:fill="auto"/>
            <w:vAlign w:val="center"/>
            <w:hideMark/>
          </w:tcPr>
          <w:p w14:paraId="605B553A"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proofErr w:type="gramStart"/>
            <w:r w:rsidRPr="001D6316">
              <w:rPr>
                <w:rFonts w:ascii="Times New Roman" w:hAnsi="Times New Roman"/>
                <w:sz w:val="24"/>
                <w:szCs w:val="24"/>
                <w:lang w:val="en-US" w:eastAsia="en-US" w:bidi="kn-IN"/>
              </w:rPr>
              <w:t>n</w:t>
            </w:r>
            <w:proofErr w:type="gramEnd"/>
            <w:r w:rsidRPr="001D6316">
              <w:rPr>
                <w:rFonts w:ascii="Times New Roman" w:hAnsi="Times New Roman"/>
                <w:sz w:val="24"/>
                <w:szCs w:val="24"/>
                <w:lang w:eastAsia="en-US" w:bidi="kn-IN"/>
              </w:rPr>
              <w:t xml:space="preserve"> (%)</w:t>
            </w:r>
          </w:p>
          <w:p w14:paraId="2AE1846A"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val="en-US" w:eastAsia="en-US" w:bidi="kn-IN"/>
              </w:rPr>
              <w:t>n</w:t>
            </w:r>
            <w:r w:rsidRPr="001D6316">
              <w:rPr>
                <w:rFonts w:ascii="Times New Roman" w:hAnsi="Times New Roman"/>
                <w:sz w:val="24"/>
                <w:szCs w:val="24"/>
                <w:lang w:eastAsia="en-US" w:bidi="kn-IN"/>
              </w:rPr>
              <w:t>=150</w:t>
            </w:r>
          </w:p>
        </w:tc>
      </w:tr>
      <w:tr w:rsidR="005C199B" w:rsidRPr="00145B66" w14:paraId="1AD8CDE4" w14:textId="77777777" w:rsidTr="00094F6F">
        <w:trPr>
          <w:trHeight w:val="340"/>
          <w:jc w:val="center"/>
        </w:trPr>
        <w:tc>
          <w:tcPr>
            <w:tcW w:w="9072" w:type="dxa"/>
            <w:gridSpan w:val="2"/>
            <w:shd w:val="clear" w:color="auto" w:fill="auto"/>
            <w:vAlign w:val="center"/>
            <w:hideMark/>
          </w:tcPr>
          <w:p w14:paraId="5CB8065C" w14:textId="77777777" w:rsidR="005C199B" w:rsidRPr="001D6316" w:rsidRDefault="005C199B" w:rsidP="00094F6F">
            <w:pPr>
              <w:widowControl w:val="0"/>
              <w:spacing w:after="0" w:line="240" w:lineRule="auto"/>
              <w:rPr>
                <w:rFonts w:ascii="Times New Roman" w:hAnsi="Times New Roman"/>
                <w:b/>
                <w:bCs/>
                <w:sz w:val="24"/>
                <w:szCs w:val="24"/>
                <w:lang w:eastAsia="en-US" w:bidi="kn-IN"/>
              </w:rPr>
            </w:pPr>
            <w:r w:rsidRPr="001D6316">
              <w:rPr>
                <w:rFonts w:ascii="Times New Roman" w:hAnsi="Times New Roman"/>
                <w:b/>
                <w:bCs/>
                <w:sz w:val="24"/>
                <w:szCs w:val="24"/>
                <w:lang w:eastAsia="en-US" w:bidi="kn-IN"/>
              </w:rPr>
              <w:t>Пол</w:t>
            </w:r>
          </w:p>
        </w:tc>
      </w:tr>
      <w:tr w:rsidR="005C199B" w:rsidRPr="00145B66" w14:paraId="49B490C9" w14:textId="77777777" w:rsidTr="00094F6F">
        <w:trPr>
          <w:trHeight w:val="340"/>
          <w:jc w:val="center"/>
        </w:trPr>
        <w:tc>
          <w:tcPr>
            <w:tcW w:w="7366" w:type="dxa"/>
            <w:shd w:val="clear" w:color="auto" w:fill="auto"/>
            <w:vAlign w:val="center"/>
            <w:hideMark/>
          </w:tcPr>
          <w:p w14:paraId="0A5F6ED6" w14:textId="77777777" w:rsidR="005C199B" w:rsidRPr="001D6316" w:rsidRDefault="005C199B" w:rsidP="00094F6F">
            <w:pPr>
              <w:widowControl w:val="0"/>
              <w:spacing w:after="0" w:line="240" w:lineRule="auto"/>
              <w:ind w:firstLine="602"/>
              <w:rPr>
                <w:rFonts w:ascii="Times New Roman" w:hAnsi="Times New Roman"/>
                <w:sz w:val="24"/>
                <w:szCs w:val="24"/>
                <w:lang w:eastAsia="en-US" w:bidi="kn-IN"/>
              </w:rPr>
            </w:pPr>
            <w:proofErr w:type="gramStart"/>
            <w:r w:rsidRPr="001D6316">
              <w:rPr>
                <w:rFonts w:ascii="Times New Roman" w:hAnsi="Times New Roman"/>
                <w:bCs/>
                <w:sz w:val="24"/>
                <w:szCs w:val="24"/>
                <w:lang w:eastAsia="en-US" w:bidi="kn-IN"/>
              </w:rPr>
              <w:t>женский</w:t>
            </w:r>
            <w:proofErr w:type="gramEnd"/>
          </w:p>
        </w:tc>
        <w:tc>
          <w:tcPr>
            <w:tcW w:w="1706" w:type="dxa"/>
            <w:shd w:val="clear" w:color="auto" w:fill="auto"/>
          </w:tcPr>
          <w:p w14:paraId="0A2BB467"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bidi="kn-IN"/>
              </w:rPr>
              <w:t>77 (51,3%)</w:t>
            </w:r>
          </w:p>
        </w:tc>
      </w:tr>
      <w:tr w:rsidR="005C199B" w:rsidRPr="00145B66" w14:paraId="6E2F20D6" w14:textId="77777777" w:rsidTr="00094F6F">
        <w:trPr>
          <w:trHeight w:val="340"/>
          <w:jc w:val="center"/>
        </w:trPr>
        <w:tc>
          <w:tcPr>
            <w:tcW w:w="7366" w:type="dxa"/>
            <w:shd w:val="clear" w:color="auto" w:fill="auto"/>
            <w:vAlign w:val="center"/>
            <w:hideMark/>
          </w:tcPr>
          <w:p w14:paraId="2F233FCB" w14:textId="77777777" w:rsidR="005C199B" w:rsidRPr="001D6316" w:rsidRDefault="005C199B" w:rsidP="00094F6F">
            <w:pPr>
              <w:widowControl w:val="0"/>
              <w:spacing w:after="0" w:line="240" w:lineRule="auto"/>
              <w:ind w:firstLine="602"/>
              <w:rPr>
                <w:rFonts w:ascii="Times New Roman" w:hAnsi="Times New Roman"/>
                <w:sz w:val="24"/>
                <w:szCs w:val="24"/>
                <w:lang w:eastAsia="en-US" w:bidi="kn-IN"/>
              </w:rPr>
            </w:pPr>
            <w:proofErr w:type="gramStart"/>
            <w:r w:rsidRPr="001D6316">
              <w:rPr>
                <w:rFonts w:ascii="Times New Roman" w:hAnsi="Times New Roman"/>
                <w:bCs/>
                <w:sz w:val="24"/>
                <w:szCs w:val="24"/>
                <w:lang w:eastAsia="en-US" w:bidi="kn-IN"/>
              </w:rPr>
              <w:t>мужской</w:t>
            </w:r>
            <w:proofErr w:type="gramEnd"/>
          </w:p>
        </w:tc>
        <w:tc>
          <w:tcPr>
            <w:tcW w:w="1706" w:type="dxa"/>
            <w:shd w:val="clear" w:color="auto" w:fill="auto"/>
          </w:tcPr>
          <w:p w14:paraId="7653213D"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bidi="kn-IN"/>
              </w:rPr>
              <w:t>73 (48,7%)</w:t>
            </w:r>
          </w:p>
        </w:tc>
      </w:tr>
      <w:tr w:rsidR="005C199B" w:rsidRPr="00145B66" w14:paraId="55ED82BC" w14:textId="77777777" w:rsidTr="00094F6F">
        <w:trPr>
          <w:trHeight w:val="340"/>
          <w:jc w:val="center"/>
        </w:trPr>
        <w:tc>
          <w:tcPr>
            <w:tcW w:w="9072" w:type="dxa"/>
            <w:gridSpan w:val="2"/>
            <w:shd w:val="clear" w:color="auto" w:fill="auto"/>
            <w:vAlign w:val="center"/>
            <w:hideMark/>
          </w:tcPr>
          <w:p w14:paraId="210B9F5D" w14:textId="77777777" w:rsidR="005C199B" w:rsidRPr="001D6316" w:rsidRDefault="005C199B" w:rsidP="00094F6F">
            <w:pPr>
              <w:widowControl w:val="0"/>
              <w:spacing w:after="0" w:line="240" w:lineRule="auto"/>
              <w:rPr>
                <w:rFonts w:ascii="Times New Roman" w:hAnsi="Times New Roman"/>
                <w:b/>
                <w:bCs/>
                <w:sz w:val="24"/>
                <w:szCs w:val="24"/>
                <w:lang w:eastAsia="en-US" w:bidi="kn-IN"/>
              </w:rPr>
            </w:pPr>
            <w:r w:rsidRPr="001D6316">
              <w:rPr>
                <w:rFonts w:ascii="Times New Roman" w:hAnsi="Times New Roman"/>
                <w:b/>
                <w:bCs/>
                <w:sz w:val="24"/>
                <w:szCs w:val="24"/>
                <w:lang w:eastAsia="en-US" w:bidi="kn-IN"/>
              </w:rPr>
              <w:t xml:space="preserve">Возраст </w:t>
            </w:r>
          </w:p>
        </w:tc>
      </w:tr>
      <w:tr w:rsidR="005C199B" w:rsidRPr="00145B66" w14:paraId="4E349FF6" w14:textId="77777777" w:rsidTr="00094F6F">
        <w:trPr>
          <w:trHeight w:val="340"/>
          <w:jc w:val="center"/>
        </w:trPr>
        <w:tc>
          <w:tcPr>
            <w:tcW w:w="7366" w:type="dxa"/>
            <w:shd w:val="clear" w:color="auto" w:fill="auto"/>
            <w:vAlign w:val="bottom"/>
          </w:tcPr>
          <w:p w14:paraId="13BD38DF" w14:textId="77777777" w:rsidR="005C199B" w:rsidRPr="001D6316" w:rsidRDefault="005C199B" w:rsidP="00094F6F">
            <w:pPr>
              <w:widowControl w:val="0"/>
              <w:spacing w:after="0" w:line="240" w:lineRule="auto"/>
              <w:ind w:firstLine="602"/>
              <w:rPr>
                <w:rFonts w:ascii="Times New Roman" w:hAnsi="Times New Roman"/>
                <w:bCs/>
                <w:sz w:val="24"/>
                <w:szCs w:val="24"/>
                <w:lang w:eastAsia="en-US" w:bidi="kn-IN"/>
              </w:rPr>
            </w:pPr>
            <w:proofErr w:type="gramStart"/>
            <w:r w:rsidRPr="001D6316">
              <w:rPr>
                <w:rFonts w:ascii="Times New Roman" w:hAnsi="Times New Roman"/>
                <w:bCs/>
                <w:sz w:val="24"/>
                <w:szCs w:val="24"/>
                <w:lang w:eastAsia="en-US" w:bidi="kn-IN"/>
              </w:rPr>
              <w:t>до</w:t>
            </w:r>
            <w:proofErr w:type="gramEnd"/>
            <w:r w:rsidRPr="001D6316">
              <w:rPr>
                <w:rFonts w:ascii="Times New Roman" w:hAnsi="Times New Roman"/>
                <w:bCs/>
                <w:sz w:val="24"/>
                <w:szCs w:val="24"/>
                <w:lang w:eastAsia="en-US" w:bidi="kn-IN"/>
              </w:rPr>
              <w:t xml:space="preserve"> 40</w:t>
            </w:r>
          </w:p>
        </w:tc>
        <w:tc>
          <w:tcPr>
            <w:tcW w:w="1706" w:type="dxa"/>
            <w:shd w:val="clear" w:color="auto" w:fill="auto"/>
          </w:tcPr>
          <w:p w14:paraId="5D3B7CEE"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Pr>
                <w:rFonts w:ascii="Times New Roman" w:hAnsi="Times New Roman"/>
                <w:sz w:val="24"/>
                <w:szCs w:val="24"/>
                <w:lang w:eastAsia="en-US" w:bidi="kn-IN"/>
              </w:rPr>
              <w:t>7 (4,7%)</w:t>
            </w:r>
          </w:p>
        </w:tc>
      </w:tr>
      <w:tr w:rsidR="005C199B" w:rsidRPr="00145B66" w14:paraId="2AB4AF7C" w14:textId="77777777" w:rsidTr="00094F6F">
        <w:trPr>
          <w:trHeight w:val="340"/>
          <w:jc w:val="center"/>
        </w:trPr>
        <w:tc>
          <w:tcPr>
            <w:tcW w:w="7366" w:type="dxa"/>
            <w:shd w:val="clear" w:color="auto" w:fill="auto"/>
            <w:vAlign w:val="bottom"/>
          </w:tcPr>
          <w:p w14:paraId="53E9709D" w14:textId="77777777" w:rsidR="005C199B" w:rsidRPr="001D6316" w:rsidRDefault="005C199B" w:rsidP="00094F6F">
            <w:pPr>
              <w:widowControl w:val="0"/>
              <w:spacing w:after="0" w:line="240" w:lineRule="auto"/>
              <w:ind w:firstLine="602"/>
              <w:rPr>
                <w:rFonts w:ascii="Times New Roman" w:hAnsi="Times New Roman"/>
                <w:bCs/>
                <w:sz w:val="24"/>
                <w:szCs w:val="24"/>
                <w:lang w:eastAsia="en-US" w:bidi="kn-IN"/>
              </w:rPr>
            </w:pPr>
            <w:r w:rsidRPr="001D6316">
              <w:rPr>
                <w:rFonts w:ascii="Times New Roman" w:hAnsi="Times New Roman"/>
                <w:bCs/>
                <w:sz w:val="24"/>
                <w:szCs w:val="24"/>
                <w:lang w:eastAsia="en-US" w:bidi="kn-IN"/>
              </w:rPr>
              <w:t>40-49</w:t>
            </w:r>
          </w:p>
        </w:tc>
        <w:tc>
          <w:tcPr>
            <w:tcW w:w="1706" w:type="dxa"/>
            <w:shd w:val="clear" w:color="auto" w:fill="auto"/>
          </w:tcPr>
          <w:p w14:paraId="3D92257B"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Pr>
                <w:rFonts w:ascii="Times New Roman" w:hAnsi="Times New Roman"/>
                <w:sz w:val="24"/>
                <w:szCs w:val="24"/>
                <w:lang w:eastAsia="en-US" w:bidi="kn-IN"/>
              </w:rPr>
              <w:t>10 (6,7%)</w:t>
            </w:r>
          </w:p>
        </w:tc>
      </w:tr>
      <w:tr w:rsidR="005C199B" w:rsidRPr="00145B66" w14:paraId="5425901F" w14:textId="77777777" w:rsidTr="00094F6F">
        <w:trPr>
          <w:trHeight w:val="340"/>
          <w:jc w:val="center"/>
        </w:trPr>
        <w:tc>
          <w:tcPr>
            <w:tcW w:w="7366" w:type="dxa"/>
            <w:shd w:val="clear" w:color="auto" w:fill="auto"/>
            <w:vAlign w:val="bottom"/>
          </w:tcPr>
          <w:p w14:paraId="70BCECAE" w14:textId="77777777" w:rsidR="005C199B" w:rsidRPr="001D6316" w:rsidRDefault="005C199B" w:rsidP="00094F6F">
            <w:pPr>
              <w:widowControl w:val="0"/>
              <w:spacing w:after="0" w:line="240" w:lineRule="auto"/>
              <w:ind w:firstLine="602"/>
              <w:rPr>
                <w:rFonts w:ascii="Times New Roman" w:hAnsi="Times New Roman"/>
                <w:bCs/>
                <w:sz w:val="24"/>
                <w:szCs w:val="24"/>
                <w:lang w:eastAsia="en-US" w:bidi="kn-IN"/>
              </w:rPr>
            </w:pPr>
            <w:r w:rsidRPr="001D6316">
              <w:rPr>
                <w:rFonts w:ascii="Times New Roman" w:hAnsi="Times New Roman"/>
                <w:bCs/>
                <w:sz w:val="24"/>
                <w:szCs w:val="24"/>
                <w:lang w:eastAsia="en-US" w:bidi="kn-IN"/>
              </w:rPr>
              <w:t>50-59</w:t>
            </w:r>
          </w:p>
        </w:tc>
        <w:tc>
          <w:tcPr>
            <w:tcW w:w="1706" w:type="dxa"/>
            <w:shd w:val="clear" w:color="auto" w:fill="auto"/>
          </w:tcPr>
          <w:p w14:paraId="1AD0B7BD"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Pr>
                <w:rFonts w:ascii="Times New Roman" w:hAnsi="Times New Roman"/>
                <w:sz w:val="24"/>
                <w:szCs w:val="24"/>
                <w:lang w:eastAsia="en-US" w:bidi="kn-IN"/>
              </w:rPr>
              <w:t>26 (17,3%)</w:t>
            </w:r>
          </w:p>
        </w:tc>
      </w:tr>
      <w:tr w:rsidR="005C199B" w:rsidRPr="00145B66" w14:paraId="6F43C1D6" w14:textId="77777777" w:rsidTr="00094F6F">
        <w:trPr>
          <w:trHeight w:val="340"/>
          <w:jc w:val="center"/>
        </w:trPr>
        <w:tc>
          <w:tcPr>
            <w:tcW w:w="7366" w:type="dxa"/>
            <w:shd w:val="clear" w:color="auto" w:fill="auto"/>
            <w:vAlign w:val="bottom"/>
            <w:hideMark/>
          </w:tcPr>
          <w:p w14:paraId="4016D386" w14:textId="77777777" w:rsidR="005C199B" w:rsidRPr="001D6316" w:rsidRDefault="005C199B" w:rsidP="00094F6F">
            <w:pPr>
              <w:widowControl w:val="0"/>
              <w:spacing w:after="0" w:line="240" w:lineRule="auto"/>
              <w:ind w:firstLine="602"/>
              <w:rPr>
                <w:rFonts w:ascii="Times New Roman" w:hAnsi="Times New Roman"/>
                <w:bCs/>
                <w:sz w:val="24"/>
                <w:szCs w:val="24"/>
                <w:lang w:eastAsia="en-US" w:bidi="kn-IN"/>
              </w:rPr>
            </w:pPr>
            <w:r w:rsidRPr="001D6316">
              <w:rPr>
                <w:rFonts w:ascii="Times New Roman" w:hAnsi="Times New Roman"/>
                <w:bCs/>
                <w:sz w:val="24"/>
                <w:szCs w:val="24"/>
                <w:lang w:eastAsia="en-US" w:bidi="kn-IN"/>
              </w:rPr>
              <w:t>60-69</w:t>
            </w:r>
          </w:p>
        </w:tc>
        <w:tc>
          <w:tcPr>
            <w:tcW w:w="1706" w:type="dxa"/>
            <w:shd w:val="clear" w:color="auto" w:fill="auto"/>
            <w:hideMark/>
          </w:tcPr>
          <w:p w14:paraId="46BD827D"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Pr>
                <w:rFonts w:ascii="Times New Roman" w:hAnsi="Times New Roman"/>
                <w:sz w:val="24"/>
                <w:szCs w:val="24"/>
                <w:lang w:eastAsia="en-US" w:bidi="kn-IN"/>
              </w:rPr>
              <w:t>100 (66,7%)</w:t>
            </w:r>
          </w:p>
        </w:tc>
      </w:tr>
      <w:tr w:rsidR="005C199B" w:rsidRPr="00145B66" w14:paraId="7FD1136C" w14:textId="77777777" w:rsidTr="00094F6F">
        <w:trPr>
          <w:trHeight w:val="340"/>
          <w:jc w:val="center"/>
        </w:trPr>
        <w:tc>
          <w:tcPr>
            <w:tcW w:w="7366" w:type="dxa"/>
            <w:shd w:val="clear" w:color="auto" w:fill="auto"/>
            <w:vAlign w:val="bottom"/>
            <w:hideMark/>
          </w:tcPr>
          <w:p w14:paraId="15701313" w14:textId="77777777" w:rsidR="005C199B" w:rsidRPr="001D6316" w:rsidRDefault="005C199B" w:rsidP="00094F6F">
            <w:pPr>
              <w:widowControl w:val="0"/>
              <w:spacing w:after="0" w:line="240" w:lineRule="auto"/>
              <w:ind w:firstLine="602"/>
              <w:rPr>
                <w:rFonts w:ascii="Times New Roman" w:hAnsi="Times New Roman"/>
                <w:bCs/>
                <w:sz w:val="24"/>
                <w:szCs w:val="24"/>
                <w:lang w:eastAsia="en-US" w:bidi="kn-IN"/>
              </w:rPr>
            </w:pPr>
            <w:r w:rsidRPr="001D6316">
              <w:rPr>
                <w:rFonts w:ascii="Times New Roman" w:hAnsi="Times New Roman"/>
                <w:bCs/>
                <w:sz w:val="24"/>
                <w:szCs w:val="24"/>
                <w:lang w:eastAsia="en-US" w:bidi="kn-IN"/>
              </w:rPr>
              <w:t>70+</w:t>
            </w:r>
          </w:p>
        </w:tc>
        <w:tc>
          <w:tcPr>
            <w:tcW w:w="1706" w:type="dxa"/>
            <w:shd w:val="clear" w:color="auto" w:fill="auto"/>
            <w:hideMark/>
          </w:tcPr>
          <w:p w14:paraId="07987BC6"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Pr>
                <w:rFonts w:ascii="Times New Roman" w:hAnsi="Times New Roman"/>
                <w:sz w:val="24"/>
                <w:szCs w:val="24"/>
                <w:lang w:eastAsia="en-US" w:bidi="kn-IN"/>
              </w:rPr>
              <w:t xml:space="preserve">7 </w:t>
            </w:r>
            <w:r w:rsidRPr="001D6316">
              <w:rPr>
                <w:rFonts w:ascii="Times New Roman" w:hAnsi="Times New Roman"/>
                <w:sz w:val="24"/>
                <w:szCs w:val="24"/>
                <w:lang w:eastAsia="en-US" w:bidi="kn-IN"/>
              </w:rPr>
              <w:t>(</w:t>
            </w:r>
            <w:r>
              <w:rPr>
                <w:rFonts w:ascii="Times New Roman" w:hAnsi="Times New Roman"/>
                <w:sz w:val="24"/>
                <w:szCs w:val="24"/>
                <w:lang w:eastAsia="en-US" w:bidi="kn-IN"/>
              </w:rPr>
              <w:t>4,7%</w:t>
            </w:r>
            <w:r w:rsidRPr="001D6316">
              <w:rPr>
                <w:rFonts w:ascii="Times New Roman" w:hAnsi="Times New Roman"/>
                <w:sz w:val="24"/>
                <w:szCs w:val="24"/>
                <w:lang w:eastAsia="en-US" w:bidi="kn-IN"/>
              </w:rPr>
              <w:t>)</w:t>
            </w:r>
          </w:p>
        </w:tc>
      </w:tr>
      <w:tr w:rsidR="005C199B" w:rsidRPr="00145B66" w14:paraId="2CA15B48" w14:textId="77777777" w:rsidTr="00094F6F">
        <w:trPr>
          <w:trHeight w:val="340"/>
          <w:jc w:val="center"/>
        </w:trPr>
        <w:tc>
          <w:tcPr>
            <w:tcW w:w="9072" w:type="dxa"/>
            <w:gridSpan w:val="2"/>
            <w:shd w:val="clear" w:color="auto" w:fill="auto"/>
            <w:vAlign w:val="center"/>
            <w:hideMark/>
          </w:tcPr>
          <w:p w14:paraId="12E314CB" w14:textId="77777777" w:rsidR="005C199B" w:rsidRPr="001D6316" w:rsidRDefault="005C199B" w:rsidP="00094F6F">
            <w:pPr>
              <w:widowControl w:val="0"/>
              <w:spacing w:after="0" w:line="240" w:lineRule="auto"/>
              <w:rPr>
                <w:rFonts w:ascii="Times New Roman" w:hAnsi="Times New Roman"/>
                <w:b/>
                <w:bCs/>
                <w:sz w:val="24"/>
                <w:szCs w:val="24"/>
                <w:lang w:eastAsia="en-US" w:bidi="kn-IN"/>
              </w:rPr>
            </w:pPr>
            <w:r w:rsidRPr="001D6316">
              <w:rPr>
                <w:rFonts w:ascii="Times New Roman" w:hAnsi="Times New Roman"/>
                <w:b/>
                <w:bCs/>
                <w:sz w:val="24"/>
                <w:szCs w:val="24"/>
                <w:lang w:eastAsia="en-US" w:bidi="kn-IN"/>
              </w:rPr>
              <w:t>Стадии рака</w:t>
            </w:r>
          </w:p>
        </w:tc>
      </w:tr>
      <w:tr w:rsidR="005C199B" w:rsidRPr="00145B66" w14:paraId="613A7E38" w14:textId="77777777" w:rsidTr="00094F6F">
        <w:trPr>
          <w:trHeight w:val="340"/>
          <w:jc w:val="center"/>
        </w:trPr>
        <w:tc>
          <w:tcPr>
            <w:tcW w:w="7366" w:type="dxa"/>
            <w:shd w:val="clear" w:color="auto" w:fill="auto"/>
            <w:vAlign w:val="center"/>
          </w:tcPr>
          <w:p w14:paraId="4537A116" w14:textId="77777777" w:rsidR="005C199B" w:rsidRPr="001D6316" w:rsidRDefault="005C199B" w:rsidP="00094F6F">
            <w:pPr>
              <w:widowControl w:val="0"/>
              <w:spacing w:after="0" w:line="240" w:lineRule="auto"/>
              <w:ind w:firstLine="602"/>
              <w:rPr>
                <w:rFonts w:ascii="Times New Roman" w:hAnsi="Times New Roman"/>
                <w:sz w:val="24"/>
                <w:szCs w:val="24"/>
                <w:lang w:val="en-US" w:eastAsia="en-US" w:bidi="kn-IN"/>
              </w:rPr>
            </w:pPr>
            <w:r w:rsidRPr="001D6316">
              <w:rPr>
                <w:rFonts w:ascii="Times New Roman" w:hAnsi="Times New Roman"/>
                <w:sz w:val="24"/>
                <w:szCs w:val="24"/>
                <w:lang w:val="en-US" w:eastAsia="en-US" w:bidi="kn-IN"/>
              </w:rPr>
              <w:t>I</w:t>
            </w:r>
          </w:p>
        </w:tc>
        <w:tc>
          <w:tcPr>
            <w:tcW w:w="1706" w:type="dxa"/>
            <w:shd w:val="clear" w:color="auto" w:fill="auto"/>
          </w:tcPr>
          <w:p w14:paraId="022BB139" w14:textId="77777777" w:rsidR="005C199B" w:rsidRPr="001D6316" w:rsidRDefault="005C199B" w:rsidP="00094F6F">
            <w:pPr>
              <w:widowControl w:val="0"/>
              <w:spacing w:after="0" w:line="240" w:lineRule="auto"/>
              <w:jc w:val="center"/>
              <w:rPr>
                <w:rFonts w:ascii="Times New Roman" w:hAnsi="Times New Roman"/>
                <w:sz w:val="24"/>
                <w:szCs w:val="24"/>
                <w:lang w:val="en-US" w:eastAsia="en-US" w:bidi="kn-IN"/>
              </w:rPr>
            </w:pPr>
            <w:r w:rsidRPr="001D6316">
              <w:rPr>
                <w:rFonts w:ascii="Times New Roman" w:hAnsi="Times New Roman"/>
                <w:sz w:val="24"/>
                <w:szCs w:val="24"/>
                <w:lang w:eastAsia="en-US" w:bidi="kn-IN"/>
              </w:rPr>
              <w:t>1</w:t>
            </w:r>
            <w:r>
              <w:rPr>
                <w:rFonts w:ascii="Times New Roman" w:hAnsi="Times New Roman"/>
                <w:sz w:val="24"/>
                <w:szCs w:val="24"/>
                <w:lang w:eastAsia="en-US" w:bidi="kn-IN"/>
              </w:rPr>
              <w:t xml:space="preserve">5 </w:t>
            </w:r>
            <w:r w:rsidRPr="001D6316">
              <w:rPr>
                <w:rFonts w:ascii="Times New Roman" w:hAnsi="Times New Roman"/>
                <w:sz w:val="24"/>
                <w:szCs w:val="24"/>
                <w:lang w:val="en-US" w:eastAsia="en-US" w:bidi="kn-IN"/>
              </w:rPr>
              <w:t>(</w:t>
            </w:r>
            <w:r w:rsidRPr="001D6316">
              <w:rPr>
                <w:rFonts w:ascii="Times New Roman" w:hAnsi="Times New Roman"/>
                <w:sz w:val="24"/>
                <w:szCs w:val="24"/>
                <w:lang w:eastAsia="en-US" w:bidi="kn-IN"/>
              </w:rPr>
              <w:t>10</w:t>
            </w:r>
            <w:r>
              <w:rPr>
                <w:rFonts w:ascii="Times New Roman" w:hAnsi="Times New Roman"/>
                <w:sz w:val="24"/>
                <w:szCs w:val="24"/>
                <w:lang w:eastAsia="en-US" w:bidi="kn-IN"/>
              </w:rPr>
              <w:t>,0%</w:t>
            </w:r>
            <w:r w:rsidRPr="001D6316">
              <w:rPr>
                <w:rFonts w:ascii="Times New Roman" w:hAnsi="Times New Roman"/>
                <w:sz w:val="24"/>
                <w:szCs w:val="24"/>
                <w:lang w:val="en-US" w:eastAsia="en-US" w:bidi="kn-IN"/>
              </w:rPr>
              <w:t>)</w:t>
            </w:r>
          </w:p>
        </w:tc>
      </w:tr>
      <w:tr w:rsidR="005C199B" w:rsidRPr="00145B66" w14:paraId="2DABF0BD" w14:textId="77777777" w:rsidTr="00094F6F">
        <w:trPr>
          <w:trHeight w:val="340"/>
          <w:jc w:val="center"/>
        </w:trPr>
        <w:tc>
          <w:tcPr>
            <w:tcW w:w="7366" w:type="dxa"/>
            <w:shd w:val="clear" w:color="auto" w:fill="auto"/>
            <w:vAlign w:val="center"/>
          </w:tcPr>
          <w:p w14:paraId="1C091220" w14:textId="77777777" w:rsidR="005C199B" w:rsidRPr="001D6316" w:rsidRDefault="005C199B" w:rsidP="00094F6F">
            <w:pPr>
              <w:widowControl w:val="0"/>
              <w:spacing w:after="0" w:line="240" w:lineRule="auto"/>
              <w:ind w:firstLine="602"/>
              <w:rPr>
                <w:rFonts w:ascii="Times New Roman" w:hAnsi="Times New Roman"/>
                <w:bCs/>
                <w:sz w:val="24"/>
                <w:szCs w:val="24"/>
                <w:lang w:val="en-US" w:eastAsia="en-US" w:bidi="kn-IN"/>
              </w:rPr>
            </w:pPr>
            <w:r w:rsidRPr="001D6316">
              <w:rPr>
                <w:rFonts w:ascii="Times New Roman" w:hAnsi="Times New Roman"/>
                <w:bCs/>
                <w:sz w:val="24"/>
                <w:szCs w:val="24"/>
                <w:lang w:val="en-US" w:eastAsia="en-US" w:bidi="kn-IN"/>
              </w:rPr>
              <w:t>II</w:t>
            </w:r>
          </w:p>
        </w:tc>
        <w:tc>
          <w:tcPr>
            <w:tcW w:w="1706" w:type="dxa"/>
            <w:shd w:val="clear" w:color="auto" w:fill="auto"/>
          </w:tcPr>
          <w:p w14:paraId="23090FB2" w14:textId="77777777" w:rsidR="005C199B" w:rsidRPr="001D6316" w:rsidRDefault="005C199B" w:rsidP="00094F6F">
            <w:pPr>
              <w:widowControl w:val="0"/>
              <w:spacing w:after="0" w:line="240" w:lineRule="auto"/>
              <w:jc w:val="center"/>
              <w:rPr>
                <w:rFonts w:ascii="Times New Roman" w:hAnsi="Times New Roman"/>
                <w:sz w:val="24"/>
                <w:szCs w:val="24"/>
                <w:lang w:val="en-US" w:eastAsia="en-US" w:bidi="kn-IN"/>
              </w:rPr>
            </w:pPr>
            <w:r w:rsidRPr="001D6316">
              <w:rPr>
                <w:rFonts w:ascii="Times New Roman" w:hAnsi="Times New Roman"/>
                <w:sz w:val="24"/>
                <w:szCs w:val="24"/>
                <w:lang w:eastAsia="en-US" w:bidi="kn-IN"/>
              </w:rPr>
              <w:t>38</w:t>
            </w:r>
            <w:r>
              <w:rPr>
                <w:rFonts w:ascii="Times New Roman" w:hAnsi="Times New Roman"/>
                <w:sz w:val="24"/>
                <w:szCs w:val="24"/>
                <w:lang w:eastAsia="en-US" w:bidi="kn-IN"/>
              </w:rPr>
              <w:t xml:space="preserve"> </w:t>
            </w:r>
            <w:r w:rsidRPr="001D6316">
              <w:rPr>
                <w:rFonts w:ascii="Times New Roman" w:hAnsi="Times New Roman"/>
                <w:sz w:val="24"/>
                <w:szCs w:val="24"/>
                <w:lang w:val="en-US" w:eastAsia="en-US" w:bidi="kn-IN"/>
              </w:rPr>
              <w:t>(</w:t>
            </w:r>
            <w:r w:rsidRPr="001D6316">
              <w:rPr>
                <w:rFonts w:ascii="Times New Roman" w:hAnsi="Times New Roman"/>
                <w:sz w:val="24"/>
                <w:szCs w:val="24"/>
                <w:lang w:eastAsia="en-US" w:bidi="kn-IN"/>
              </w:rPr>
              <w:t>25</w:t>
            </w:r>
            <w:r>
              <w:rPr>
                <w:rFonts w:ascii="Times New Roman" w:hAnsi="Times New Roman"/>
                <w:sz w:val="24"/>
                <w:szCs w:val="24"/>
                <w:lang w:eastAsia="en-US" w:bidi="kn-IN"/>
              </w:rPr>
              <w:t>,3%</w:t>
            </w:r>
            <w:r w:rsidRPr="001D6316">
              <w:rPr>
                <w:rFonts w:ascii="Times New Roman" w:hAnsi="Times New Roman"/>
                <w:sz w:val="24"/>
                <w:szCs w:val="24"/>
                <w:lang w:val="en-US" w:eastAsia="en-US" w:bidi="kn-IN"/>
              </w:rPr>
              <w:t>)</w:t>
            </w:r>
          </w:p>
        </w:tc>
      </w:tr>
      <w:tr w:rsidR="005C199B" w:rsidRPr="00145B66" w14:paraId="44E83B65" w14:textId="77777777" w:rsidTr="00094F6F">
        <w:trPr>
          <w:trHeight w:val="340"/>
          <w:jc w:val="center"/>
        </w:trPr>
        <w:tc>
          <w:tcPr>
            <w:tcW w:w="7366" w:type="dxa"/>
            <w:shd w:val="clear" w:color="auto" w:fill="auto"/>
            <w:vAlign w:val="center"/>
          </w:tcPr>
          <w:p w14:paraId="383F4AAB" w14:textId="77777777" w:rsidR="005C199B" w:rsidRPr="001D6316" w:rsidRDefault="005C199B" w:rsidP="00094F6F">
            <w:pPr>
              <w:widowControl w:val="0"/>
              <w:spacing w:after="0" w:line="240" w:lineRule="auto"/>
              <w:ind w:firstLine="602"/>
              <w:rPr>
                <w:rFonts w:ascii="Times New Roman" w:hAnsi="Times New Roman"/>
                <w:bCs/>
                <w:sz w:val="24"/>
                <w:szCs w:val="24"/>
                <w:lang w:val="en-US" w:eastAsia="en-US" w:bidi="kn-IN"/>
              </w:rPr>
            </w:pPr>
            <w:r w:rsidRPr="001D6316">
              <w:rPr>
                <w:rFonts w:ascii="Times New Roman" w:hAnsi="Times New Roman"/>
                <w:bCs/>
                <w:sz w:val="24"/>
                <w:szCs w:val="24"/>
                <w:lang w:val="en-US" w:eastAsia="en-US" w:bidi="kn-IN"/>
              </w:rPr>
              <w:t>III</w:t>
            </w:r>
          </w:p>
        </w:tc>
        <w:tc>
          <w:tcPr>
            <w:tcW w:w="1706" w:type="dxa"/>
            <w:shd w:val="clear" w:color="auto" w:fill="auto"/>
          </w:tcPr>
          <w:p w14:paraId="6F204AF3" w14:textId="77777777" w:rsidR="005C199B" w:rsidRPr="001D6316" w:rsidRDefault="005C199B" w:rsidP="00094F6F">
            <w:pPr>
              <w:widowControl w:val="0"/>
              <w:spacing w:after="0" w:line="240" w:lineRule="auto"/>
              <w:jc w:val="center"/>
              <w:rPr>
                <w:rFonts w:ascii="Times New Roman" w:hAnsi="Times New Roman"/>
                <w:sz w:val="24"/>
                <w:szCs w:val="24"/>
                <w:lang w:val="en-US" w:eastAsia="en-US" w:bidi="kn-IN"/>
              </w:rPr>
            </w:pPr>
            <w:r w:rsidRPr="001D6316">
              <w:rPr>
                <w:rFonts w:ascii="Times New Roman" w:hAnsi="Times New Roman"/>
                <w:sz w:val="24"/>
                <w:szCs w:val="24"/>
                <w:lang w:eastAsia="en-US" w:bidi="kn-IN"/>
              </w:rPr>
              <w:t>9</w:t>
            </w:r>
            <w:r>
              <w:rPr>
                <w:rFonts w:ascii="Times New Roman" w:hAnsi="Times New Roman"/>
                <w:sz w:val="24"/>
                <w:szCs w:val="24"/>
                <w:lang w:eastAsia="en-US" w:bidi="kn-IN"/>
              </w:rPr>
              <w:t xml:space="preserve">7 </w:t>
            </w:r>
            <w:r w:rsidRPr="001D6316">
              <w:rPr>
                <w:rFonts w:ascii="Times New Roman" w:hAnsi="Times New Roman"/>
                <w:sz w:val="24"/>
                <w:szCs w:val="24"/>
                <w:lang w:val="en-US" w:eastAsia="en-US" w:bidi="kn-IN"/>
              </w:rPr>
              <w:t>(</w:t>
            </w:r>
            <w:r w:rsidRPr="001D6316">
              <w:rPr>
                <w:rFonts w:ascii="Times New Roman" w:hAnsi="Times New Roman"/>
                <w:sz w:val="24"/>
                <w:szCs w:val="24"/>
                <w:lang w:eastAsia="en-US" w:bidi="kn-IN"/>
              </w:rPr>
              <w:t>6</w:t>
            </w:r>
            <w:r>
              <w:rPr>
                <w:rFonts w:ascii="Times New Roman" w:hAnsi="Times New Roman"/>
                <w:sz w:val="24"/>
                <w:szCs w:val="24"/>
                <w:lang w:eastAsia="en-US" w:bidi="kn-IN"/>
              </w:rPr>
              <w:t>4,7%</w:t>
            </w:r>
            <w:r w:rsidRPr="001D6316">
              <w:rPr>
                <w:rFonts w:ascii="Times New Roman" w:hAnsi="Times New Roman"/>
                <w:sz w:val="24"/>
                <w:szCs w:val="24"/>
                <w:lang w:val="en-US" w:eastAsia="en-US" w:bidi="kn-IN"/>
              </w:rPr>
              <w:t>)</w:t>
            </w:r>
          </w:p>
        </w:tc>
      </w:tr>
      <w:tr w:rsidR="005C199B" w:rsidRPr="00145B66" w14:paraId="30C0F940" w14:textId="77777777" w:rsidTr="00094F6F">
        <w:trPr>
          <w:trHeight w:val="340"/>
          <w:jc w:val="center"/>
        </w:trPr>
        <w:tc>
          <w:tcPr>
            <w:tcW w:w="9072" w:type="dxa"/>
            <w:gridSpan w:val="2"/>
            <w:shd w:val="clear" w:color="auto" w:fill="auto"/>
            <w:vAlign w:val="center"/>
          </w:tcPr>
          <w:p w14:paraId="1C3B79EB" w14:textId="77777777" w:rsidR="005C199B" w:rsidRPr="001D6316" w:rsidRDefault="005C199B" w:rsidP="00094F6F">
            <w:pPr>
              <w:widowControl w:val="0"/>
              <w:spacing w:after="0" w:line="240" w:lineRule="auto"/>
              <w:rPr>
                <w:rFonts w:ascii="Times New Roman" w:hAnsi="Times New Roman"/>
                <w:b/>
                <w:bCs/>
                <w:sz w:val="24"/>
                <w:szCs w:val="24"/>
                <w:lang w:eastAsia="en-US" w:bidi="kn-IN"/>
              </w:rPr>
            </w:pPr>
            <w:r w:rsidRPr="001D6316">
              <w:rPr>
                <w:rFonts w:ascii="Times New Roman" w:hAnsi="Times New Roman"/>
                <w:b/>
                <w:bCs/>
                <w:sz w:val="24"/>
                <w:szCs w:val="24"/>
                <w:lang w:eastAsia="en-US" w:bidi="kn-IN"/>
              </w:rPr>
              <w:t>Гистологический тип рака</w:t>
            </w:r>
          </w:p>
        </w:tc>
      </w:tr>
      <w:tr w:rsidR="005C199B" w:rsidRPr="00145B66" w14:paraId="02BC5795" w14:textId="77777777" w:rsidTr="00094F6F">
        <w:trPr>
          <w:trHeight w:val="340"/>
          <w:jc w:val="center"/>
        </w:trPr>
        <w:tc>
          <w:tcPr>
            <w:tcW w:w="7366" w:type="dxa"/>
            <w:shd w:val="clear" w:color="auto" w:fill="auto"/>
            <w:vAlign w:val="center"/>
          </w:tcPr>
          <w:p w14:paraId="7626CDA9" w14:textId="77777777" w:rsidR="005C199B" w:rsidRPr="001D6316" w:rsidRDefault="005C199B" w:rsidP="00094F6F">
            <w:pPr>
              <w:widowControl w:val="0"/>
              <w:spacing w:after="0" w:line="240" w:lineRule="auto"/>
              <w:ind w:firstLine="602"/>
              <w:rPr>
                <w:rFonts w:ascii="Times New Roman" w:hAnsi="Times New Roman"/>
                <w:sz w:val="24"/>
                <w:szCs w:val="24"/>
                <w:lang w:eastAsia="en-US" w:bidi="kn-IN"/>
              </w:rPr>
            </w:pPr>
            <w:proofErr w:type="gramStart"/>
            <w:r w:rsidRPr="001D6316">
              <w:rPr>
                <w:rFonts w:ascii="Times New Roman" w:hAnsi="Times New Roman"/>
                <w:sz w:val="24"/>
                <w:szCs w:val="24"/>
                <w:lang w:eastAsia="en-US" w:bidi="kn-IN"/>
              </w:rPr>
              <w:t>аденокарцинома</w:t>
            </w:r>
            <w:proofErr w:type="gramEnd"/>
            <w:r w:rsidRPr="001D6316">
              <w:rPr>
                <w:rFonts w:ascii="Times New Roman" w:hAnsi="Times New Roman"/>
                <w:sz w:val="24"/>
                <w:szCs w:val="24"/>
                <w:lang w:eastAsia="en-US" w:bidi="kn-IN"/>
              </w:rPr>
              <w:t xml:space="preserve"> </w:t>
            </w:r>
          </w:p>
        </w:tc>
        <w:tc>
          <w:tcPr>
            <w:tcW w:w="1706" w:type="dxa"/>
            <w:shd w:val="clear" w:color="auto" w:fill="auto"/>
          </w:tcPr>
          <w:p w14:paraId="49ACBC30" w14:textId="18F41344" w:rsidR="005C199B" w:rsidRPr="001D6316" w:rsidRDefault="00B51D95" w:rsidP="00B51D95">
            <w:pPr>
              <w:widowControl w:val="0"/>
              <w:spacing w:after="0" w:line="240" w:lineRule="auto"/>
              <w:rPr>
                <w:rFonts w:ascii="Times New Roman" w:hAnsi="Times New Roman"/>
                <w:sz w:val="24"/>
                <w:szCs w:val="24"/>
                <w:lang w:eastAsia="en-US" w:bidi="kn-IN"/>
              </w:rPr>
            </w:pPr>
            <w:r>
              <w:rPr>
                <w:rFonts w:ascii="Times New Roman" w:hAnsi="Times New Roman"/>
                <w:sz w:val="24"/>
                <w:szCs w:val="24"/>
                <w:lang w:eastAsia="en-US" w:bidi="kn-IN"/>
              </w:rPr>
              <w:t xml:space="preserve">   </w:t>
            </w:r>
            <w:r w:rsidR="005C199B" w:rsidRPr="001D6316">
              <w:rPr>
                <w:rFonts w:ascii="Times New Roman" w:hAnsi="Times New Roman"/>
                <w:sz w:val="24"/>
                <w:szCs w:val="24"/>
                <w:lang w:eastAsia="en-US" w:bidi="kn-IN"/>
              </w:rPr>
              <w:t>85</w:t>
            </w:r>
            <w:r w:rsidR="005C199B">
              <w:rPr>
                <w:rFonts w:ascii="Times New Roman" w:hAnsi="Times New Roman"/>
                <w:sz w:val="24"/>
                <w:szCs w:val="24"/>
                <w:lang w:eastAsia="en-US" w:bidi="kn-IN"/>
              </w:rPr>
              <w:t xml:space="preserve"> </w:t>
            </w:r>
            <w:r w:rsidR="005C199B" w:rsidRPr="001D6316">
              <w:rPr>
                <w:rFonts w:ascii="Times New Roman" w:hAnsi="Times New Roman"/>
                <w:sz w:val="24"/>
                <w:szCs w:val="24"/>
                <w:lang w:eastAsia="en-US" w:bidi="kn-IN"/>
              </w:rPr>
              <w:t>(5</w:t>
            </w:r>
            <w:r w:rsidR="005C199B">
              <w:rPr>
                <w:rFonts w:ascii="Times New Roman" w:hAnsi="Times New Roman"/>
                <w:sz w:val="24"/>
                <w:szCs w:val="24"/>
                <w:lang w:eastAsia="en-US" w:bidi="kn-IN"/>
              </w:rPr>
              <w:t>6,</w:t>
            </w:r>
            <w:r w:rsidR="005C199B" w:rsidRPr="001D6316">
              <w:rPr>
                <w:rFonts w:ascii="Times New Roman" w:hAnsi="Times New Roman"/>
                <w:sz w:val="24"/>
                <w:szCs w:val="24"/>
                <w:lang w:eastAsia="en-US" w:bidi="kn-IN"/>
              </w:rPr>
              <w:t>7)</w:t>
            </w:r>
          </w:p>
        </w:tc>
      </w:tr>
      <w:tr w:rsidR="005C199B" w:rsidRPr="00145B66" w14:paraId="58C0BFCD" w14:textId="77777777" w:rsidTr="00094F6F">
        <w:trPr>
          <w:trHeight w:val="340"/>
          <w:jc w:val="center"/>
        </w:trPr>
        <w:tc>
          <w:tcPr>
            <w:tcW w:w="7366" w:type="dxa"/>
            <w:shd w:val="clear" w:color="auto" w:fill="auto"/>
            <w:vAlign w:val="center"/>
          </w:tcPr>
          <w:p w14:paraId="0E788FF3" w14:textId="77777777" w:rsidR="005C199B" w:rsidRPr="001D6316" w:rsidRDefault="005C199B" w:rsidP="00094F6F">
            <w:pPr>
              <w:widowControl w:val="0"/>
              <w:spacing w:after="0" w:line="240" w:lineRule="auto"/>
              <w:ind w:firstLine="602"/>
              <w:rPr>
                <w:rFonts w:ascii="Times New Roman" w:hAnsi="Times New Roman"/>
                <w:sz w:val="24"/>
                <w:szCs w:val="24"/>
                <w:lang w:eastAsia="en-US" w:bidi="kn-IN"/>
              </w:rPr>
            </w:pPr>
            <w:proofErr w:type="spellStart"/>
            <w:proofErr w:type="gramStart"/>
            <w:r w:rsidRPr="001D6316">
              <w:rPr>
                <w:rFonts w:ascii="Times New Roman" w:hAnsi="Times New Roman"/>
                <w:sz w:val="24"/>
                <w:szCs w:val="24"/>
                <w:shd w:val="clear" w:color="auto" w:fill="FFFFFF"/>
                <w:lang w:bidi="kn-IN"/>
              </w:rPr>
              <w:t>перстеневидно</w:t>
            </w:r>
            <w:proofErr w:type="spellEnd"/>
            <w:proofErr w:type="gramEnd"/>
            <w:r w:rsidRPr="001D6316">
              <w:rPr>
                <w:rFonts w:ascii="Times New Roman" w:hAnsi="Times New Roman"/>
                <w:sz w:val="24"/>
                <w:szCs w:val="24"/>
                <w:shd w:val="clear" w:color="auto" w:fill="FFFFFF"/>
                <w:lang w:bidi="kn-IN"/>
              </w:rPr>
              <w:t>-клеточная карцинома </w:t>
            </w:r>
          </w:p>
        </w:tc>
        <w:tc>
          <w:tcPr>
            <w:tcW w:w="1706" w:type="dxa"/>
            <w:shd w:val="clear" w:color="auto" w:fill="auto"/>
          </w:tcPr>
          <w:p w14:paraId="4237262F"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eastAsia="en-US" w:bidi="kn-IN"/>
              </w:rPr>
              <w:t>45</w:t>
            </w:r>
            <w:r>
              <w:rPr>
                <w:rFonts w:ascii="Times New Roman" w:hAnsi="Times New Roman"/>
                <w:sz w:val="24"/>
                <w:szCs w:val="24"/>
                <w:lang w:eastAsia="en-US" w:bidi="kn-IN"/>
              </w:rPr>
              <w:t xml:space="preserve"> </w:t>
            </w:r>
            <w:r w:rsidRPr="001D6316">
              <w:rPr>
                <w:rFonts w:ascii="Times New Roman" w:hAnsi="Times New Roman"/>
                <w:sz w:val="24"/>
                <w:szCs w:val="24"/>
                <w:lang w:eastAsia="en-US" w:bidi="kn-IN"/>
              </w:rPr>
              <w:t>(30</w:t>
            </w:r>
            <w:r>
              <w:rPr>
                <w:rFonts w:ascii="Times New Roman" w:hAnsi="Times New Roman"/>
                <w:sz w:val="24"/>
                <w:szCs w:val="24"/>
                <w:lang w:eastAsia="en-US" w:bidi="kn-IN"/>
              </w:rPr>
              <w:t>,0%</w:t>
            </w:r>
            <w:r w:rsidRPr="001D6316">
              <w:rPr>
                <w:rFonts w:ascii="Times New Roman" w:hAnsi="Times New Roman"/>
                <w:sz w:val="24"/>
                <w:szCs w:val="24"/>
                <w:lang w:eastAsia="en-US" w:bidi="kn-IN"/>
              </w:rPr>
              <w:t>)</w:t>
            </w:r>
          </w:p>
        </w:tc>
      </w:tr>
      <w:tr w:rsidR="005C199B" w:rsidRPr="00145B66" w14:paraId="43DB6D1F" w14:textId="77777777" w:rsidTr="00094F6F">
        <w:trPr>
          <w:trHeight w:val="340"/>
          <w:jc w:val="center"/>
        </w:trPr>
        <w:tc>
          <w:tcPr>
            <w:tcW w:w="7366" w:type="dxa"/>
            <w:shd w:val="clear" w:color="auto" w:fill="auto"/>
            <w:vAlign w:val="center"/>
          </w:tcPr>
          <w:p w14:paraId="758AF66F" w14:textId="77777777" w:rsidR="005C199B" w:rsidRPr="001D6316" w:rsidRDefault="005C199B" w:rsidP="00094F6F">
            <w:pPr>
              <w:widowControl w:val="0"/>
              <w:spacing w:after="0" w:line="240" w:lineRule="auto"/>
              <w:ind w:firstLine="602"/>
              <w:rPr>
                <w:rFonts w:ascii="Times New Roman" w:hAnsi="Times New Roman"/>
                <w:sz w:val="24"/>
                <w:szCs w:val="24"/>
                <w:lang w:eastAsia="en-US" w:bidi="kn-IN"/>
              </w:rPr>
            </w:pPr>
            <w:proofErr w:type="gramStart"/>
            <w:r w:rsidRPr="001D6316">
              <w:rPr>
                <w:rFonts w:ascii="Times New Roman" w:hAnsi="Times New Roman"/>
                <w:sz w:val="24"/>
                <w:szCs w:val="24"/>
                <w:lang w:eastAsia="en-US" w:bidi="kn-IN"/>
              </w:rPr>
              <w:t>недифференцированная</w:t>
            </w:r>
            <w:proofErr w:type="gramEnd"/>
            <w:r w:rsidRPr="001D6316">
              <w:rPr>
                <w:rFonts w:ascii="Times New Roman" w:hAnsi="Times New Roman"/>
                <w:sz w:val="24"/>
                <w:szCs w:val="24"/>
                <w:lang w:eastAsia="en-US" w:bidi="kn-IN"/>
              </w:rPr>
              <w:t xml:space="preserve"> карцинома</w:t>
            </w:r>
          </w:p>
        </w:tc>
        <w:tc>
          <w:tcPr>
            <w:tcW w:w="1706" w:type="dxa"/>
            <w:shd w:val="clear" w:color="auto" w:fill="auto"/>
          </w:tcPr>
          <w:p w14:paraId="6F1CEDCB" w14:textId="77777777" w:rsidR="005C199B" w:rsidRPr="001D6316" w:rsidRDefault="005C199B" w:rsidP="00094F6F">
            <w:pPr>
              <w:widowControl w:val="0"/>
              <w:spacing w:after="0" w:line="240" w:lineRule="auto"/>
              <w:jc w:val="center"/>
              <w:rPr>
                <w:rFonts w:ascii="Times New Roman" w:hAnsi="Times New Roman"/>
                <w:sz w:val="24"/>
                <w:szCs w:val="24"/>
                <w:lang w:val="kk-KZ" w:eastAsia="en-US" w:bidi="kn-IN"/>
              </w:rPr>
            </w:pPr>
            <w:r w:rsidRPr="001D6316">
              <w:rPr>
                <w:rFonts w:ascii="Times New Roman" w:hAnsi="Times New Roman"/>
                <w:sz w:val="24"/>
                <w:szCs w:val="24"/>
                <w:lang w:eastAsia="en-US" w:bidi="kn-IN"/>
              </w:rPr>
              <w:t>20</w:t>
            </w:r>
            <w:r>
              <w:rPr>
                <w:rFonts w:ascii="Times New Roman" w:hAnsi="Times New Roman"/>
                <w:sz w:val="24"/>
                <w:szCs w:val="24"/>
                <w:lang w:eastAsia="en-US" w:bidi="kn-IN"/>
              </w:rPr>
              <w:t xml:space="preserve"> </w:t>
            </w:r>
            <w:r w:rsidRPr="001D6316">
              <w:rPr>
                <w:rFonts w:ascii="Times New Roman" w:hAnsi="Times New Roman"/>
                <w:sz w:val="24"/>
                <w:szCs w:val="24"/>
                <w:lang w:eastAsia="en-US" w:bidi="kn-IN"/>
              </w:rPr>
              <w:t>(13</w:t>
            </w:r>
            <w:r>
              <w:rPr>
                <w:rFonts w:ascii="Times New Roman" w:hAnsi="Times New Roman"/>
                <w:sz w:val="24"/>
                <w:szCs w:val="24"/>
                <w:lang w:eastAsia="en-US" w:bidi="kn-IN"/>
              </w:rPr>
              <w:t>,3%</w:t>
            </w:r>
            <w:r w:rsidRPr="001D6316">
              <w:rPr>
                <w:rFonts w:ascii="Times New Roman" w:hAnsi="Times New Roman"/>
                <w:sz w:val="24"/>
                <w:szCs w:val="24"/>
                <w:lang w:eastAsia="en-US" w:bidi="kn-IN"/>
              </w:rPr>
              <w:t>)</w:t>
            </w:r>
          </w:p>
        </w:tc>
      </w:tr>
      <w:tr w:rsidR="005C199B" w:rsidRPr="00145B66" w14:paraId="232FAD4F" w14:textId="77777777" w:rsidTr="00094F6F">
        <w:trPr>
          <w:trHeight w:val="340"/>
          <w:jc w:val="center"/>
        </w:trPr>
        <w:tc>
          <w:tcPr>
            <w:tcW w:w="9072" w:type="dxa"/>
            <w:gridSpan w:val="2"/>
            <w:shd w:val="clear" w:color="auto" w:fill="auto"/>
            <w:vAlign w:val="center"/>
            <w:hideMark/>
          </w:tcPr>
          <w:p w14:paraId="53F61926" w14:textId="77777777" w:rsidR="005C199B" w:rsidRPr="001D6316" w:rsidRDefault="005C199B" w:rsidP="00094F6F">
            <w:pPr>
              <w:widowControl w:val="0"/>
              <w:spacing w:after="0" w:line="240" w:lineRule="auto"/>
              <w:rPr>
                <w:rFonts w:ascii="Times New Roman" w:hAnsi="Times New Roman"/>
                <w:b/>
                <w:bCs/>
                <w:sz w:val="24"/>
                <w:szCs w:val="24"/>
                <w:lang w:eastAsia="en-US" w:bidi="kn-IN"/>
              </w:rPr>
            </w:pPr>
            <w:r w:rsidRPr="001D6316">
              <w:rPr>
                <w:rFonts w:ascii="Times New Roman" w:hAnsi="Times New Roman"/>
                <w:b/>
                <w:bCs/>
                <w:sz w:val="24"/>
                <w:szCs w:val="24"/>
                <w:lang w:eastAsia="en-US" w:bidi="kn-IN"/>
              </w:rPr>
              <w:t>Степень дифференцировки</w:t>
            </w:r>
          </w:p>
        </w:tc>
      </w:tr>
      <w:tr w:rsidR="005C199B" w:rsidRPr="00145B66" w14:paraId="0CFC393E" w14:textId="77777777" w:rsidTr="00094F6F">
        <w:trPr>
          <w:trHeight w:val="340"/>
          <w:jc w:val="center"/>
        </w:trPr>
        <w:tc>
          <w:tcPr>
            <w:tcW w:w="7366" w:type="dxa"/>
            <w:shd w:val="clear" w:color="auto" w:fill="auto"/>
            <w:vAlign w:val="center"/>
            <w:hideMark/>
          </w:tcPr>
          <w:p w14:paraId="771875C1" w14:textId="77777777" w:rsidR="005C199B" w:rsidRPr="001D6316" w:rsidRDefault="005C199B" w:rsidP="00094F6F">
            <w:pPr>
              <w:widowControl w:val="0"/>
              <w:spacing w:after="0" w:line="240" w:lineRule="auto"/>
              <w:ind w:firstLine="602"/>
              <w:rPr>
                <w:rFonts w:ascii="Times New Roman" w:hAnsi="Times New Roman"/>
                <w:bCs/>
                <w:sz w:val="24"/>
                <w:szCs w:val="24"/>
                <w:lang w:eastAsia="en-US" w:bidi="kn-IN"/>
              </w:rPr>
            </w:pPr>
            <w:proofErr w:type="gramStart"/>
            <w:r w:rsidRPr="001D6316">
              <w:rPr>
                <w:rFonts w:ascii="Times New Roman" w:hAnsi="Times New Roman"/>
                <w:bCs/>
                <w:sz w:val="24"/>
                <w:szCs w:val="24"/>
                <w:lang w:eastAsia="en-US" w:bidi="kn-IN"/>
              </w:rPr>
              <w:t>низкая</w:t>
            </w:r>
            <w:proofErr w:type="gramEnd"/>
            <w:r w:rsidRPr="001D6316">
              <w:rPr>
                <w:rFonts w:ascii="Times New Roman" w:hAnsi="Times New Roman"/>
                <w:bCs/>
                <w:sz w:val="24"/>
                <w:szCs w:val="24"/>
                <w:lang w:eastAsia="en-US" w:bidi="kn-IN"/>
              </w:rPr>
              <w:t xml:space="preserve"> </w:t>
            </w:r>
          </w:p>
        </w:tc>
        <w:tc>
          <w:tcPr>
            <w:tcW w:w="1706" w:type="dxa"/>
            <w:shd w:val="clear" w:color="auto" w:fill="auto"/>
          </w:tcPr>
          <w:p w14:paraId="006A66F3" w14:textId="77777777" w:rsidR="005C199B" w:rsidRPr="001D6316" w:rsidRDefault="005C199B" w:rsidP="00094F6F">
            <w:pPr>
              <w:widowControl w:val="0"/>
              <w:spacing w:after="0" w:line="240" w:lineRule="auto"/>
              <w:jc w:val="center"/>
              <w:rPr>
                <w:rFonts w:ascii="Times New Roman" w:hAnsi="Times New Roman"/>
                <w:sz w:val="24"/>
                <w:szCs w:val="24"/>
                <w:lang w:val="en-US" w:eastAsia="en-US" w:bidi="kn-IN"/>
              </w:rPr>
            </w:pPr>
            <w:r>
              <w:rPr>
                <w:rFonts w:ascii="Times New Roman" w:hAnsi="Times New Roman"/>
                <w:sz w:val="24"/>
                <w:szCs w:val="24"/>
                <w:lang w:eastAsia="en-US" w:bidi="kn-IN"/>
              </w:rPr>
              <w:t xml:space="preserve">72 </w:t>
            </w:r>
            <w:r w:rsidRPr="001D6316">
              <w:rPr>
                <w:rFonts w:ascii="Times New Roman" w:hAnsi="Times New Roman"/>
                <w:sz w:val="24"/>
                <w:szCs w:val="24"/>
                <w:lang w:val="en-US" w:eastAsia="en-US" w:bidi="kn-IN"/>
              </w:rPr>
              <w:t>(</w:t>
            </w:r>
            <w:r>
              <w:rPr>
                <w:rFonts w:ascii="Times New Roman" w:hAnsi="Times New Roman"/>
                <w:sz w:val="24"/>
                <w:szCs w:val="24"/>
                <w:lang w:eastAsia="en-US" w:bidi="kn-IN"/>
              </w:rPr>
              <w:t>48,0%</w:t>
            </w:r>
            <w:r w:rsidRPr="001D6316">
              <w:rPr>
                <w:rFonts w:ascii="Times New Roman" w:hAnsi="Times New Roman"/>
                <w:sz w:val="24"/>
                <w:szCs w:val="24"/>
                <w:lang w:val="en-US" w:eastAsia="en-US" w:bidi="kn-IN"/>
              </w:rPr>
              <w:t>)</w:t>
            </w:r>
          </w:p>
        </w:tc>
      </w:tr>
      <w:tr w:rsidR="005C199B" w:rsidRPr="00145B66" w14:paraId="08BD7F0F" w14:textId="77777777" w:rsidTr="00094F6F">
        <w:trPr>
          <w:trHeight w:val="340"/>
          <w:jc w:val="center"/>
        </w:trPr>
        <w:tc>
          <w:tcPr>
            <w:tcW w:w="7366" w:type="dxa"/>
            <w:shd w:val="clear" w:color="auto" w:fill="auto"/>
            <w:vAlign w:val="center"/>
            <w:hideMark/>
          </w:tcPr>
          <w:p w14:paraId="432CC582" w14:textId="77777777" w:rsidR="005C199B" w:rsidRPr="001D6316" w:rsidRDefault="005C199B" w:rsidP="00094F6F">
            <w:pPr>
              <w:widowControl w:val="0"/>
              <w:spacing w:after="0" w:line="240" w:lineRule="auto"/>
              <w:ind w:firstLine="602"/>
              <w:rPr>
                <w:rFonts w:ascii="Times New Roman" w:hAnsi="Times New Roman"/>
                <w:bCs/>
                <w:sz w:val="24"/>
                <w:szCs w:val="24"/>
                <w:lang w:eastAsia="en-US" w:bidi="kn-IN"/>
              </w:rPr>
            </w:pPr>
            <w:proofErr w:type="gramStart"/>
            <w:r w:rsidRPr="001D6316">
              <w:rPr>
                <w:rFonts w:ascii="Times New Roman" w:hAnsi="Times New Roman"/>
                <w:bCs/>
                <w:sz w:val="24"/>
                <w:szCs w:val="24"/>
                <w:lang w:eastAsia="en-US" w:bidi="kn-IN"/>
              </w:rPr>
              <w:t>высокая</w:t>
            </w:r>
            <w:proofErr w:type="gramEnd"/>
            <w:r w:rsidRPr="001D6316">
              <w:rPr>
                <w:rFonts w:ascii="Times New Roman" w:hAnsi="Times New Roman"/>
                <w:bCs/>
                <w:sz w:val="24"/>
                <w:szCs w:val="24"/>
                <w:lang w:eastAsia="en-US" w:bidi="kn-IN"/>
              </w:rPr>
              <w:t xml:space="preserve"> </w:t>
            </w:r>
          </w:p>
        </w:tc>
        <w:tc>
          <w:tcPr>
            <w:tcW w:w="1706" w:type="dxa"/>
            <w:shd w:val="clear" w:color="auto" w:fill="auto"/>
          </w:tcPr>
          <w:p w14:paraId="27A1E43B" w14:textId="77777777" w:rsidR="005C199B" w:rsidRPr="001D6316" w:rsidRDefault="005C199B" w:rsidP="00094F6F">
            <w:pPr>
              <w:widowControl w:val="0"/>
              <w:spacing w:after="0" w:line="240" w:lineRule="auto"/>
              <w:jc w:val="center"/>
              <w:rPr>
                <w:rFonts w:ascii="Times New Roman" w:hAnsi="Times New Roman"/>
                <w:sz w:val="24"/>
                <w:szCs w:val="24"/>
                <w:lang w:val="en-US" w:eastAsia="en-US" w:bidi="kn-IN"/>
              </w:rPr>
            </w:pPr>
            <w:r>
              <w:rPr>
                <w:rFonts w:ascii="Times New Roman" w:hAnsi="Times New Roman"/>
                <w:sz w:val="24"/>
                <w:szCs w:val="24"/>
                <w:lang w:eastAsia="en-US" w:bidi="kn-IN"/>
              </w:rPr>
              <w:t>7</w:t>
            </w:r>
            <w:r w:rsidRPr="001D6316">
              <w:rPr>
                <w:rFonts w:ascii="Times New Roman" w:hAnsi="Times New Roman"/>
                <w:sz w:val="24"/>
                <w:szCs w:val="24"/>
                <w:lang w:val="en-US" w:eastAsia="en-US" w:bidi="kn-IN"/>
              </w:rPr>
              <w:t>8</w:t>
            </w:r>
            <w:r>
              <w:rPr>
                <w:rFonts w:ascii="Times New Roman" w:hAnsi="Times New Roman"/>
                <w:sz w:val="24"/>
                <w:szCs w:val="24"/>
                <w:lang w:eastAsia="en-US" w:bidi="kn-IN"/>
              </w:rPr>
              <w:t xml:space="preserve"> </w:t>
            </w:r>
            <w:r w:rsidRPr="001D6316">
              <w:rPr>
                <w:rFonts w:ascii="Times New Roman" w:hAnsi="Times New Roman"/>
                <w:sz w:val="24"/>
                <w:szCs w:val="24"/>
                <w:lang w:val="en-US" w:eastAsia="en-US" w:bidi="kn-IN"/>
              </w:rPr>
              <w:t>(5</w:t>
            </w:r>
            <w:r>
              <w:rPr>
                <w:rFonts w:ascii="Times New Roman" w:hAnsi="Times New Roman"/>
                <w:sz w:val="24"/>
                <w:szCs w:val="24"/>
                <w:lang w:eastAsia="en-US" w:bidi="kn-IN"/>
              </w:rPr>
              <w:t>2,0%</w:t>
            </w:r>
            <w:r w:rsidRPr="001D6316">
              <w:rPr>
                <w:rFonts w:ascii="Times New Roman" w:hAnsi="Times New Roman"/>
                <w:sz w:val="24"/>
                <w:szCs w:val="24"/>
                <w:lang w:val="en-US" w:eastAsia="en-US" w:bidi="kn-IN"/>
              </w:rPr>
              <w:t>)</w:t>
            </w:r>
          </w:p>
        </w:tc>
      </w:tr>
      <w:tr w:rsidR="005C199B" w:rsidRPr="00145B66" w14:paraId="2A6C89E9" w14:textId="77777777" w:rsidTr="00094F6F">
        <w:trPr>
          <w:trHeight w:val="340"/>
          <w:jc w:val="center"/>
        </w:trPr>
        <w:tc>
          <w:tcPr>
            <w:tcW w:w="9072" w:type="dxa"/>
            <w:gridSpan w:val="2"/>
            <w:shd w:val="clear" w:color="auto" w:fill="auto"/>
            <w:vAlign w:val="center"/>
            <w:hideMark/>
          </w:tcPr>
          <w:p w14:paraId="68C00AD5" w14:textId="77777777" w:rsidR="005C199B" w:rsidRPr="001D6316" w:rsidRDefault="005C199B" w:rsidP="00094F6F">
            <w:pPr>
              <w:widowControl w:val="0"/>
              <w:spacing w:after="0" w:line="240" w:lineRule="auto"/>
              <w:rPr>
                <w:rFonts w:ascii="Times New Roman" w:hAnsi="Times New Roman"/>
                <w:b/>
                <w:bCs/>
                <w:sz w:val="24"/>
                <w:szCs w:val="24"/>
                <w:lang w:eastAsia="en-US" w:bidi="kn-IN"/>
              </w:rPr>
            </w:pPr>
            <w:r w:rsidRPr="001D6316">
              <w:rPr>
                <w:rFonts w:ascii="Times New Roman" w:hAnsi="Times New Roman"/>
                <w:b/>
                <w:bCs/>
                <w:sz w:val="24"/>
                <w:szCs w:val="24"/>
                <w:lang w:eastAsia="en-US" w:bidi="kn-IN"/>
              </w:rPr>
              <w:t>Локализация рака</w:t>
            </w:r>
          </w:p>
        </w:tc>
      </w:tr>
      <w:tr w:rsidR="005C199B" w:rsidRPr="00145B66" w14:paraId="051C0D94" w14:textId="77777777" w:rsidTr="00094F6F">
        <w:trPr>
          <w:trHeight w:val="340"/>
          <w:jc w:val="center"/>
        </w:trPr>
        <w:tc>
          <w:tcPr>
            <w:tcW w:w="7366" w:type="dxa"/>
            <w:shd w:val="clear" w:color="auto" w:fill="auto"/>
            <w:vAlign w:val="center"/>
            <w:hideMark/>
          </w:tcPr>
          <w:p w14:paraId="20F38524" w14:textId="77777777" w:rsidR="005C199B" w:rsidRPr="001D6316" w:rsidRDefault="005C199B" w:rsidP="00094F6F">
            <w:pPr>
              <w:widowControl w:val="0"/>
              <w:spacing w:after="0" w:line="240" w:lineRule="auto"/>
              <w:ind w:firstLine="602"/>
              <w:rPr>
                <w:rFonts w:ascii="Times New Roman" w:hAnsi="Times New Roman"/>
                <w:bCs/>
                <w:sz w:val="24"/>
                <w:szCs w:val="24"/>
                <w:lang w:eastAsia="en-US" w:bidi="kn-IN"/>
              </w:rPr>
            </w:pPr>
            <w:proofErr w:type="gramStart"/>
            <w:r w:rsidRPr="001D6316">
              <w:rPr>
                <w:rFonts w:ascii="Times New Roman" w:hAnsi="Times New Roman"/>
                <w:bCs/>
                <w:sz w:val="24"/>
                <w:szCs w:val="24"/>
                <w:lang w:eastAsia="en-US" w:bidi="kn-IN"/>
              </w:rPr>
              <w:t>восходящая</w:t>
            </w:r>
            <w:proofErr w:type="gramEnd"/>
            <w:r w:rsidRPr="001D6316">
              <w:rPr>
                <w:rFonts w:ascii="Times New Roman" w:hAnsi="Times New Roman"/>
                <w:bCs/>
                <w:sz w:val="24"/>
                <w:szCs w:val="24"/>
                <w:lang w:eastAsia="en-US" w:bidi="kn-IN"/>
              </w:rPr>
              <w:t xml:space="preserve"> ободочная кишка</w:t>
            </w:r>
          </w:p>
        </w:tc>
        <w:tc>
          <w:tcPr>
            <w:tcW w:w="1706" w:type="dxa"/>
            <w:shd w:val="clear" w:color="auto" w:fill="auto"/>
            <w:hideMark/>
          </w:tcPr>
          <w:p w14:paraId="39477338"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eastAsia="en-US" w:bidi="kn-IN"/>
              </w:rPr>
              <w:t>6</w:t>
            </w:r>
            <w:r>
              <w:rPr>
                <w:rFonts w:ascii="Times New Roman" w:hAnsi="Times New Roman"/>
                <w:sz w:val="24"/>
                <w:szCs w:val="24"/>
                <w:lang w:eastAsia="en-US" w:bidi="kn-IN"/>
              </w:rPr>
              <w:t xml:space="preserve">9 </w:t>
            </w:r>
            <w:r w:rsidRPr="001D6316">
              <w:rPr>
                <w:rFonts w:ascii="Times New Roman" w:hAnsi="Times New Roman"/>
                <w:sz w:val="24"/>
                <w:szCs w:val="24"/>
                <w:lang w:eastAsia="en-US" w:bidi="kn-IN"/>
              </w:rPr>
              <w:t>(4</w:t>
            </w:r>
            <w:r>
              <w:rPr>
                <w:rFonts w:ascii="Times New Roman" w:hAnsi="Times New Roman"/>
                <w:sz w:val="24"/>
                <w:szCs w:val="24"/>
                <w:lang w:eastAsia="en-US" w:bidi="kn-IN"/>
              </w:rPr>
              <w:t>6,0%</w:t>
            </w:r>
            <w:r w:rsidRPr="001D6316">
              <w:rPr>
                <w:rFonts w:ascii="Times New Roman" w:hAnsi="Times New Roman"/>
                <w:sz w:val="24"/>
                <w:szCs w:val="24"/>
                <w:lang w:eastAsia="en-US" w:bidi="kn-IN"/>
              </w:rPr>
              <w:t>)</w:t>
            </w:r>
          </w:p>
        </w:tc>
      </w:tr>
      <w:tr w:rsidR="005C199B" w:rsidRPr="00145B66" w14:paraId="3EE6243A" w14:textId="77777777" w:rsidTr="00094F6F">
        <w:trPr>
          <w:trHeight w:val="340"/>
          <w:jc w:val="center"/>
        </w:trPr>
        <w:tc>
          <w:tcPr>
            <w:tcW w:w="7366" w:type="dxa"/>
            <w:shd w:val="clear" w:color="auto" w:fill="auto"/>
            <w:vAlign w:val="center"/>
            <w:hideMark/>
          </w:tcPr>
          <w:p w14:paraId="20419F44" w14:textId="77777777" w:rsidR="005C199B" w:rsidRPr="001D6316" w:rsidRDefault="005C199B" w:rsidP="00094F6F">
            <w:pPr>
              <w:widowControl w:val="0"/>
              <w:spacing w:after="0" w:line="240" w:lineRule="auto"/>
              <w:ind w:firstLine="602"/>
              <w:rPr>
                <w:rFonts w:ascii="Times New Roman" w:hAnsi="Times New Roman"/>
                <w:bCs/>
                <w:sz w:val="24"/>
                <w:szCs w:val="24"/>
                <w:lang w:eastAsia="en-US" w:bidi="kn-IN"/>
              </w:rPr>
            </w:pPr>
            <w:proofErr w:type="gramStart"/>
            <w:r w:rsidRPr="001D6316">
              <w:rPr>
                <w:rFonts w:ascii="Times New Roman" w:hAnsi="Times New Roman"/>
                <w:bCs/>
                <w:sz w:val="24"/>
                <w:szCs w:val="24"/>
                <w:lang w:eastAsia="en-US" w:bidi="kn-IN"/>
              </w:rPr>
              <w:t>поперечно</w:t>
            </w:r>
            <w:proofErr w:type="gramEnd"/>
            <w:r w:rsidRPr="001D6316">
              <w:rPr>
                <w:rFonts w:ascii="Times New Roman" w:hAnsi="Times New Roman"/>
                <w:bCs/>
                <w:sz w:val="24"/>
                <w:szCs w:val="24"/>
                <w:lang w:eastAsia="en-US" w:bidi="kn-IN"/>
              </w:rPr>
              <w:t>-ободочная кишка</w:t>
            </w:r>
          </w:p>
        </w:tc>
        <w:tc>
          <w:tcPr>
            <w:tcW w:w="1706" w:type="dxa"/>
            <w:shd w:val="clear" w:color="auto" w:fill="auto"/>
            <w:hideMark/>
          </w:tcPr>
          <w:p w14:paraId="1087A589"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Pr>
                <w:rFonts w:ascii="Times New Roman" w:hAnsi="Times New Roman"/>
                <w:sz w:val="24"/>
                <w:szCs w:val="24"/>
                <w:lang w:eastAsia="en-US" w:bidi="kn-IN"/>
              </w:rPr>
              <w:t xml:space="preserve">9 </w:t>
            </w:r>
            <w:r w:rsidRPr="001D6316">
              <w:rPr>
                <w:rFonts w:ascii="Times New Roman" w:hAnsi="Times New Roman"/>
                <w:sz w:val="24"/>
                <w:szCs w:val="24"/>
                <w:lang w:eastAsia="en-US" w:bidi="kn-IN"/>
              </w:rPr>
              <w:t>(</w:t>
            </w:r>
            <w:r>
              <w:rPr>
                <w:rFonts w:ascii="Times New Roman" w:hAnsi="Times New Roman"/>
                <w:sz w:val="24"/>
                <w:szCs w:val="24"/>
                <w:lang w:eastAsia="en-US" w:bidi="kn-IN"/>
              </w:rPr>
              <w:t>6,0%</w:t>
            </w:r>
            <w:r w:rsidRPr="001D6316">
              <w:rPr>
                <w:rFonts w:ascii="Times New Roman" w:hAnsi="Times New Roman"/>
                <w:sz w:val="24"/>
                <w:szCs w:val="24"/>
                <w:lang w:eastAsia="en-US" w:bidi="kn-IN"/>
              </w:rPr>
              <w:t>)</w:t>
            </w:r>
          </w:p>
        </w:tc>
      </w:tr>
      <w:tr w:rsidR="005C199B" w:rsidRPr="00145B66" w14:paraId="6E44CB22" w14:textId="77777777" w:rsidTr="00094F6F">
        <w:trPr>
          <w:trHeight w:val="340"/>
          <w:jc w:val="center"/>
        </w:trPr>
        <w:tc>
          <w:tcPr>
            <w:tcW w:w="7366" w:type="dxa"/>
            <w:shd w:val="clear" w:color="auto" w:fill="auto"/>
            <w:vAlign w:val="center"/>
            <w:hideMark/>
          </w:tcPr>
          <w:p w14:paraId="1E08AC66" w14:textId="77777777" w:rsidR="005C199B" w:rsidRPr="001D6316" w:rsidRDefault="005C199B" w:rsidP="00094F6F">
            <w:pPr>
              <w:widowControl w:val="0"/>
              <w:spacing w:after="0" w:line="240" w:lineRule="auto"/>
              <w:ind w:firstLine="602"/>
              <w:rPr>
                <w:rFonts w:ascii="Times New Roman" w:hAnsi="Times New Roman"/>
                <w:bCs/>
                <w:sz w:val="24"/>
                <w:szCs w:val="24"/>
                <w:lang w:eastAsia="en-US" w:bidi="kn-IN"/>
              </w:rPr>
            </w:pPr>
            <w:proofErr w:type="gramStart"/>
            <w:r w:rsidRPr="001D6316">
              <w:rPr>
                <w:rFonts w:ascii="Times New Roman" w:hAnsi="Times New Roman"/>
                <w:bCs/>
                <w:sz w:val="24"/>
                <w:szCs w:val="24"/>
                <w:lang w:eastAsia="en-US" w:bidi="kn-IN"/>
              </w:rPr>
              <w:t>нисходящая</w:t>
            </w:r>
            <w:proofErr w:type="gramEnd"/>
            <w:r w:rsidRPr="001D6316">
              <w:rPr>
                <w:rFonts w:ascii="Times New Roman" w:hAnsi="Times New Roman"/>
                <w:bCs/>
                <w:sz w:val="24"/>
                <w:szCs w:val="24"/>
                <w:lang w:eastAsia="en-US" w:bidi="kn-IN"/>
              </w:rPr>
              <w:t xml:space="preserve"> ободочная кишка</w:t>
            </w:r>
          </w:p>
        </w:tc>
        <w:tc>
          <w:tcPr>
            <w:tcW w:w="1706" w:type="dxa"/>
            <w:shd w:val="clear" w:color="auto" w:fill="auto"/>
            <w:hideMark/>
          </w:tcPr>
          <w:p w14:paraId="4DCA8B0A"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eastAsia="en-US" w:bidi="kn-IN"/>
              </w:rPr>
              <w:t>57</w:t>
            </w:r>
            <w:r>
              <w:rPr>
                <w:rFonts w:ascii="Times New Roman" w:hAnsi="Times New Roman"/>
                <w:sz w:val="24"/>
                <w:szCs w:val="24"/>
                <w:lang w:eastAsia="en-US" w:bidi="kn-IN"/>
              </w:rPr>
              <w:t xml:space="preserve"> </w:t>
            </w:r>
            <w:r w:rsidRPr="001D6316">
              <w:rPr>
                <w:rFonts w:ascii="Times New Roman" w:hAnsi="Times New Roman"/>
                <w:sz w:val="24"/>
                <w:szCs w:val="24"/>
                <w:lang w:eastAsia="en-US" w:bidi="kn-IN"/>
              </w:rPr>
              <w:t>(38</w:t>
            </w:r>
            <w:r>
              <w:rPr>
                <w:rFonts w:ascii="Times New Roman" w:hAnsi="Times New Roman"/>
                <w:sz w:val="24"/>
                <w:szCs w:val="24"/>
                <w:lang w:eastAsia="en-US" w:bidi="kn-IN"/>
              </w:rPr>
              <w:t>,0%</w:t>
            </w:r>
            <w:r w:rsidRPr="001D6316">
              <w:rPr>
                <w:rFonts w:ascii="Times New Roman" w:hAnsi="Times New Roman"/>
                <w:sz w:val="24"/>
                <w:szCs w:val="24"/>
                <w:lang w:eastAsia="en-US" w:bidi="kn-IN"/>
              </w:rPr>
              <w:t>)</w:t>
            </w:r>
          </w:p>
        </w:tc>
      </w:tr>
      <w:tr w:rsidR="005C199B" w:rsidRPr="00145B66" w14:paraId="134F39E0" w14:textId="77777777" w:rsidTr="00094F6F">
        <w:trPr>
          <w:trHeight w:val="340"/>
          <w:jc w:val="center"/>
        </w:trPr>
        <w:tc>
          <w:tcPr>
            <w:tcW w:w="7366" w:type="dxa"/>
            <w:shd w:val="clear" w:color="auto" w:fill="auto"/>
            <w:vAlign w:val="center"/>
          </w:tcPr>
          <w:p w14:paraId="6031C2A6" w14:textId="77777777" w:rsidR="005C199B" w:rsidRPr="001D6316" w:rsidRDefault="005C199B" w:rsidP="00094F6F">
            <w:pPr>
              <w:widowControl w:val="0"/>
              <w:spacing w:after="0" w:line="240" w:lineRule="auto"/>
              <w:ind w:firstLine="602"/>
              <w:rPr>
                <w:rFonts w:ascii="Times New Roman" w:hAnsi="Times New Roman"/>
                <w:bCs/>
                <w:sz w:val="24"/>
                <w:szCs w:val="24"/>
                <w:lang w:eastAsia="en-US" w:bidi="kn-IN"/>
              </w:rPr>
            </w:pPr>
            <w:proofErr w:type="gramStart"/>
            <w:r w:rsidRPr="001D6316">
              <w:rPr>
                <w:rFonts w:ascii="Times New Roman" w:hAnsi="Times New Roman"/>
                <w:bCs/>
                <w:sz w:val="24"/>
                <w:szCs w:val="24"/>
                <w:lang w:eastAsia="en-US" w:bidi="kn-IN"/>
              </w:rPr>
              <w:t>сигмовидная</w:t>
            </w:r>
            <w:proofErr w:type="gramEnd"/>
            <w:r w:rsidRPr="001D6316">
              <w:rPr>
                <w:rFonts w:ascii="Times New Roman" w:hAnsi="Times New Roman"/>
                <w:bCs/>
                <w:sz w:val="24"/>
                <w:szCs w:val="24"/>
                <w:lang w:eastAsia="en-US" w:bidi="kn-IN"/>
              </w:rPr>
              <w:t xml:space="preserve"> ободочная кишка</w:t>
            </w:r>
          </w:p>
        </w:tc>
        <w:tc>
          <w:tcPr>
            <w:tcW w:w="1706" w:type="dxa"/>
            <w:shd w:val="clear" w:color="auto" w:fill="auto"/>
          </w:tcPr>
          <w:p w14:paraId="70053856"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eastAsia="en-US" w:bidi="kn-IN"/>
              </w:rPr>
              <w:t>15</w:t>
            </w:r>
            <w:r>
              <w:rPr>
                <w:rFonts w:ascii="Times New Roman" w:hAnsi="Times New Roman"/>
                <w:sz w:val="24"/>
                <w:szCs w:val="24"/>
                <w:lang w:eastAsia="en-US" w:bidi="kn-IN"/>
              </w:rPr>
              <w:t xml:space="preserve"> </w:t>
            </w:r>
            <w:r w:rsidRPr="001D6316">
              <w:rPr>
                <w:rFonts w:ascii="Times New Roman" w:hAnsi="Times New Roman"/>
                <w:sz w:val="24"/>
                <w:szCs w:val="24"/>
                <w:lang w:eastAsia="en-US" w:bidi="kn-IN"/>
              </w:rPr>
              <w:t>(10</w:t>
            </w:r>
            <w:r>
              <w:rPr>
                <w:rFonts w:ascii="Times New Roman" w:hAnsi="Times New Roman"/>
                <w:sz w:val="24"/>
                <w:szCs w:val="24"/>
                <w:lang w:eastAsia="en-US" w:bidi="kn-IN"/>
              </w:rPr>
              <w:t>,0%</w:t>
            </w:r>
            <w:r w:rsidRPr="001D6316">
              <w:rPr>
                <w:rFonts w:ascii="Times New Roman" w:hAnsi="Times New Roman"/>
                <w:sz w:val="24"/>
                <w:szCs w:val="24"/>
                <w:lang w:eastAsia="en-US" w:bidi="kn-IN"/>
              </w:rPr>
              <w:t>)</w:t>
            </w:r>
          </w:p>
        </w:tc>
      </w:tr>
      <w:tr w:rsidR="005C199B" w:rsidRPr="00145B66" w14:paraId="063A736C" w14:textId="77777777" w:rsidTr="00094F6F">
        <w:trPr>
          <w:trHeight w:val="340"/>
          <w:jc w:val="center"/>
        </w:trPr>
        <w:tc>
          <w:tcPr>
            <w:tcW w:w="9072" w:type="dxa"/>
            <w:gridSpan w:val="2"/>
            <w:shd w:val="clear" w:color="auto" w:fill="auto"/>
            <w:vAlign w:val="center"/>
          </w:tcPr>
          <w:p w14:paraId="616BF8F3" w14:textId="77777777" w:rsidR="005C199B" w:rsidRPr="001D6316" w:rsidRDefault="005C199B" w:rsidP="00094F6F">
            <w:pPr>
              <w:widowControl w:val="0"/>
              <w:spacing w:after="0" w:line="240" w:lineRule="auto"/>
              <w:rPr>
                <w:rFonts w:ascii="Times New Roman" w:hAnsi="Times New Roman"/>
                <w:b/>
                <w:bCs/>
                <w:sz w:val="24"/>
                <w:szCs w:val="24"/>
                <w:lang w:eastAsia="en-US" w:bidi="kn-IN"/>
              </w:rPr>
            </w:pPr>
            <w:r w:rsidRPr="001D6316">
              <w:rPr>
                <w:rFonts w:ascii="Times New Roman" w:hAnsi="Times New Roman"/>
                <w:b/>
                <w:bCs/>
                <w:sz w:val="24"/>
                <w:szCs w:val="24"/>
                <w:lang w:eastAsia="en-US" w:bidi="kn-IN"/>
              </w:rPr>
              <w:t>Вид операции</w:t>
            </w:r>
          </w:p>
        </w:tc>
      </w:tr>
      <w:tr w:rsidR="005C199B" w:rsidRPr="00145B66" w14:paraId="63B7E73F" w14:textId="77777777" w:rsidTr="00094F6F">
        <w:trPr>
          <w:trHeight w:val="340"/>
          <w:jc w:val="center"/>
        </w:trPr>
        <w:tc>
          <w:tcPr>
            <w:tcW w:w="7366" w:type="dxa"/>
            <w:shd w:val="clear" w:color="auto" w:fill="auto"/>
            <w:vAlign w:val="center"/>
          </w:tcPr>
          <w:p w14:paraId="0B6AB45A" w14:textId="77777777" w:rsidR="005C199B" w:rsidRPr="001D6316" w:rsidRDefault="005C199B" w:rsidP="00094F6F">
            <w:pPr>
              <w:widowControl w:val="0"/>
              <w:spacing w:after="0" w:line="240" w:lineRule="auto"/>
              <w:ind w:firstLine="602"/>
              <w:rPr>
                <w:rFonts w:ascii="Times New Roman" w:hAnsi="Times New Roman"/>
                <w:sz w:val="24"/>
                <w:szCs w:val="24"/>
                <w:lang w:eastAsia="en-US" w:bidi="kn-IN"/>
              </w:rPr>
            </w:pPr>
            <w:proofErr w:type="gramStart"/>
            <w:r w:rsidRPr="001D6316">
              <w:rPr>
                <w:rFonts w:ascii="Times New Roman" w:hAnsi="Times New Roman"/>
                <w:sz w:val="24"/>
                <w:szCs w:val="24"/>
                <w:lang w:eastAsia="en-US" w:bidi="kn-IN"/>
              </w:rPr>
              <w:t>правосторонняя</w:t>
            </w:r>
            <w:proofErr w:type="gramEnd"/>
            <w:r w:rsidRPr="001D6316">
              <w:rPr>
                <w:rFonts w:ascii="Times New Roman" w:hAnsi="Times New Roman"/>
                <w:sz w:val="24"/>
                <w:szCs w:val="24"/>
                <w:lang w:eastAsia="en-US" w:bidi="kn-IN"/>
              </w:rPr>
              <w:t xml:space="preserve"> гемиколэктомия</w:t>
            </w:r>
          </w:p>
        </w:tc>
        <w:tc>
          <w:tcPr>
            <w:tcW w:w="1706" w:type="dxa"/>
            <w:shd w:val="clear" w:color="auto" w:fill="auto"/>
          </w:tcPr>
          <w:p w14:paraId="1795AA6D"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eastAsia="en-US" w:bidi="kn-IN"/>
              </w:rPr>
              <w:t>60</w:t>
            </w:r>
            <w:r>
              <w:rPr>
                <w:rFonts w:ascii="Times New Roman" w:hAnsi="Times New Roman"/>
                <w:sz w:val="24"/>
                <w:szCs w:val="24"/>
                <w:lang w:eastAsia="en-US" w:bidi="kn-IN"/>
              </w:rPr>
              <w:t xml:space="preserve"> </w:t>
            </w:r>
            <w:r w:rsidRPr="001D6316">
              <w:rPr>
                <w:rFonts w:ascii="Times New Roman" w:hAnsi="Times New Roman"/>
                <w:sz w:val="24"/>
                <w:szCs w:val="24"/>
                <w:lang w:eastAsia="en-US" w:bidi="kn-IN"/>
              </w:rPr>
              <w:t>(40</w:t>
            </w:r>
            <w:r>
              <w:rPr>
                <w:rFonts w:ascii="Times New Roman" w:hAnsi="Times New Roman"/>
                <w:sz w:val="24"/>
                <w:szCs w:val="24"/>
                <w:lang w:eastAsia="en-US" w:bidi="kn-IN"/>
              </w:rPr>
              <w:t>,0%</w:t>
            </w:r>
            <w:r w:rsidRPr="001D6316">
              <w:rPr>
                <w:rFonts w:ascii="Times New Roman" w:hAnsi="Times New Roman"/>
                <w:sz w:val="24"/>
                <w:szCs w:val="24"/>
                <w:lang w:eastAsia="en-US" w:bidi="kn-IN"/>
              </w:rPr>
              <w:t>)</w:t>
            </w:r>
          </w:p>
        </w:tc>
      </w:tr>
      <w:tr w:rsidR="005C199B" w:rsidRPr="00145B66" w14:paraId="7C29D735" w14:textId="77777777" w:rsidTr="00094F6F">
        <w:trPr>
          <w:trHeight w:val="340"/>
          <w:jc w:val="center"/>
        </w:trPr>
        <w:tc>
          <w:tcPr>
            <w:tcW w:w="7366" w:type="dxa"/>
            <w:shd w:val="clear" w:color="auto" w:fill="auto"/>
            <w:vAlign w:val="center"/>
          </w:tcPr>
          <w:p w14:paraId="212F38F3" w14:textId="77777777" w:rsidR="005C199B" w:rsidRPr="001D6316" w:rsidRDefault="005C199B" w:rsidP="00094F6F">
            <w:pPr>
              <w:widowControl w:val="0"/>
              <w:spacing w:after="0" w:line="240" w:lineRule="auto"/>
              <w:ind w:firstLine="602"/>
              <w:rPr>
                <w:rFonts w:ascii="Times New Roman" w:hAnsi="Times New Roman"/>
                <w:sz w:val="24"/>
                <w:szCs w:val="24"/>
                <w:lang w:eastAsia="en-US" w:bidi="kn-IN"/>
              </w:rPr>
            </w:pPr>
            <w:proofErr w:type="gramStart"/>
            <w:r w:rsidRPr="001D6316">
              <w:rPr>
                <w:rFonts w:ascii="Times New Roman" w:hAnsi="Times New Roman"/>
                <w:sz w:val="24"/>
                <w:szCs w:val="24"/>
                <w:lang w:eastAsia="en-US" w:bidi="kn-IN"/>
              </w:rPr>
              <w:t>резекция</w:t>
            </w:r>
            <w:proofErr w:type="gramEnd"/>
            <w:r w:rsidRPr="001D6316">
              <w:rPr>
                <w:rFonts w:ascii="Times New Roman" w:hAnsi="Times New Roman"/>
                <w:sz w:val="24"/>
                <w:szCs w:val="24"/>
                <w:lang w:eastAsia="en-US" w:bidi="kn-IN"/>
              </w:rPr>
              <w:t xml:space="preserve"> поперечно-ободочной кишки</w:t>
            </w:r>
          </w:p>
        </w:tc>
        <w:tc>
          <w:tcPr>
            <w:tcW w:w="1706" w:type="dxa"/>
            <w:shd w:val="clear" w:color="auto" w:fill="auto"/>
          </w:tcPr>
          <w:p w14:paraId="2BA88CAF"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eastAsia="en-US" w:bidi="kn-IN"/>
              </w:rPr>
              <w:t>10 (</w:t>
            </w:r>
            <w:r>
              <w:rPr>
                <w:rFonts w:ascii="Times New Roman" w:hAnsi="Times New Roman"/>
                <w:sz w:val="24"/>
                <w:szCs w:val="24"/>
                <w:lang w:eastAsia="en-US" w:bidi="kn-IN"/>
              </w:rPr>
              <w:t>6,</w:t>
            </w:r>
            <w:r w:rsidRPr="001D6316">
              <w:rPr>
                <w:rFonts w:ascii="Times New Roman" w:hAnsi="Times New Roman"/>
                <w:sz w:val="24"/>
                <w:szCs w:val="24"/>
                <w:lang w:eastAsia="en-US" w:bidi="kn-IN"/>
              </w:rPr>
              <w:t>7</w:t>
            </w:r>
            <w:r>
              <w:rPr>
                <w:rFonts w:ascii="Times New Roman" w:hAnsi="Times New Roman"/>
                <w:sz w:val="24"/>
                <w:szCs w:val="24"/>
                <w:lang w:eastAsia="en-US" w:bidi="kn-IN"/>
              </w:rPr>
              <w:t>%</w:t>
            </w:r>
            <w:r w:rsidRPr="001D6316">
              <w:rPr>
                <w:rFonts w:ascii="Times New Roman" w:hAnsi="Times New Roman"/>
                <w:sz w:val="24"/>
                <w:szCs w:val="24"/>
                <w:lang w:eastAsia="en-US" w:bidi="kn-IN"/>
              </w:rPr>
              <w:t>)</w:t>
            </w:r>
          </w:p>
        </w:tc>
      </w:tr>
      <w:tr w:rsidR="005C199B" w:rsidRPr="00145B66" w14:paraId="29216720" w14:textId="77777777" w:rsidTr="00094F6F">
        <w:trPr>
          <w:trHeight w:val="340"/>
          <w:jc w:val="center"/>
        </w:trPr>
        <w:tc>
          <w:tcPr>
            <w:tcW w:w="7366" w:type="dxa"/>
            <w:shd w:val="clear" w:color="auto" w:fill="auto"/>
            <w:vAlign w:val="center"/>
          </w:tcPr>
          <w:p w14:paraId="6C3210F3" w14:textId="77777777" w:rsidR="005C199B" w:rsidRPr="001D6316" w:rsidRDefault="005C199B" w:rsidP="00094F6F">
            <w:pPr>
              <w:widowControl w:val="0"/>
              <w:spacing w:after="0" w:line="240" w:lineRule="auto"/>
              <w:ind w:firstLine="602"/>
              <w:rPr>
                <w:rFonts w:ascii="Times New Roman" w:hAnsi="Times New Roman"/>
                <w:sz w:val="24"/>
                <w:szCs w:val="24"/>
                <w:lang w:eastAsia="en-US" w:bidi="kn-IN"/>
              </w:rPr>
            </w:pPr>
            <w:proofErr w:type="gramStart"/>
            <w:r w:rsidRPr="001D6316">
              <w:rPr>
                <w:rFonts w:ascii="Times New Roman" w:hAnsi="Times New Roman"/>
                <w:sz w:val="24"/>
                <w:szCs w:val="24"/>
                <w:lang w:eastAsia="en-US" w:bidi="kn-IN"/>
              </w:rPr>
              <w:t>левосторонняя</w:t>
            </w:r>
            <w:proofErr w:type="gramEnd"/>
            <w:r w:rsidRPr="001D6316">
              <w:rPr>
                <w:rFonts w:ascii="Times New Roman" w:hAnsi="Times New Roman"/>
                <w:sz w:val="24"/>
                <w:szCs w:val="24"/>
                <w:lang w:eastAsia="en-US" w:bidi="kn-IN"/>
              </w:rPr>
              <w:t xml:space="preserve"> гемиколэктомия</w:t>
            </w:r>
          </w:p>
        </w:tc>
        <w:tc>
          <w:tcPr>
            <w:tcW w:w="1706" w:type="dxa"/>
            <w:shd w:val="clear" w:color="auto" w:fill="auto"/>
          </w:tcPr>
          <w:p w14:paraId="57C12E7D"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eastAsia="en-US" w:bidi="kn-IN"/>
              </w:rPr>
              <w:t>63 (42</w:t>
            </w:r>
            <w:r>
              <w:rPr>
                <w:rFonts w:ascii="Times New Roman" w:hAnsi="Times New Roman"/>
                <w:sz w:val="24"/>
                <w:szCs w:val="24"/>
                <w:lang w:eastAsia="en-US" w:bidi="kn-IN"/>
              </w:rPr>
              <w:t>,0%</w:t>
            </w:r>
            <w:r w:rsidRPr="001D6316">
              <w:rPr>
                <w:rFonts w:ascii="Times New Roman" w:hAnsi="Times New Roman"/>
                <w:sz w:val="24"/>
                <w:szCs w:val="24"/>
                <w:lang w:eastAsia="en-US" w:bidi="kn-IN"/>
              </w:rPr>
              <w:t>)</w:t>
            </w:r>
          </w:p>
        </w:tc>
      </w:tr>
      <w:tr w:rsidR="005C199B" w:rsidRPr="00145B66" w14:paraId="77423F47" w14:textId="77777777" w:rsidTr="00094F6F">
        <w:trPr>
          <w:trHeight w:val="340"/>
          <w:jc w:val="center"/>
        </w:trPr>
        <w:tc>
          <w:tcPr>
            <w:tcW w:w="7366" w:type="dxa"/>
            <w:shd w:val="clear" w:color="auto" w:fill="auto"/>
            <w:vAlign w:val="center"/>
          </w:tcPr>
          <w:p w14:paraId="017DF7D1" w14:textId="77777777" w:rsidR="005C199B" w:rsidRPr="001D6316" w:rsidRDefault="005C199B" w:rsidP="00094F6F">
            <w:pPr>
              <w:widowControl w:val="0"/>
              <w:spacing w:after="0" w:line="240" w:lineRule="auto"/>
              <w:ind w:firstLine="602"/>
              <w:rPr>
                <w:rFonts w:ascii="Times New Roman" w:hAnsi="Times New Roman"/>
                <w:sz w:val="24"/>
                <w:szCs w:val="24"/>
                <w:lang w:eastAsia="en-US" w:bidi="kn-IN"/>
              </w:rPr>
            </w:pPr>
            <w:proofErr w:type="gramStart"/>
            <w:r w:rsidRPr="001D6316">
              <w:rPr>
                <w:rFonts w:ascii="Times New Roman" w:hAnsi="Times New Roman"/>
                <w:sz w:val="24"/>
                <w:szCs w:val="24"/>
                <w:lang w:eastAsia="en-US" w:bidi="kn-IN"/>
              </w:rPr>
              <w:t>резекция</w:t>
            </w:r>
            <w:proofErr w:type="gramEnd"/>
            <w:r w:rsidRPr="001D6316">
              <w:rPr>
                <w:rFonts w:ascii="Times New Roman" w:hAnsi="Times New Roman"/>
                <w:sz w:val="24"/>
                <w:szCs w:val="24"/>
                <w:lang w:eastAsia="en-US" w:bidi="kn-IN"/>
              </w:rPr>
              <w:t xml:space="preserve"> кишечника с формирование стомы</w:t>
            </w:r>
          </w:p>
        </w:tc>
        <w:tc>
          <w:tcPr>
            <w:tcW w:w="1706" w:type="dxa"/>
            <w:shd w:val="clear" w:color="auto" w:fill="auto"/>
          </w:tcPr>
          <w:p w14:paraId="5898C173"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eastAsia="en-US" w:bidi="kn-IN"/>
              </w:rPr>
              <w:t>17 (11</w:t>
            </w:r>
            <w:r>
              <w:rPr>
                <w:rFonts w:ascii="Times New Roman" w:hAnsi="Times New Roman"/>
                <w:sz w:val="24"/>
                <w:szCs w:val="24"/>
                <w:lang w:eastAsia="en-US" w:bidi="kn-IN"/>
              </w:rPr>
              <w:t>,3%</w:t>
            </w:r>
            <w:r w:rsidRPr="001D6316">
              <w:rPr>
                <w:rFonts w:ascii="Times New Roman" w:hAnsi="Times New Roman"/>
                <w:sz w:val="24"/>
                <w:szCs w:val="24"/>
                <w:lang w:eastAsia="en-US" w:bidi="kn-IN"/>
              </w:rPr>
              <w:t>)</w:t>
            </w:r>
          </w:p>
        </w:tc>
      </w:tr>
      <w:tr w:rsidR="005C199B" w:rsidRPr="00145B66" w14:paraId="0042A4AB" w14:textId="77777777" w:rsidTr="00094F6F">
        <w:trPr>
          <w:trHeight w:val="340"/>
          <w:jc w:val="center"/>
        </w:trPr>
        <w:tc>
          <w:tcPr>
            <w:tcW w:w="9072" w:type="dxa"/>
            <w:gridSpan w:val="2"/>
            <w:tcBorders>
              <w:bottom w:val="single" w:sz="4" w:space="0" w:color="auto"/>
            </w:tcBorders>
            <w:shd w:val="clear" w:color="auto" w:fill="auto"/>
            <w:vAlign w:val="center"/>
          </w:tcPr>
          <w:p w14:paraId="43827EAE" w14:textId="77777777" w:rsidR="005C199B" w:rsidRPr="001D6316" w:rsidRDefault="005C199B" w:rsidP="00094F6F">
            <w:pPr>
              <w:widowControl w:val="0"/>
              <w:spacing w:after="0" w:line="240" w:lineRule="auto"/>
              <w:rPr>
                <w:rFonts w:ascii="Times New Roman" w:hAnsi="Times New Roman"/>
                <w:b/>
                <w:bCs/>
                <w:sz w:val="24"/>
                <w:szCs w:val="24"/>
                <w:lang w:eastAsia="en-US" w:bidi="kn-IN"/>
              </w:rPr>
            </w:pPr>
            <w:r w:rsidRPr="001D6316">
              <w:rPr>
                <w:rFonts w:ascii="Times New Roman" w:hAnsi="Times New Roman"/>
                <w:b/>
                <w:bCs/>
                <w:sz w:val="24"/>
                <w:szCs w:val="24"/>
                <w:lang w:eastAsia="en-US" w:bidi="kn-IN"/>
              </w:rPr>
              <w:t xml:space="preserve">Осложнения </w:t>
            </w:r>
          </w:p>
        </w:tc>
      </w:tr>
      <w:tr w:rsidR="005C199B" w:rsidRPr="00145B66" w14:paraId="29D7CA4B" w14:textId="77777777" w:rsidTr="00094F6F">
        <w:trPr>
          <w:trHeight w:val="340"/>
          <w:jc w:val="center"/>
        </w:trPr>
        <w:tc>
          <w:tcPr>
            <w:tcW w:w="7366" w:type="dxa"/>
            <w:tcBorders>
              <w:bottom w:val="nil"/>
            </w:tcBorders>
            <w:shd w:val="clear" w:color="auto" w:fill="auto"/>
            <w:vAlign w:val="center"/>
          </w:tcPr>
          <w:p w14:paraId="17B3E43A" w14:textId="77777777" w:rsidR="005C199B" w:rsidRPr="001D6316" w:rsidRDefault="005C199B" w:rsidP="00094F6F">
            <w:pPr>
              <w:pStyle w:val="a6"/>
              <w:widowControl w:val="0"/>
              <w:spacing w:after="0" w:line="240" w:lineRule="auto"/>
              <w:ind w:left="602"/>
              <w:rPr>
                <w:rFonts w:ascii="Times New Roman" w:hAnsi="Times New Roman"/>
                <w:sz w:val="24"/>
                <w:szCs w:val="24"/>
                <w:lang w:eastAsia="en-US" w:bidi="kn-IN"/>
              </w:rPr>
            </w:pPr>
            <w:proofErr w:type="gramStart"/>
            <w:r>
              <w:rPr>
                <w:rFonts w:ascii="Times New Roman" w:hAnsi="Times New Roman"/>
                <w:bCs/>
                <w:sz w:val="24"/>
                <w:szCs w:val="24"/>
                <w:lang w:bidi="kn-IN"/>
              </w:rPr>
              <w:t>х</w:t>
            </w:r>
            <w:r w:rsidRPr="001D6316">
              <w:rPr>
                <w:rFonts w:ascii="Times New Roman" w:hAnsi="Times New Roman"/>
                <w:bCs/>
                <w:sz w:val="24"/>
                <w:szCs w:val="24"/>
                <w:lang w:bidi="kn-IN"/>
              </w:rPr>
              <w:t>ирургические</w:t>
            </w:r>
            <w:proofErr w:type="gramEnd"/>
            <w:r>
              <w:rPr>
                <w:rFonts w:ascii="Times New Roman" w:hAnsi="Times New Roman"/>
                <w:bCs/>
                <w:sz w:val="24"/>
                <w:szCs w:val="24"/>
                <w:lang w:bidi="kn-IN"/>
              </w:rPr>
              <w:t>/</w:t>
            </w:r>
            <w:r w:rsidRPr="001D6316">
              <w:rPr>
                <w:rFonts w:ascii="Times New Roman" w:hAnsi="Times New Roman"/>
                <w:bCs/>
                <w:sz w:val="24"/>
                <w:szCs w:val="24"/>
                <w:lang w:bidi="kn-IN"/>
              </w:rPr>
              <w:t>раннего послеоперационного периода</w:t>
            </w:r>
            <w:r>
              <w:rPr>
                <w:rFonts w:ascii="Times New Roman" w:hAnsi="Times New Roman"/>
                <w:bCs/>
                <w:sz w:val="24"/>
                <w:szCs w:val="24"/>
                <w:lang w:bidi="kn-IN"/>
              </w:rPr>
              <w:t>/</w:t>
            </w:r>
          </w:p>
        </w:tc>
        <w:tc>
          <w:tcPr>
            <w:tcW w:w="1706" w:type="dxa"/>
            <w:tcBorders>
              <w:bottom w:val="nil"/>
            </w:tcBorders>
            <w:shd w:val="clear" w:color="auto" w:fill="auto"/>
          </w:tcPr>
          <w:p w14:paraId="6B475013"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eastAsia="en-US" w:bidi="kn-IN"/>
              </w:rPr>
              <w:t>20 (13,3)</w:t>
            </w:r>
          </w:p>
        </w:tc>
      </w:tr>
      <w:tr w:rsidR="005C199B" w:rsidRPr="00145B66" w14:paraId="58430E1A" w14:textId="77777777" w:rsidTr="00094F6F">
        <w:trPr>
          <w:trHeight w:val="340"/>
          <w:jc w:val="center"/>
        </w:trPr>
        <w:tc>
          <w:tcPr>
            <w:tcW w:w="7366" w:type="dxa"/>
            <w:tcBorders>
              <w:top w:val="single" w:sz="4" w:space="0" w:color="auto"/>
            </w:tcBorders>
            <w:shd w:val="clear" w:color="auto" w:fill="auto"/>
            <w:vAlign w:val="center"/>
          </w:tcPr>
          <w:p w14:paraId="56785FC2" w14:textId="5C7D16B4" w:rsidR="005C199B" w:rsidRPr="001D6316" w:rsidRDefault="005C199B" w:rsidP="00094F6F">
            <w:pPr>
              <w:pStyle w:val="a6"/>
              <w:widowControl w:val="0"/>
              <w:spacing w:after="0" w:line="240" w:lineRule="auto"/>
              <w:ind w:left="602"/>
              <w:rPr>
                <w:rFonts w:ascii="Times New Roman" w:hAnsi="Times New Roman"/>
                <w:bCs/>
                <w:sz w:val="24"/>
                <w:szCs w:val="24"/>
                <w:lang w:bidi="kn-IN"/>
              </w:rPr>
            </w:pPr>
            <w:proofErr w:type="gramStart"/>
            <w:r>
              <w:rPr>
                <w:rFonts w:ascii="Times New Roman" w:hAnsi="Times New Roman"/>
                <w:bCs/>
                <w:sz w:val="24"/>
                <w:szCs w:val="24"/>
                <w:lang w:bidi="kn-IN"/>
              </w:rPr>
              <w:t>ф</w:t>
            </w:r>
            <w:r w:rsidRPr="001D6316">
              <w:rPr>
                <w:rFonts w:ascii="Times New Roman" w:hAnsi="Times New Roman"/>
                <w:bCs/>
                <w:sz w:val="24"/>
                <w:szCs w:val="24"/>
                <w:lang w:bidi="kn-IN"/>
              </w:rPr>
              <w:t>ункциональные</w:t>
            </w:r>
            <w:proofErr w:type="gramEnd"/>
            <w:r>
              <w:rPr>
                <w:rFonts w:ascii="Times New Roman" w:hAnsi="Times New Roman"/>
                <w:bCs/>
                <w:sz w:val="24"/>
                <w:szCs w:val="24"/>
                <w:lang w:bidi="kn-IN"/>
              </w:rPr>
              <w:t>/</w:t>
            </w:r>
            <w:r w:rsidRPr="001D6316">
              <w:rPr>
                <w:rFonts w:ascii="Times New Roman" w:hAnsi="Times New Roman"/>
                <w:bCs/>
                <w:sz w:val="24"/>
                <w:szCs w:val="24"/>
                <w:lang w:bidi="kn-IN"/>
              </w:rPr>
              <w:t>после хирургического лечения</w:t>
            </w:r>
            <w:r w:rsidR="00BC513B">
              <w:rPr>
                <w:rFonts w:ascii="Times New Roman" w:hAnsi="Times New Roman"/>
                <w:bCs/>
                <w:sz w:val="24"/>
                <w:szCs w:val="24"/>
                <w:lang w:bidi="kn-IN"/>
              </w:rPr>
              <w:t>/</w:t>
            </w:r>
          </w:p>
        </w:tc>
        <w:tc>
          <w:tcPr>
            <w:tcW w:w="1706" w:type="dxa"/>
            <w:tcBorders>
              <w:top w:val="single" w:sz="4" w:space="0" w:color="auto"/>
            </w:tcBorders>
            <w:shd w:val="clear" w:color="auto" w:fill="auto"/>
          </w:tcPr>
          <w:p w14:paraId="62FE7E60"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eastAsia="en-US" w:bidi="kn-IN"/>
              </w:rPr>
              <w:t>7</w:t>
            </w:r>
            <w:r>
              <w:rPr>
                <w:rFonts w:ascii="Times New Roman" w:hAnsi="Times New Roman"/>
                <w:sz w:val="24"/>
                <w:szCs w:val="24"/>
                <w:lang w:eastAsia="en-US" w:bidi="kn-IN"/>
              </w:rPr>
              <w:t>8</w:t>
            </w:r>
            <w:r w:rsidRPr="001D6316">
              <w:rPr>
                <w:rFonts w:ascii="Times New Roman" w:hAnsi="Times New Roman"/>
                <w:sz w:val="24"/>
                <w:szCs w:val="24"/>
                <w:lang w:eastAsia="en-US" w:bidi="kn-IN"/>
              </w:rPr>
              <w:t xml:space="preserve"> (5</w:t>
            </w:r>
            <w:r>
              <w:rPr>
                <w:rFonts w:ascii="Times New Roman" w:hAnsi="Times New Roman"/>
                <w:sz w:val="24"/>
                <w:szCs w:val="24"/>
                <w:lang w:eastAsia="en-US" w:bidi="kn-IN"/>
              </w:rPr>
              <w:t>2,0%</w:t>
            </w:r>
            <w:r w:rsidRPr="001D6316">
              <w:rPr>
                <w:rFonts w:ascii="Times New Roman" w:hAnsi="Times New Roman"/>
                <w:sz w:val="24"/>
                <w:szCs w:val="24"/>
                <w:lang w:eastAsia="en-US" w:bidi="kn-IN"/>
              </w:rPr>
              <w:t>)</w:t>
            </w:r>
          </w:p>
        </w:tc>
      </w:tr>
      <w:tr w:rsidR="005C199B" w:rsidRPr="00145B66" w14:paraId="2FBFDFFF" w14:textId="77777777" w:rsidTr="00094F6F">
        <w:trPr>
          <w:trHeight w:val="340"/>
          <w:jc w:val="center"/>
        </w:trPr>
        <w:tc>
          <w:tcPr>
            <w:tcW w:w="7366" w:type="dxa"/>
            <w:shd w:val="clear" w:color="auto" w:fill="auto"/>
            <w:vAlign w:val="center"/>
            <w:hideMark/>
          </w:tcPr>
          <w:p w14:paraId="1F80E47F" w14:textId="77777777" w:rsidR="005C199B" w:rsidRPr="001D6316" w:rsidRDefault="005C199B" w:rsidP="00094F6F">
            <w:pPr>
              <w:widowControl w:val="0"/>
              <w:spacing w:after="0" w:line="240" w:lineRule="auto"/>
              <w:rPr>
                <w:rFonts w:ascii="Times New Roman" w:hAnsi="Times New Roman"/>
                <w:b/>
                <w:bCs/>
                <w:sz w:val="24"/>
                <w:szCs w:val="24"/>
                <w:lang w:eastAsia="en-US" w:bidi="kn-IN"/>
              </w:rPr>
            </w:pPr>
            <w:r w:rsidRPr="001D6316">
              <w:rPr>
                <w:rFonts w:ascii="Times New Roman" w:hAnsi="Times New Roman"/>
                <w:b/>
                <w:bCs/>
                <w:sz w:val="24"/>
                <w:szCs w:val="24"/>
                <w:lang w:eastAsia="en-US" w:bidi="kn-IN"/>
              </w:rPr>
              <w:t>Сопутствующая патология</w:t>
            </w:r>
          </w:p>
        </w:tc>
        <w:tc>
          <w:tcPr>
            <w:tcW w:w="1706" w:type="dxa"/>
            <w:shd w:val="clear" w:color="auto" w:fill="auto"/>
            <w:hideMark/>
          </w:tcPr>
          <w:p w14:paraId="2ECAA8F1" w14:textId="77777777" w:rsidR="005C199B" w:rsidRPr="001D6316" w:rsidRDefault="005C199B" w:rsidP="00094F6F">
            <w:pPr>
              <w:widowControl w:val="0"/>
              <w:spacing w:after="0" w:line="240" w:lineRule="auto"/>
              <w:jc w:val="center"/>
              <w:rPr>
                <w:rFonts w:ascii="Times New Roman" w:hAnsi="Times New Roman"/>
                <w:sz w:val="24"/>
                <w:szCs w:val="24"/>
                <w:lang w:eastAsia="en-US" w:bidi="kn-IN"/>
              </w:rPr>
            </w:pPr>
            <w:r w:rsidRPr="001D6316">
              <w:rPr>
                <w:rFonts w:ascii="Times New Roman" w:hAnsi="Times New Roman"/>
                <w:sz w:val="24"/>
                <w:szCs w:val="24"/>
                <w:lang w:eastAsia="en-US" w:bidi="kn-IN"/>
              </w:rPr>
              <w:t>96</w:t>
            </w:r>
            <w:r w:rsidRPr="001D6316">
              <w:rPr>
                <w:rFonts w:ascii="Times New Roman" w:hAnsi="Times New Roman"/>
                <w:sz w:val="24"/>
                <w:szCs w:val="24"/>
                <w:lang w:val="en-US" w:eastAsia="en-US" w:bidi="kn-IN"/>
              </w:rPr>
              <w:t xml:space="preserve"> </w:t>
            </w:r>
            <w:r w:rsidRPr="001D6316">
              <w:rPr>
                <w:rFonts w:ascii="Times New Roman" w:hAnsi="Times New Roman"/>
                <w:sz w:val="24"/>
                <w:szCs w:val="24"/>
                <w:lang w:eastAsia="en-US" w:bidi="kn-IN"/>
              </w:rPr>
              <w:t>(64</w:t>
            </w:r>
            <w:r>
              <w:rPr>
                <w:rFonts w:ascii="Times New Roman" w:hAnsi="Times New Roman"/>
                <w:sz w:val="24"/>
                <w:szCs w:val="24"/>
                <w:lang w:eastAsia="en-US" w:bidi="kn-IN"/>
              </w:rPr>
              <w:t>,0%</w:t>
            </w:r>
            <w:r w:rsidRPr="001D6316">
              <w:rPr>
                <w:rFonts w:ascii="Times New Roman" w:hAnsi="Times New Roman"/>
                <w:sz w:val="24"/>
                <w:szCs w:val="24"/>
                <w:lang w:eastAsia="en-US" w:bidi="kn-IN"/>
              </w:rPr>
              <w:t>)</w:t>
            </w:r>
          </w:p>
        </w:tc>
      </w:tr>
    </w:tbl>
    <w:p w14:paraId="6F01072F" w14:textId="77777777" w:rsidR="005C199B" w:rsidRDefault="005C199B" w:rsidP="005C199B">
      <w:pPr>
        <w:pStyle w:val="a6"/>
        <w:widowControl w:val="0"/>
        <w:tabs>
          <w:tab w:val="left" w:pos="0"/>
        </w:tabs>
        <w:spacing w:after="0" w:line="240" w:lineRule="auto"/>
        <w:ind w:left="0" w:firstLine="567"/>
        <w:jc w:val="both"/>
        <w:rPr>
          <w:rFonts w:ascii="Times New Roman" w:hAnsi="Times New Roman"/>
          <w:bCs/>
          <w:sz w:val="28"/>
          <w:szCs w:val="28"/>
        </w:rPr>
      </w:pPr>
    </w:p>
    <w:p w14:paraId="157D9634" w14:textId="77777777" w:rsidR="005C199B" w:rsidRDefault="005C199B" w:rsidP="005C199B">
      <w:pPr>
        <w:pStyle w:val="a6"/>
        <w:widowControl w:val="0"/>
        <w:tabs>
          <w:tab w:val="left" w:pos="0"/>
        </w:tabs>
        <w:spacing w:after="0" w:line="240" w:lineRule="auto"/>
        <w:ind w:left="0" w:firstLine="567"/>
        <w:jc w:val="both"/>
        <w:rPr>
          <w:rFonts w:ascii="Times New Roman" w:hAnsi="Times New Roman"/>
          <w:bCs/>
          <w:sz w:val="28"/>
          <w:szCs w:val="28"/>
        </w:rPr>
      </w:pPr>
    </w:p>
    <w:p w14:paraId="0DF813BF" w14:textId="77777777" w:rsidR="005C199B" w:rsidRDefault="005C199B" w:rsidP="005C199B">
      <w:pPr>
        <w:pStyle w:val="a6"/>
        <w:widowControl w:val="0"/>
        <w:tabs>
          <w:tab w:val="left" w:pos="0"/>
        </w:tabs>
        <w:spacing w:after="0" w:line="240" w:lineRule="auto"/>
        <w:ind w:left="0" w:firstLine="567"/>
        <w:jc w:val="both"/>
        <w:rPr>
          <w:rFonts w:ascii="Times New Roman" w:hAnsi="Times New Roman"/>
          <w:i/>
          <w:noProof/>
          <w:sz w:val="28"/>
          <w:szCs w:val="28"/>
        </w:rPr>
      </w:pPr>
      <w:r w:rsidRPr="00145B66">
        <w:rPr>
          <w:rFonts w:ascii="Times New Roman" w:hAnsi="Times New Roman"/>
          <w:bCs/>
          <w:sz w:val="28"/>
          <w:szCs w:val="28"/>
        </w:rPr>
        <w:t xml:space="preserve">Доля больных с хирургическими осложнениями составила 13,3%. Хирургические осложнения раннего послеоперационного периода представлены </w:t>
      </w:r>
      <w:r w:rsidRPr="00145B66">
        <w:rPr>
          <w:rFonts w:ascii="Times New Roman" w:hAnsi="Times New Roman"/>
          <w:bCs/>
          <w:sz w:val="28"/>
          <w:szCs w:val="28"/>
        </w:rPr>
        <w:lastRenderedPageBreak/>
        <w:t>несостоятельностью анастомоза, сепсисом, кровотечением. С наибольшей частотой зарегистрированы больные с функциональными осложнениями после хирургического лечения рака ободочной кишки – 5</w:t>
      </w:r>
      <w:r>
        <w:rPr>
          <w:rFonts w:ascii="Times New Roman" w:hAnsi="Times New Roman"/>
          <w:bCs/>
          <w:sz w:val="28"/>
          <w:szCs w:val="28"/>
        </w:rPr>
        <w:t>2,0</w:t>
      </w:r>
      <w:r w:rsidRPr="00145B66">
        <w:rPr>
          <w:rFonts w:ascii="Times New Roman" w:hAnsi="Times New Roman"/>
          <w:bCs/>
          <w:sz w:val="28"/>
          <w:szCs w:val="28"/>
        </w:rPr>
        <w:t>%.</w:t>
      </w:r>
    </w:p>
    <w:p w14:paraId="011A4B7A" w14:textId="77777777" w:rsidR="005C199B" w:rsidRPr="00145B66" w:rsidRDefault="005C199B" w:rsidP="005C199B">
      <w:pPr>
        <w:pStyle w:val="a6"/>
        <w:widowControl w:val="0"/>
        <w:tabs>
          <w:tab w:val="left" w:pos="0"/>
        </w:tabs>
        <w:spacing w:after="0" w:line="240" w:lineRule="auto"/>
        <w:ind w:left="0" w:firstLine="567"/>
        <w:jc w:val="both"/>
        <w:rPr>
          <w:rFonts w:ascii="Times New Roman" w:hAnsi="Times New Roman"/>
          <w:i/>
          <w:noProof/>
          <w:sz w:val="28"/>
          <w:szCs w:val="28"/>
          <w:lang w:val="kk-KZ"/>
        </w:rPr>
      </w:pPr>
      <w:r w:rsidRPr="00145B66">
        <w:rPr>
          <w:rFonts w:ascii="Times New Roman" w:hAnsi="Times New Roman"/>
          <w:i/>
          <w:noProof/>
          <w:sz w:val="28"/>
          <w:szCs w:val="28"/>
          <w:lang w:val="en-US"/>
        </w:rPr>
        <w:t>II</w:t>
      </w:r>
      <w:r w:rsidRPr="00145B66">
        <w:rPr>
          <w:rFonts w:ascii="Times New Roman" w:hAnsi="Times New Roman"/>
          <w:i/>
          <w:noProof/>
          <w:sz w:val="28"/>
          <w:szCs w:val="28"/>
          <w:lang w:val="kk-KZ"/>
        </w:rPr>
        <w:t xml:space="preserve"> этап исследования – одноцентровое проспективное когортное исследование</w:t>
      </w:r>
    </w:p>
    <w:p w14:paraId="68CE2690" w14:textId="77777777" w:rsidR="005C199B" w:rsidRPr="00145B66"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45B66">
        <w:rPr>
          <w:rFonts w:ascii="Times New Roman" w:hAnsi="Times New Roman"/>
          <w:color w:val="000000"/>
          <w:sz w:val="28"/>
          <w:szCs w:val="28"/>
        </w:rPr>
        <w:t>Перед выполнением научной работы получено информированное согласие каждого участника исследования после разъяснения целей и методики его проведения</w:t>
      </w:r>
      <w:r>
        <w:rPr>
          <w:rFonts w:ascii="Times New Roman" w:hAnsi="Times New Roman"/>
          <w:color w:val="000000"/>
          <w:sz w:val="28"/>
          <w:szCs w:val="28"/>
        </w:rPr>
        <w:t xml:space="preserve"> (Приложение Г)</w:t>
      </w:r>
      <w:r w:rsidRPr="00145B66">
        <w:rPr>
          <w:rFonts w:ascii="Times New Roman" w:hAnsi="Times New Roman"/>
          <w:color w:val="000000"/>
          <w:sz w:val="28"/>
          <w:szCs w:val="28"/>
        </w:rPr>
        <w:t>.</w:t>
      </w:r>
      <w:r w:rsidRPr="00145B66">
        <w:rPr>
          <w:color w:val="000000"/>
          <w:sz w:val="28"/>
          <w:szCs w:val="28"/>
        </w:rPr>
        <w:t xml:space="preserve"> </w:t>
      </w:r>
      <w:r w:rsidRPr="00145B66">
        <w:rPr>
          <w:rFonts w:ascii="Times New Roman" w:hAnsi="Times New Roman"/>
          <w:sz w:val="28"/>
          <w:szCs w:val="28"/>
        </w:rPr>
        <w:t xml:space="preserve">Второй этап работы был выполнен в дизайне проспективного исследования. Дизайн </w:t>
      </w:r>
      <w:r w:rsidRPr="00145B66">
        <w:rPr>
          <w:rFonts w:ascii="Times New Roman" w:hAnsi="Times New Roman"/>
          <w:sz w:val="28"/>
          <w:szCs w:val="28"/>
          <w:lang w:val="en-US"/>
        </w:rPr>
        <w:t>II</w:t>
      </w:r>
      <w:r w:rsidRPr="00145B66">
        <w:rPr>
          <w:rFonts w:ascii="Times New Roman" w:hAnsi="Times New Roman"/>
          <w:sz w:val="28"/>
          <w:szCs w:val="28"/>
        </w:rPr>
        <w:t xml:space="preserve"> этапа исследования представлен на рисунке </w:t>
      </w:r>
      <w:r w:rsidRPr="00E964C4">
        <w:rPr>
          <w:rFonts w:ascii="Times New Roman" w:hAnsi="Times New Roman"/>
          <w:sz w:val="28"/>
          <w:szCs w:val="28"/>
        </w:rPr>
        <w:t>15</w:t>
      </w:r>
      <w:r w:rsidRPr="00145B66">
        <w:rPr>
          <w:rFonts w:ascii="Times New Roman" w:hAnsi="Times New Roman"/>
          <w:sz w:val="28"/>
          <w:szCs w:val="28"/>
        </w:rPr>
        <w:t>.</w:t>
      </w:r>
    </w:p>
    <w:p w14:paraId="47AA58B3" w14:textId="77777777" w:rsidR="005C199B" w:rsidRPr="00145B66"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r w:rsidRPr="00145B66">
        <w:rPr>
          <w:rFonts w:ascii="Times New Roman" w:hAnsi="Times New Roman"/>
          <w:sz w:val="28"/>
          <w:szCs w:val="28"/>
        </w:rPr>
        <w:t xml:space="preserve">Критерий включения (2-этап исследования): больные с верифицированным диагнозом рак ободочной кишки </w:t>
      </w:r>
      <w:r w:rsidRPr="00145B66">
        <w:rPr>
          <w:rFonts w:ascii="Times New Roman" w:hAnsi="Times New Roman"/>
          <w:sz w:val="28"/>
          <w:szCs w:val="28"/>
          <w:lang w:val="en-US"/>
        </w:rPr>
        <w:t>I</w:t>
      </w:r>
      <w:r w:rsidRPr="00145B66">
        <w:rPr>
          <w:rFonts w:ascii="Times New Roman" w:hAnsi="Times New Roman"/>
          <w:sz w:val="28"/>
          <w:szCs w:val="28"/>
        </w:rPr>
        <w:t xml:space="preserve">–III стадии, подписание информированного согласия. Критерий исключения: больные с верифицированным диагнозом рак ободочной кишки </w:t>
      </w:r>
      <w:r w:rsidRPr="00145B66">
        <w:rPr>
          <w:rFonts w:ascii="Times New Roman" w:hAnsi="Times New Roman"/>
          <w:sz w:val="28"/>
          <w:szCs w:val="28"/>
          <w:lang w:val="en-US"/>
        </w:rPr>
        <w:t>IV</w:t>
      </w:r>
      <w:r w:rsidRPr="00145B66">
        <w:rPr>
          <w:rFonts w:ascii="Times New Roman" w:hAnsi="Times New Roman"/>
          <w:sz w:val="28"/>
          <w:szCs w:val="28"/>
        </w:rPr>
        <w:t xml:space="preserve"> стадии, рак прямой кишки, отказ от подписания информированного согласия. </w:t>
      </w:r>
      <w:r w:rsidRPr="00145B66">
        <w:rPr>
          <w:rFonts w:ascii="Times New Roman" w:hAnsi="Times New Roman"/>
          <w:sz w:val="28"/>
          <w:szCs w:val="28"/>
          <w:lang w:val="kk-KZ"/>
        </w:rPr>
        <w:t xml:space="preserve">В реабилитационном периоде пациенты регулярно наблюдались каждые 3 месяца сроком до 1 года. Социальные, демографические и клинические данные больных хранились в базе данных, созданной для исследования. </w:t>
      </w:r>
      <w:r w:rsidRPr="00145B66">
        <w:rPr>
          <w:rFonts w:ascii="Times New Roman" w:hAnsi="Times New Roman"/>
          <w:sz w:val="28"/>
          <w:szCs w:val="28"/>
        </w:rPr>
        <w:t xml:space="preserve">В указанные сроки было произведено динамическое исследование одной группы пациентов с вышеуказанным диагнозом. </w:t>
      </w:r>
    </w:p>
    <w:p w14:paraId="6D19B007" w14:textId="77777777" w:rsidR="005C199B"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r w:rsidRPr="00145B66">
        <w:rPr>
          <w:rFonts w:ascii="Times New Roman" w:hAnsi="Times New Roman"/>
          <w:sz w:val="28"/>
          <w:szCs w:val="28"/>
        </w:rPr>
        <w:t>Общее количество больных, которые перенесли хирургическую операцию по поводу рака ободочной кишки, составило – 130 человек (ч.), проанализированы данные 125 пациента. Причинами исключения из исследования послужили: отказ от наблюдения (</w:t>
      </w:r>
      <w:r w:rsidRPr="00145B66">
        <w:rPr>
          <w:rFonts w:ascii="Times New Roman" w:hAnsi="Times New Roman"/>
          <w:sz w:val="28"/>
          <w:szCs w:val="28"/>
          <w:lang w:val="en-US"/>
        </w:rPr>
        <w:t>n</w:t>
      </w:r>
      <w:r w:rsidRPr="00145B66">
        <w:rPr>
          <w:rFonts w:ascii="Times New Roman" w:hAnsi="Times New Roman"/>
          <w:sz w:val="28"/>
          <w:szCs w:val="28"/>
        </w:rPr>
        <w:t>=1), смерть (</w:t>
      </w:r>
      <w:r w:rsidRPr="00145B66">
        <w:rPr>
          <w:rFonts w:ascii="Times New Roman" w:hAnsi="Times New Roman"/>
          <w:sz w:val="28"/>
          <w:szCs w:val="28"/>
          <w:lang w:val="en-US"/>
        </w:rPr>
        <w:t>n</w:t>
      </w:r>
      <w:r w:rsidRPr="00145B66">
        <w:rPr>
          <w:rFonts w:ascii="Times New Roman" w:hAnsi="Times New Roman"/>
          <w:sz w:val="28"/>
          <w:szCs w:val="28"/>
          <w:lang w:val="kk-KZ"/>
        </w:rPr>
        <w:t>=3</w:t>
      </w:r>
      <w:r w:rsidRPr="00145B66">
        <w:rPr>
          <w:rFonts w:ascii="Times New Roman" w:hAnsi="Times New Roman"/>
          <w:sz w:val="28"/>
          <w:szCs w:val="28"/>
        </w:rPr>
        <w:t>), повторная экстренная операция (</w:t>
      </w:r>
      <w:r w:rsidRPr="00145B66">
        <w:rPr>
          <w:rFonts w:ascii="Times New Roman" w:hAnsi="Times New Roman"/>
          <w:sz w:val="28"/>
          <w:szCs w:val="28"/>
          <w:lang w:val="en-US"/>
        </w:rPr>
        <w:t>n</w:t>
      </w:r>
      <w:r w:rsidRPr="00145B66">
        <w:rPr>
          <w:rFonts w:ascii="Times New Roman" w:hAnsi="Times New Roman"/>
          <w:sz w:val="28"/>
          <w:szCs w:val="28"/>
        </w:rPr>
        <w:t>=1).</w:t>
      </w:r>
      <w:r w:rsidRPr="00145B66">
        <w:rPr>
          <w:rFonts w:ascii="Times New Roman" w:hAnsi="Times New Roman"/>
          <w:sz w:val="28"/>
          <w:szCs w:val="28"/>
          <w:lang w:val="kk-KZ"/>
        </w:rPr>
        <w:t xml:space="preserve"> По половому признаку больные распределились следующим образом: </w:t>
      </w:r>
      <w:r w:rsidRPr="00145B66">
        <w:rPr>
          <w:rFonts w:ascii="Times New Roman" w:hAnsi="Times New Roman"/>
          <w:sz w:val="28"/>
          <w:szCs w:val="28"/>
        </w:rPr>
        <w:t xml:space="preserve">77 (61,6%) мужчин и 48 (38,4%) женщин. Средний возраст составил </w:t>
      </w:r>
      <w:r>
        <w:rPr>
          <w:rFonts w:ascii="Times New Roman" w:hAnsi="Times New Roman"/>
          <w:sz w:val="28"/>
          <w:szCs w:val="28"/>
        </w:rPr>
        <w:t xml:space="preserve">– </w:t>
      </w:r>
      <w:r w:rsidRPr="00145B66">
        <w:rPr>
          <w:rFonts w:ascii="Times New Roman" w:hAnsi="Times New Roman"/>
          <w:sz w:val="28"/>
          <w:szCs w:val="28"/>
        </w:rPr>
        <w:t>59,6±2,3 лет (</w:t>
      </w:r>
      <w:r w:rsidRPr="00145B66">
        <w:rPr>
          <w:rFonts w:ascii="Times New Roman" w:hAnsi="Times New Roman"/>
          <w:sz w:val="28"/>
          <w:szCs w:val="28"/>
          <w:lang w:val="en-US"/>
        </w:rPr>
        <w:t>range</w:t>
      </w:r>
      <w:r w:rsidRPr="00145B66">
        <w:rPr>
          <w:rFonts w:ascii="Times New Roman" w:hAnsi="Times New Roman"/>
          <w:sz w:val="28"/>
          <w:szCs w:val="28"/>
        </w:rPr>
        <w:t xml:space="preserve"> 19–81). </w:t>
      </w:r>
      <w:r w:rsidRPr="00145B66">
        <w:rPr>
          <w:rFonts w:ascii="Times New Roman" w:hAnsi="Times New Roman"/>
          <w:sz w:val="28"/>
          <w:szCs w:val="28"/>
          <w:lang w:val="kk-KZ"/>
        </w:rPr>
        <w:t xml:space="preserve">По стадиям рака ободочной кишки больные распределились следующим образом: </w:t>
      </w:r>
      <w:r w:rsidRPr="00145B66">
        <w:rPr>
          <w:rFonts w:ascii="Times New Roman" w:hAnsi="Times New Roman"/>
          <w:sz w:val="28"/>
          <w:szCs w:val="28"/>
          <w:lang w:val="en-US"/>
        </w:rPr>
        <w:t>I</w:t>
      </w:r>
      <w:r w:rsidRPr="00145B66">
        <w:rPr>
          <w:rFonts w:ascii="Times New Roman" w:hAnsi="Times New Roman"/>
          <w:sz w:val="28"/>
          <w:szCs w:val="28"/>
          <w:lang w:val="kk-KZ"/>
        </w:rPr>
        <w:t xml:space="preserve"> стадия </w:t>
      </w:r>
      <w:r w:rsidRPr="00145B66">
        <w:rPr>
          <w:rFonts w:ascii="Times New Roman" w:hAnsi="Times New Roman"/>
          <w:sz w:val="28"/>
          <w:szCs w:val="28"/>
        </w:rPr>
        <w:t>(</w:t>
      </w:r>
      <w:r w:rsidRPr="00145B66">
        <w:rPr>
          <w:rFonts w:ascii="Times New Roman" w:hAnsi="Times New Roman"/>
          <w:sz w:val="28"/>
          <w:szCs w:val="28"/>
          <w:lang w:val="en-US"/>
        </w:rPr>
        <w:t>T</w:t>
      </w:r>
      <w:r w:rsidRPr="00145B66">
        <w:rPr>
          <w:rFonts w:ascii="Times New Roman" w:hAnsi="Times New Roman"/>
          <w:sz w:val="28"/>
          <w:szCs w:val="28"/>
          <w:vertAlign w:val="subscript"/>
        </w:rPr>
        <w:t>1</w:t>
      </w:r>
      <w:r w:rsidRPr="00145B66">
        <w:rPr>
          <w:rFonts w:ascii="Times New Roman" w:hAnsi="Times New Roman"/>
          <w:sz w:val="28"/>
          <w:szCs w:val="28"/>
          <w:lang w:val="en-US"/>
        </w:rPr>
        <w:t>N</w:t>
      </w:r>
      <w:r w:rsidRPr="00145B66">
        <w:rPr>
          <w:rFonts w:ascii="Times New Roman" w:hAnsi="Times New Roman"/>
          <w:sz w:val="28"/>
          <w:szCs w:val="28"/>
          <w:vertAlign w:val="subscript"/>
        </w:rPr>
        <w:t>0</w:t>
      </w:r>
      <w:r w:rsidRPr="00145B66">
        <w:rPr>
          <w:rFonts w:ascii="Times New Roman" w:hAnsi="Times New Roman"/>
          <w:sz w:val="28"/>
          <w:szCs w:val="28"/>
          <w:lang w:val="en-US"/>
        </w:rPr>
        <w:t>M</w:t>
      </w:r>
      <w:r w:rsidRPr="00145B66">
        <w:rPr>
          <w:rFonts w:ascii="Times New Roman" w:hAnsi="Times New Roman"/>
          <w:sz w:val="28"/>
          <w:szCs w:val="28"/>
          <w:vertAlign w:val="subscript"/>
        </w:rPr>
        <w:t>0</w:t>
      </w:r>
      <w:r w:rsidRPr="00145B66">
        <w:rPr>
          <w:rFonts w:ascii="Times New Roman" w:hAnsi="Times New Roman"/>
          <w:sz w:val="28"/>
          <w:szCs w:val="28"/>
        </w:rPr>
        <w:t>; T</w:t>
      </w:r>
      <w:r w:rsidRPr="00145B66">
        <w:rPr>
          <w:rFonts w:ascii="Times New Roman" w:hAnsi="Times New Roman"/>
          <w:sz w:val="28"/>
          <w:szCs w:val="28"/>
          <w:vertAlign w:val="subscript"/>
        </w:rPr>
        <w:t>2</w:t>
      </w:r>
      <w:r w:rsidRPr="00145B66">
        <w:rPr>
          <w:rFonts w:ascii="Times New Roman" w:hAnsi="Times New Roman"/>
          <w:sz w:val="28"/>
          <w:szCs w:val="28"/>
        </w:rPr>
        <w:t>N</w:t>
      </w:r>
      <w:r w:rsidRPr="00145B66">
        <w:rPr>
          <w:rFonts w:ascii="Times New Roman" w:hAnsi="Times New Roman"/>
          <w:sz w:val="28"/>
          <w:szCs w:val="28"/>
          <w:vertAlign w:val="subscript"/>
        </w:rPr>
        <w:t>0</w:t>
      </w:r>
      <w:r w:rsidRPr="00145B66">
        <w:rPr>
          <w:rFonts w:ascii="Times New Roman" w:hAnsi="Times New Roman"/>
          <w:sz w:val="28"/>
          <w:szCs w:val="28"/>
        </w:rPr>
        <w:t>M</w:t>
      </w:r>
      <w:r w:rsidRPr="00145B66">
        <w:rPr>
          <w:rFonts w:ascii="Times New Roman" w:hAnsi="Times New Roman"/>
          <w:sz w:val="28"/>
          <w:szCs w:val="28"/>
          <w:vertAlign w:val="subscript"/>
        </w:rPr>
        <w:t>0</w:t>
      </w:r>
      <w:r w:rsidRPr="00145B66">
        <w:rPr>
          <w:rFonts w:ascii="Times New Roman" w:hAnsi="Times New Roman"/>
          <w:sz w:val="28"/>
          <w:szCs w:val="28"/>
        </w:rPr>
        <w:t xml:space="preserve">) – 12 (9,6%) человек, </w:t>
      </w:r>
      <w:r w:rsidRPr="00145B66">
        <w:rPr>
          <w:rFonts w:ascii="Times New Roman" w:hAnsi="Times New Roman"/>
          <w:sz w:val="28"/>
          <w:szCs w:val="28"/>
          <w:lang w:val="en-US"/>
        </w:rPr>
        <w:t>II</w:t>
      </w:r>
      <w:r w:rsidRPr="00145B66">
        <w:rPr>
          <w:rFonts w:ascii="Times New Roman" w:hAnsi="Times New Roman"/>
          <w:sz w:val="28"/>
          <w:szCs w:val="28"/>
        </w:rPr>
        <w:t xml:space="preserve"> стадия (</w:t>
      </w:r>
      <w:r w:rsidRPr="00145B66">
        <w:rPr>
          <w:rFonts w:ascii="Times New Roman" w:hAnsi="Times New Roman"/>
          <w:sz w:val="28"/>
          <w:szCs w:val="28"/>
          <w:lang w:val="en-US"/>
        </w:rPr>
        <w:t>T</w:t>
      </w:r>
      <w:r w:rsidRPr="00145B66">
        <w:rPr>
          <w:rFonts w:ascii="Times New Roman" w:hAnsi="Times New Roman"/>
          <w:sz w:val="28"/>
          <w:szCs w:val="28"/>
          <w:vertAlign w:val="subscript"/>
        </w:rPr>
        <w:t>3</w:t>
      </w:r>
      <w:r w:rsidRPr="00145B66">
        <w:rPr>
          <w:rFonts w:ascii="Times New Roman" w:hAnsi="Times New Roman"/>
          <w:sz w:val="28"/>
          <w:szCs w:val="28"/>
          <w:lang w:val="en-US"/>
        </w:rPr>
        <w:t>N</w:t>
      </w:r>
      <w:r w:rsidRPr="00145B66">
        <w:rPr>
          <w:rFonts w:ascii="Times New Roman" w:hAnsi="Times New Roman"/>
          <w:sz w:val="28"/>
          <w:szCs w:val="28"/>
          <w:vertAlign w:val="subscript"/>
        </w:rPr>
        <w:t>0</w:t>
      </w:r>
      <w:r w:rsidRPr="00145B66">
        <w:rPr>
          <w:rFonts w:ascii="Times New Roman" w:hAnsi="Times New Roman"/>
          <w:sz w:val="28"/>
          <w:szCs w:val="28"/>
          <w:lang w:val="en-US"/>
        </w:rPr>
        <w:t>M</w:t>
      </w:r>
      <w:r w:rsidRPr="00145B66">
        <w:rPr>
          <w:rFonts w:ascii="Times New Roman" w:hAnsi="Times New Roman"/>
          <w:sz w:val="28"/>
          <w:szCs w:val="28"/>
          <w:vertAlign w:val="subscript"/>
        </w:rPr>
        <w:t>0</w:t>
      </w:r>
      <w:r w:rsidRPr="00145B66">
        <w:rPr>
          <w:rFonts w:ascii="Times New Roman" w:hAnsi="Times New Roman"/>
          <w:sz w:val="28"/>
          <w:szCs w:val="28"/>
        </w:rPr>
        <w:t xml:space="preserve">; </w:t>
      </w:r>
      <w:r w:rsidRPr="00145B66">
        <w:rPr>
          <w:rFonts w:ascii="Times New Roman" w:hAnsi="Times New Roman"/>
          <w:sz w:val="28"/>
          <w:szCs w:val="28"/>
          <w:lang w:val="en-US"/>
        </w:rPr>
        <w:t>T</w:t>
      </w:r>
      <w:r w:rsidRPr="00145B66">
        <w:rPr>
          <w:rFonts w:ascii="Times New Roman" w:hAnsi="Times New Roman"/>
          <w:sz w:val="28"/>
          <w:szCs w:val="28"/>
          <w:vertAlign w:val="subscript"/>
        </w:rPr>
        <w:t>4а</w:t>
      </w:r>
      <w:r w:rsidRPr="00145B66">
        <w:rPr>
          <w:rFonts w:ascii="Times New Roman" w:hAnsi="Times New Roman"/>
          <w:sz w:val="28"/>
          <w:szCs w:val="28"/>
          <w:lang w:val="en-US"/>
        </w:rPr>
        <w:t>N</w:t>
      </w:r>
      <w:r w:rsidRPr="00145B66">
        <w:rPr>
          <w:rFonts w:ascii="Times New Roman" w:hAnsi="Times New Roman"/>
          <w:sz w:val="28"/>
          <w:szCs w:val="28"/>
          <w:vertAlign w:val="subscript"/>
        </w:rPr>
        <w:t>0</w:t>
      </w:r>
      <w:r w:rsidRPr="00145B66">
        <w:rPr>
          <w:rFonts w:ascii="Times New Roman" w:hAnsi="Times New Roman"/>
          <w:sz w:val="28"/>
          <w:szCs w:val="28"/>
          <w:lang w:val="en-US"/>
        </w:rPr>
        <w:t>M</w:t>
      </w:r>
      <w:r w:rsidRPr="00145B66">
        <w:rPr>
          <w:rFonts w:ascii="Times New Roman" w:hAnsi="Times New Roman"/>
          <w:sz w:val="28"/>
          <w:szCs w:val="28"/>
          <w:vertAlign w:val="subscript"/>
        </w:rPr>
        <w:t>0</w:t>
      </w:r>
      <w:r w:rsidRPr="00145B66">
        <w:rPr>
          <w:rFonts w:ascii="Times New Roman" w:hAnsi="Times New Roman"/>
          <w:sz w:val="28"/>
          <w:szCs w:val="28"/>
        </w:rPr>
        <w:t xml:space="preserve">; </w:t>
      </w:r>
      <w:r w:rsidRPr="00145B66">
        <w:rPr>
          <w:rFonts w:ascii="Times New Roman" w:hAnsi="Times New Roman"/>
          <w:sz w:val="28"/>
          <w:szCs w:val="28"/>
          <w:lang w:val="en-US"/>
        </w:rPr>
        <w:t>T</w:t>
      </w:r>
      <w:r w:rsidRPr="00145B66">
        <w:rPr>
          <w:rFonts w:ascii="Times New Roman" w:hAnsi="Times New Roman"/>
          <w:sz w:val="28"/>
          <w:szCs w:val="28"/>
          <w:vertAlign w:val="subscript"/>
        </w:rPr>
        <w:t>4</w:t>
      </w:r>
      <w:proofErr w:type="spellStart"/>
      <w:r w:rsidRPr="00145B66">
        <w:rPr>
          <w:rFonts w:ascii="Times New Roman" w:hAnsi="Times New Roman"/>
          <w:sz w:val="28"/>
          <w:szCs w:val="28"/>
          <w:vertAlign w:val="subscript"/>
          <w:lang w:val="en-US"/>
        </w:rPr>
        <w:t>b</w:t>
      </w:r>
      <w:r w:rsidRPr="00145B66">
        <w:rPr>
          <w:rFonts w:ascii="Times New Roman" w:hAnsi="Times New Roman"/>
          <w:sz w:val="28"/>
          <w:szCs w:val="28"/>
          <w:lang w:val="en-US"/>
        </w:rPr>
        <w:t>N</w:t>
      </w:r>
      <w:proofErr w:type="spellEnd"/>
      <w:r w:rsidRPr="00145B66">
        <w:rPr>
          <w:rFonts w:ascii="Times New Roman" w:hAnsi="Times New Roman"/>
          <w:sz w:val="28"/>
          <w:szCs w:val="28"/>
          <w:vertAlign w:val="subscript"/>
        </w:rPr>
        <w:t>0</w:t>
      </w:r>
      <w:r w:rsidRPr="00145B66">
        <w:rPr>
          <w:rFonts w:ascii="Times New Roman" w:hAnsi="Times New Roman"/>
          <w:sz w:val="28"/>
          <w:szCs w:val="28"/>
          <w:lang w:val="en-US"/>
        </w:rPr>
        <w:t>M</w:t>
      </w:r>
      <w:r w:rsidRPr="00145B66">
        <w:rPr>
          <w:rFonts w:ascii="Times New Roman" w:hAnsi="Times New Roman"/>
          <w:sz w:val="28"/>
          <w:szCs w:val="28"/>
          <w:vertAlign w:val="subscript"/>
        </w:rPr>
        <w:t>0</w:t>
      </w:r>
      <w:r w:rsidRPr="00145B66">
        <w:rPr>
          <w:rFonts w:ascii="Times New Roman" w:hAnsi="Times New Roman"/>
          <w:sz w:val="28"/>
          <w:szCs w:val="28"/>
        </w:rPr>
        <w:t>)</w:t>
      </w:r>
      <w:r>
        <w:rPr>
          <w:rFonts w:ascii="Times New Roman" w:hAnsi="Times New Roman"/>
          <w:sz w:val="28"/>
          <w:szCs w:val="28"/>
        </w:rPr>
        <w:t xml:space="preserve"> </w:t>
      </w:r>
      <w:r w:rsidRPr="00145B66">
        <w:rPr>
          <w:rFonts w:ascii="Times New Roman" w:hAnsi="Times New Roman"/>
          <w:sz w:val="28"/>
          <w:szCs w:val="28"/>
        </w:rPr>
        <w:t>– 67 (53,6%)</w:t>
      </w:r>
      <w:r w:rsidRPr="00145B66">
        <w:rPr>
          <w:sz w:val="28"/>
          <w:szCs w:val="28"/>
        </w:rPr>
        <w:t xml:space="preserve"> </w:t>
      </w:r>
      <w:r w:rsidRPr="00145B66">
        <w:rPr>
          <w:rFonts w:ascii="Times New Roman" w:hAnsi="Times New Roman"/>
          <w:sz w:val="28"/>
          <w:szCs w:val="28"/>
        </w:rPr>
        <w:t xml:space="preserve">человек, </w:t>
      </w:r>
      <w:r w:rsidRPr="00145B66">
        <w:rPr>
          <w:rFonts w:ascii="Times New Roman" w:hAnsi="Times New Roman"/>
          <w:sz w:val="28"/>
          <w:szCs w:val="28"/>
          <w:lang w:val="en-US"/>
        </w:rPr>
        <w:t>III</w:t>
      </w:r>
      <w:r w:rsidRPr="00145B66">
        <w:rPr>
          <w:rFonts w:ascii="Times New Roman" w:hAnsi="Times New Roman"/>
          <w:sz w:val="28"/>
          <w:szCs w:val="28"/>
        </w:rPr>
        <w:t xml:space="preserve"> стадия (</w:t>
      </w:r>
      <w:r w:rsidRPr="00145B66">
        <w:rPr>
          <w:rFonts w:ascii="Times New Roman" w:hAnsi="Times New Roman"/>
          <w:sz w:val="28"/>
          <w:szCs w:val="28"/>
          <w:lang w:val="en-US"/>
        </w:rPr>
        <w:t>T</w:t>
      </w:r>
      <w:r w:rsidRPr="00145B66">
        <w:rPr>
          <w:rFonts w:ascii="Times New Roman" w:hAnsi="Times New Roman"/>
          <w:sz w:val="28"/>
          <w:szCs w:val="28"/>
          <w:vertAlign w:val="subscript"/>
        </w:rPr>
        <w:t>1</w:t>
      </w:r>
      <w:r w:rsidRPr="00145B66">
        <w:rPr>
          <w:rFonts w:ascii="Times New Roman" w:hAnsi="Times New Roman"/>
          <w:sz w:val="28"/>
          <w:szCs w:val="28"/>
        </w:rPr>
        <w:t>,</w:t>
      </w:r>
      <w:r w:rsidRPr="00145B66">
        <w:rPr>
          <w:rFonts w:ascii="Times New Roman" w:hAnsi="Times New Roman"/>
          <w:sz w:val="28"/>
          <w:szCs w:val="28"/>
          <w:vertAlign w:val="subscript"/>
        </w:rPr>
        <w:t>2</w:t>
      </w:r>
      <w:r w:rsidRPr="00145B66">
        <w:rPr>
          <w:rFonts w:ascii="Times New Roman" w:hAnsi="Times New Roman"/>
          <w:sz w:val="28"/>
          <w:szCs w:val="28"/>
          <w:lang w:val="en-US"/>
        </w:rPr>
        <w:t>N</w:t>
      </w:r>
      <w:r w:rsidRPr="00145B66">
        <w:rPr>
          <w:rFonts w:ascii="Times New Roman" w:hAnsi="Times New Roman"/>
          <w:sz w:val="28"/>
          <w:szCs w:val="28"/>
          <w:vertAlign w:val="subscript"/>
        </w:rPr>
        <w:t>1</w:t>
      </w:r>
      <w:r w:rsidRPr="00145B66">
        <w:rPr>
          <w:rFonts w:ascii="Times New Roman" w:hAnsi="Times New Roman"/>
          <w:sz w:val="28"/>
          <w:szCs w:val="28"/>
        </w:rPr>
        <w:t>,</w:t>
      </w:r>
      <w:r w:rsidRPr="00145B66">
        <w:rPr>
          <w:rFonts w:ascii="Times New Roman" w:hAnsi="Times New Roman"/>
          <w:sz w:val="28"/>
          <w:szCs w:val="28"/>
          <w:vertAlign w:val="subscript"/>
        </w:rPr>
        <w:t>2а</w:t>
      </w:r>
      <w:r w:rsidRPr="00145B66">
        <w:rPr>
          <w:rFonts w:ascii="Times New Roman" w:hAnsi="Times New Roman"/>
          <w:sz w:val="28"/>
          <w:szCs w:val="28"/>
          <w:lang w:val="en-US"/>
        </w:rPr>
        <w:t>M</w:t>
      </w:r>
      <w:r w:rsidRPr="00145B66">
        <w:rPr>
          <w:rFonts w:ascii="Times New Roman" w:hAnsi="Times New Roman"/>
          <w:sz w:val="28"/>
          <w:szCs w:val="28"/>
        </w:rPr>
        <w:t xml:space="preserve">0; </w:t>
      </w:r>
      <w:r w:rsidRPr="00145B66">
        <w:rPr>
          <w:rFonts w:ascii="Times New Roman" w:hAnsi="Times New Roman"/>
          <w:sz w:val="28"/>
          <w:szCs w:val="28"/>
          <w:lang w:val="en-US"/>
        </w:rPr>
        <w:t>T</w:t>
      </w:r>
      <w:r w:rsidRPr="00145B66">
        <w:rPr>
          <w:rFonts w:ascii="Times New Roman" w:hAnsi="Times New Roman"/>
          <w:sz w:val="28"/>
          <w:szCs w:val="28"/>
          <w:vertAlign w:val="subscript"/>
        </w:rPr>
        <w:t>2</w:t>
      </w:r>
      <w:r w:rsidRPr="00145B66">
        <w:rPr>
          <w:rFonts w:ascii="Times New Roman" w:hAnsi="Times New Roman"/>
          <w:sz w:val="28"/>
          <w:szCs w:val="28"/>
        </w:rPr>
        <w:t>,</w:t>
      </w:r>
      <w:r w:rsidRPr="00145B66">
        <w:rPr>
          <w:rFonts w:ascii="Times New Roman" w:hAnsi="Times New Roman"/>
          <w:sz w:val="28"/>
          <w:szCs w:val="28"/>
          <w:vertAlign w:val="subscript"/>
        </w:rPr>
        <w:t>3</w:t>
      </w:r>
      <w:r w:rsidRPr="00145B66">
        <w:rPr>
          <w:rFonts w:ascii="Times New Roman" w:hAnsi="Times New Roman"/>
          <w:sz w:val="28"/>
          <w:szCs w:val="28"/>
          <w:lang w:val="en-US"/>
        </w:rPr>
        <w:t>N</w:t>
      </w:r>
      <w:r w:rsidRPr="00145B66">
        <w:rPr>
          <w:rFonts w:ascii="Times New Roman" w:hAnsi="Times New Roman"/>
          <w:sz w:val="28"/>
          <w:szCs w:val="28"/>
          <w:vertAlign w:val="subscript"/>
        </w:rPr>
        <w:t>2а</w:t>
      </w:r>
      <w:r w:rsidRPr="00145B66">
        <w:rPr>
          <w:rFonts w:ascii="Times New Roman" w:hAnsi="Times New Roman"/>
          <w:sz w:val="28"/>
          <w:szCs w:val="28"/>
          <w:lang w:val="en-US"/>
        </w:rPr>
        <w:t>M</w:t>
      </w:r>
      <w:r w:rsidRPr="00145B66">
        <w:rPr>
          <w:rFonts w:ascii="Times New Roman" w:hAnsi="Times New Roman"/>
          <w:sz w:val="28"/>
          <w:szCs w:val="28"/>
        </w:rPr>
        <w:t>0) – 46 (36,8%) человек. В 41 (32,8%) случаях опухоль локализовалась в восходящем отделе ободочной кишки, в 8 (6,4%) – в печеночном изгибе, в 18(14,4%)</w:t>
      </w:r>
      <w:r>
        <w:rPr>
          <w:rFonts w:ascii="Times New Roman" w:hAnsi="Times New Roman"/>
          <w:sz w:val="28"/>
          <w:szCs w:val="28"/>
        </w:rPr>
        <w:t xml:space="preserve"> – </w:t>
      </w:r>
      <w:r w:rsidRPr="00145B66">
        <w:rPr>
          <w:rFonts w:ascii="Times New Roman" w:hAnsi="Times New Roman"/>
          <w:sz w:val="28"/>
          <w:szCs w:val="28"/>
        </w:rPr>
        <w:t xml:space="preserve">в поперечно-ободочной кишке, в 46 (36,8%) – в нисходящем отделе ободочной кишки и в 12(9,6%) – в сигмовидной кишке. Гистологическое строение опухоли у 107(85,6%) больных соответствовало </w:t>
      </w:r>
      <w:proofErr w:type="spellStart"/>
      <w:r w:rsidRPr="00145B66">
        <w:rPr>
          <w:rFonts w:ascii="Times New Roman" w:hAnsi="Times New Roman"/>
          <w:sz w:val="28"/>
          <w:szCs w:val="28"/>
        </w:rPr>
        <w:t>аденокарциноме</w:t>
      </w:r>
      <w:proofErr w:type="spellEnd"/>
      <w:r w:rsidRPr="00145B66">
        <w:rPr>
          <w:rFonts w:ascii="Times New Roman" w:hAnsi="Times New Roman"/>
          <w:sz w:val="28"/>
          <w:szCs w:val="28"/>
        </w:rPr>
        <w:t xml:space="preserve"> и у 18(14,4%) – недифференцированной карциноме, соответственно. В зависимости от локализации и стадии опухолевого процесса больным была произведена операция: правосторонняя гемиколэктомия – </w:t>
      </w:r>
      <w:r w:rsidRPr="00145B66">
        <w:rPr>
          <w:rFonts w:ascii="Times New Roman" w:hAnsi="Times New Roman"/>
          <w:sz w:val="28"/>
          <w:szCs w:val="28"/>
          <w:lang w:eastAsia="en-US"/>
        </w:rPr>
        <w:t>44(35,2%)</w:t>
      </w:r>
      <w:r w:rsidRPr="00145B66">
        <w:rPr>
          <w:rFonts w:ascii="Times New Roman" w:hAnsi="Times New Roman"/>
          <w:sz w:val="28"/>
          <w:szCs w:val="28"/>
        </w:rPr>
        <w:t>, левосторонняя гемиколэктомия-</w:t>
      </w:r>
      <w:r w:rsidRPr="00145B66">
        <w:rPr>
          <w:rFonts w:ascii="Times New Roman" w:hAnsi="Times New Roman"/>
          <w:sz w:val="28"/>
          <w:szCs w:val="28"/>
          <w:lang w:eastAsia="en-US"/>
        </w:rPr>
        <w:t>50 (40%)</w:t>
      </w:r>
      <w:r w:rsidRPr="00145B66">
        <w:rPr>
          <w:rFonts w:ascii="Times New Roman" w:hAnsi="Times New Roman"/>
          <w:sz w:val="28"/>
          <w:szCs w:val="28"/>
        </w:rPr>
        <w:t xml:space="preserve">, резекция поперечно-ободочной кишки – </w:t>
      </w:r>
      <w:r w:rsidRPr="00145B66">
        <w:rPr>
          <w:rFonts w:ascii="Times New Roman" w:hAnsi="Times New Roman"/>
          <w:sz w:val="28"/>
          <w:szCs w:val="28"/>
          <w:lang w:eastAsia="en-US"/>
        </w:rPr>
        <w:t>15 (12), резекция кишечника с формированием стомы 16(12,5). В соответствии с анамнестическими данными 52(41,6%) больных страдали сердечно-сосудистой патологией, 25 (20%) – патологией дыхательной системы, 19 (15,2) – патологией пищеварительной системы, 12 (9,6) – патологией мочеполовой системы, 17 (13,6) – сахарным диабетом</w:t>
      </w:r>
      <w:r w:rsidRPr="00145B66">
        <w:rPr>
          <w:rFonts w:ascii="Times New Roman" w:hAnsi="Times New Roman"/>
          <w:sz w:val="28"/>
          <w:szCs w:val="28"/>
        </w:rPr>
        <w:t xml:space="preserve"> (таблица </w:t>
      </w:r>
      <w:r w:rsidRPr="00E964C4">
        <w:rPr>
          <w:rFonts w:ascii="Times New Roman" w:hAnsi="Times New Roman"/>
          <w:sz w:val="28"/>
          <w:szCs w:val="28"/>
        </w:rPr>
        <w:t>6</w:t>
      </w:r>
      <w:r w:rsidRPr="00145B66">
        <w:rPr>
          <w:rFonts w:ascii="Times New Roman" w:hAnsi="Times New Roman"/>
          <w:sz w:val="28"/>
          <w:szCs w:val="28"/>
        </w:rPr>
        <w:t>).</w:t>
      </w:r>
    </w:p>
    <w:p w14:paraId="0D82F70E" w14:textId="77777777" w:rsidR="005C199B"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744C86F6" w14:textId="77777777" w:rsidR="005C199B"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654FA6">
        <w:rPr>
          <w:rFonts w:ascii="Times New Roman" w:hAnsi="Times New Roman"/>
          <w:noProof/>
          <w:sz w:val="28"/>
          <w:szCs w:val="28"/>
        </w:rPr>
        <w:lastRenderedPageBreak/>
        <w:drawing>
          <wp:inline distT="0" distB="0" distL="0" distR="0" wp14:anchorId="7A8B167A" wp14:editId="44EA3AE9">
            <wp:extent cx="8157600" cy="4402800"/>
            <wp:effectExtent l="0" t="8573" r="6668" b="6667"/>
            <wp:docPr id="6" name="Рисунок 2" descr="Diagram, Wo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 descr="Diagram, Word&#10;&#10;Description automatically generated with medium confidence"/>
                    <pic:cNvPicPr/>
                  </pic:nvPicPr>
                  <pic:blipFill>
                    <a:blip r:embed="rId24"/>
                    <a:stretch>
                      <a:fillRect/>
                    </a:stretch>
                  </pic:blipFill>
                  <pic:spPr>
                    <a:xfrm rot="16200000">
                      <a:off x="0" y="0"/>
                      <a:ext cx="8157600" cy="4402800"/>
                    </a:xfrm>
                    <a:prstGeom prst="rect">
                      <a:avLst/>
                    </a:prstGeom>
                  </pic:spPr>
                </pic:pic>
              </a:graphicData>
            </a:graphic>
          </wp:inline>
        </w:drawing>
      </w:r>
    </w:p>
    <w:p w14:paraId="36E27205" w14:textId="77777777" w:rsidR="005C199B" w:rsidRDefault="005C199B" w:rsidP="005C199B">
      <w:pPr>
        <w:tabs>
          <w:tab w:val="left" w:pos="6180"/>
        </w:tabs>
        <w:spacing w:after="0" w:line="240" w:lineRule="auto"/>
        <w:jc w:val="center"/>
        <w:rPr>
          <w:rFonts w:ascii="Times New Roman" w:hAnsi="Times New Roman"/>
          <w:sz w:val="28"/>
          <w:szCs w:val="28"/>
        </w:rPr>
      </w:pPr>
      <w:r w:rsidRPr="00145B66">
        <w:rPr>
          <w:rFonts w:ascii="Times New Roman" w:hAnsi="Times New Roman"/>
          <w:sz w:val="28"/>
          <w:szCs w:val="28"/>
        </w:rPr>
        <w:t>Рисунок 1</w:t>
      </w:r>
      <w:r>
        <w:rPr>
          <w:rFonts w:ascii="Times New Roman" w:hAnsi="Times New Roman"/>
          <w:sz w:val="28"/>
          <w:szCs w:val="28"/>
        </w:rPr>
        <w:t>5</w:t>
      </w:r>
      <w:r w:rsidRPr="00145B66">
        <w:rPr>
          <w:rFonts w:ascii="Times New Roman" w:hAnsi="Times New Roman"/>
          <w:sz w:val="28"/>
          <w:szCs w:val="28"/>
        </w:rPr>
        <w:t xml:space="preserve"> – Дизайн </w:t>
      </w:r>
      <w:r w:rsidRPr="00145B66">
        <w:rPr>
          <w:rFonts w:ascii="Times New Roman" w:hAnsi="Times New Roman"/>
          <w:sz w:val="28"/>
          <w:szCs w:val="28"/>
          <w:lang w:val="en-US"/>
        </w:rPr>
        <w:t>I</w:t>
      </w:r>
      <w:r>
        <w:rPr>
          <w:rFonts w:ascii="Times New Roman" w:hAnsi="Times New Roman"/>
          <w:sz w:val="28"/>
          <w:szCs w:val="28"/>
          <w:lang w:val="en-US"/>
        </w:rPr>
        <w:t>I</w:t>
      </w:r>
      <w:r w:rsidRPr="00145B66">
        <w:rPr>
          <w:rFonts w:ascii="Times New Roman" w:hAnsi="Times New Roman"/>
          <w:sz w:val="28"/>
          <w:szCs w:val="28"/>
        </w:rPr>
        <w:t xml:space="preserve"> этапа исследования</w:t>
      </w:r>
    </w:p>
    <w:p w14:paraId="283CFDF6" w14:textId="77777777" w:rsidR="005C199B"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46E79F88" w14:textId="77777777" w:rsidR="005C199B" w:rsidRDefault="005C199B" w:rsidP="005C199B">
      <w:pPr>
        <w:widowControl w:val="0"/>
        <w:spacing w:after="0" w:line="240" w:lineRule="auto"/>
        <w:rPr>
          <w:rFonts w:ascii="Times New Roman" w:hAnsi="Times New Roman"/>
          <w:sz w:val="28"/>
          <w:szCs w:val="28"/>
        </w:rPr>
      </w:pPr>
      <w:r>
        <w:rPr>
          <w:rFonts w:ascii="Times New Roman" w:hAnsi="Times New Roman"/>
          <w:sz w:val="28"/>
          <w:szCs w:val="28"/>
        </w:rPr>
        <w:br w:type="page"/>
      </w:r>
    </w:p>
    <w:p w14:paraId="3EE00417" w14:textId="77777777" w:rsidR="005C199B"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145B66">
        <w:rPr>
          <w:rFonts w:ascii="Times New Roman" w:hAnsi="Times New Roman"/>
          <w:sz w:val="28"/>
          <w:szCs w:val="28"/>
        </w:rPr>
        <w:lastRenderedPageBreak/>
        <w:t xml:space="preserve">Таблица </w:t>
      </w:r>
      <w:r w:rsidRPr="00E964C4">
        <w:rPr>
          <w:rFonts w:ascii="Times New Roman" w:hAnsi="Times New Roman"/>
          <w:sz w:val="28"/>
          <w:szCs w:val="28"/>
        </w:rPr>
        <w:t>6</w:t>
      </w:r>
      <w:r w:rsidRPr="00145B66">
        <w:rPr>
          <w:rFonts w:ascii="Times New Roman" w:hAnsi="Times New Roman"/>
          <w:sz w:val="28"/>
          <w:szCs w:val="28"/>
        </w:rPr>
        <w:t xml:space="preserve"> – Клиническая характеристика больных </w:t>
      </w:r>
      <w:r w:rsidRPr="00145B66">
        <w:rPr>
          <w:rFonts w:ascii="Times New Roman" w:hAnsi="Times New Roman"/>
          <w:sz w:val="28"/>
          <w:szCs w:val="28"/>
          <w:lang w:val="en-US"/>
        </w:rPr>
        <w:t>II</w:t>
      </w:r>
      <w:r w:rsidRPr="00145B66">
        <w:rPr>
          <w:rFonts w:ascii="Times New Roman" w:hAnsi="Times New Roman"/>
          <w:sz w:val="28"/>
          <w:szCs w:val="28"/>
        </w:rPr>
        <w:t xml:space="preserve"> этапа исследования</w:t>
      </w:r>
    </w:p>
    <w:p w14:paraId="3309BE79" w14:textId="77777777" w:rsidR="005C199B" w:rsidRPr="00E964C4"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3107"/>
        <w:gridCol w:w="1855"/>
        <w:gridCol w:w="1564"/>
      </w:tblGrid>
      <w:tr w:rsidR="005C199B" w:rsidRPr="00145B66" w14:paraId="68DFD7E9" w14:textId="77777777" w:rsidTr="00094F6F">
        <w:trPr>
          <w:trHeight w:val="340"/>
          <w:jc w:val="center"/>
        </w:trPr>
        <w:tc>
          <w:tcPr>
            <w:tcW w:w="7792" w:type="dxa"/>
            <w:gridSpan w:val="3"/>
            <w:shd w:val="clear" w:color="auto" w:fill="auto"/>
            <w:vAlign w:val="center"/>
            <w:hideMark/>
          </w:tcPr>
          <w:p w14:paraId="17DCF2D0"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Количество больных</w:t>
            </w:r>
          </w:p>
        </w:tc>
        <w:tc>
          <w:tcPr>
            <w:tcW w:w="1564" w:type="dxa"/>
            <w:shd w:val="clear" w:color="auto" w:fill="auto"/>
            <w:vAlign w:val="center"/>
            <w:hideMark/>
          </w:tcPr>
          <w:p w14:paraId="125BDAA6"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proofErr w:type="gramStart"/>
            <w:r w:rsidRPr="00116B7F">
              <w:rPr>
                <w:rFonts w:ascii="Times New Roman" w:hAnsi="Times New Roman"/>
                <w:sz w:val="24"/>
                <w:szCs w:val="24"/>
                <w:lang w:val="en-US" w:eastAsia="en-US"/>
              </w:rPr>
              <w:t>n</w:t>
            </w:r>
            <w:proofErr w:type="gramEnd"/>
            <w:r w:rsidRPr="00116B7F">
              <w:rPr>
                <w:rFonts w:ascii="Times New Roman" w:hAnsi="Times New Roman"/>
                <w:sz w:val="24"/>
                <w:szCs w:val="24"/>
                <w:lang w:eastAsia="en-US"/>
              </w:rPr>
              <w:t xml:space="preserve"> (%)</w:t>
            </w:r>
          </w:p>
        </w:tc>
      </w:tr>
      <w:tr w:rsidR="005C199B" w:rsidRPr="00145B66" w14:paraId="68A6B625" w14:textId="77777777" w:rsidTr="00094F6F">
        <w:trPr>
          <w:trHeight w:val="340"/>
          <w:jc w:val="center"/>
        </w:trPr>
        <w:tc>
          <w:tcPr>
            <w:tcW w:w="2830" w:type="dxa"/>
            <w:vMerge w:val="restart"/>
            <w:shd w:val="clear" w:color="auto" w:fill="auto"/>
            <w:vAlign w:val="center"/>
          </w:tcPr>
          <w:p w14:paraId="6E6AFC07" w14:textId="77777777" w:rsidR="005C199B" w:rsidRPr="00116B7F" w:rsidRDefault="005C199B" w:rsidP="00094F6F">
            <w:pPr>
              <w:widowControl w:val="0"/>
              <w:spacing w:after="0" w:line="240" w:lineRule="auto"/>
              <w:rPr>
                <w:rFonts w:ascii="Times New Roman" w:hAnsi="Times New Roman"/>
                <w:sz w:val="24"/>
                <w:szCs w:val="24"/>
                <w:lang w:eastAsia="en-US"/>
              </w:rPr>
            </w:pPr>
            <w:r w:rsidRPr="00116B7F">
              <w:rPr>
                <w:rFonts w:ascii="Times New Roman" w:hAnsi="Times New Roman"/>
                <w:sz w:val="24"/>
                <w:szCs w:val="24"/>
                <w:lang w:eastAsia="en-US"/>
              </w:rPr>
              <w:t>Пол</w:t>
            </w:r>
          </w:p>
        </w:tc>
        <w:tc>
          <w:tcPr>
            <w:tcW w:w="4962" w:type="dxa"/>
            <w:gridSpan w:val="2"/>
            <w:shd w:val="clear" w:color="auto" w:fill="auto"/>
            <w:vAlign w:val="center"/>
            <w:hideMark/>
          </w:tcPr>
          <w:p w14:paraId="19539873"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мужчины</w:t>
            </w:r>
            <w:proofErr w:type="gramEnd"/>
          </w:p>
        </w:tc>
        <w:tc>
          <w:tcPr>
            <w:tcW w:w="1564" w:type="dxa"/>
            <w:shd w:val="clear" w:color="auto" w:fill="auto"/>
            <w:vAlign w:val="center"/>
            <w:hideMark/>
          </w:tcPr>
          <w:p w14:paraId="370C29A7"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77 (61,6)</w:t>
            </w:r>
          </w:p>
        </w:tc>
      </w:tr>
      <w:tr w:rsidR="005C199B" w:rsidRPr="00145B66" w14:paraId="7C66652F" w14:textId="77777777" w:rsidTr="00094F6F">
        <w:trPr>
          <w:trHeight w:val="340"/>
          <w:jc w:val="center"/>
        </w:trPr>
        <w:tc>
          <w:tcPr>
            <w:tcW w:w="2830" w:type="dxa"/>
            <w:vMerge/>
            <w:shd w:val="clear" w:color="auto" w:fill="auto"/>
            <w:vAlign w:val="center"/>
            <w:hideMark/>
          </w:tcPr>
          <w:p w14:paraId="5EA69869"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shd w:val="clear" w:color="auto" w:fill="auto"/>
            <w:vAlign w:val="center"/>
            <w:hideMark/>
          </w:tcPr>
          <w:p w14:paraId="3831CE5C"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женщины</w:t>
            </w:r>
            <w:proofErr w:type="gramEnd"/>
          </w:p>
        </w:tc>
        <w:tc>
          <w:tcPr>
            <w:tcW w:w="1564" w:type="dxa"/>
            <w:shd w:val="clear" w:color="auto" w:fill="auto"/>
            <w:vAlign w:val="center"/>
            <w:hideMark/>
          </w:tcPr>
          <w:p w14:paraId="69C66D92"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48 (38,4)</w:t>
            </w:r>
          </w:p>
        </w:tc>
      </w:tr>
      <w:tr w:rsidR="005C199B" w:rsidRPr="00145B66" w14:paraId="49A9F063" w14:textId="77777777" w:rsidTr="00094F6F">
        <w:trPr>
          <w:trHeight w:val="340"/>
          <w:jc w:val="center"/>
        </w:trPr>
        <w:tc>
          <w:tcPr>
            <w:tcW w:w="2830" w:type="dxa"/>
            <w:vMerge w:val="restart"/>
            <w:shd w:val="clear" w:color="auto" w:fill="auto"/>
            <w:vAlign w:val="center"/>
          </w:tcPr>
          <w:p w14:paraId="7F44B288" w14:textId="77777777" w:rsidR="005C199B" w:rsidRPr="00116B7F" w:rsidRDefault="005C199B" w:rsidP="00094F6F">
            <w:pPr>
              <w:widowControl w:val="0"/>
              <w:spacing w:after="0" w:line="240" w:lineRule="auto"/>
              <w:rPr>
                <w:rFonts w:ascii="Times New Roman" w:hAnsi="Times New Roman"/>
                <w:sz w:val="24"/>
                <w:szCs w:val="24"/>
                <w:lang w:eastAsia="en-US"/>
              </w:rPr>
            </w:pPr>
            <w:r w:rsidRPr="00116B7F">
              <w:rPr>
                <w:rFonts w:ascii="Times New Roman" w:hAnsi="Times New Roman"/>
                <w:sz w:val="24"/>
                <w:szCs w:val="24"/>
                <w:lang w:eastAsia="en-US"/>
              </w:rPr>
              <w:t>Возраст</w:t>
            </w:r>
          </w:p>
        </w:tc>
        <w:tc>
          <w:tcPr>
            <w:tcW w:w="4962" w:type="dxa"/>
            <w:gridSpan w:val="2"/>
            <w:tcBorders>
              <w:bottom w:val="single" w:sz="4" w:space="0" w:color="auto"/>
            </w:tcBorders>
            <w:shd w:val="clear" w:color="auto" w:fill="auto"/>
            <w:vAlign w:val="center"/>
          </w:tcPr>
          <w:p w14:paraId="0982125B" w14:textId="77777777" w:rsidR="005C199B" w:rsidRPr="00116B7F" w:rsidRDefault="005C199B" w:rsidP="00094F6F">
            <w:pPr>
              <w:widowControl w:val="0"/>
              <w:spacing w:after="0" w:line="240" w:lineRule="auto"/>
              <w:rPr>
                <w:rFonts w:ascii="Times New Roman" w:hAnsi="Times New Roman"/>
                <w:sz w:val="24"/>
                <w:szCs w:val="24"/>
                <w:lang w:eastAsia="en-US"/>
              </w:rPr>
            </w:pPr>
            <w:r w:rsidRPr="00116B7F">
              <w:rPr>
                <w:rFonts w:ascii="Times New Roman" w:hAnsi="Times New Roman"/>
                <w:bCs/>
                <w:sz w:val="24"/>
                <w:szCs w:val="24"/>
                <w:lang w:eastAsia="en-US"/>
              </w:rPr>
              <w:t>˂60</w:t>
            </w:r>
          </w:p>
        </w:tc>
        <w:tc>
          <w:tcPr>
            <w:tcW w:w="1564" w:type="dxa"/>
            <w:tcBorders>
              <w:bottom w:val="single" w:sz="4" w:space="0" w:color="auto"/>
            </w:tcBorders>
            <w:shd w:val="clear" w:color="auto" w:fill="auto"/>
            <w:vAlign w:val="center"/>
          </w:tcPr>
          <w:p w14:paraId="5E06E5C7" w14:textId="77777777" w:rsidR="005C199B" w:rsidRPr="00116B7F" w:rsidRDefault="005C199B" w:rsidP="00094F6F">
            <w:pPr>
              <w:widowControl w:val="0"/>
              <w:spacing w:after="0" w:line="240" w:lineRule="auto"/>
              <w:jc w:val="center"/>
              <w:rPr>
                <w:rFonts w:ascii="Times New Roman" w:hAnsi="Times New Roman"/>
                <w:sz w:val="24"/>
                <w:szCs w:val="24"/>
                <w:lang w:val="en-US" w:eastAsia="en-US"/>
              </w:rPr>
            </w:pPr>
            <w:r w:rsidRPr="00116B7F">
              <w:rPr>
                <w:rFonts w:ascii="Times New Roman" w:hAnsi="Times New Roman"/>
                <w:sz w:val="24"/>
                <w:szCs w:val="24"/>
                <w:lang w:val="en-US" w:eastAsia="en-US"/>
              </w:rPr>
              <w:t>53(42</w:t>
            </w:r>
            <w:r w:rsidRPr="00116B7F">
              <w:rPr>
                <w:rFonts w:ascii="Times New Roman" w:hAnsi="Times New Roman"/>
                <w:sz w:val="24"/>
                <w:szCs w:val="24"/>
                <w:lang w:eastAsia="en-US"/>
              </w:rPr>
              <w:t>,4</w:t>
            </w:r>
            <w:r w:rsidRPr="00116B7F">
              <w:rPr>
                <w:rFonts w:ascii="Times New Roman" w:hAnsi="Times New Roman"/>
                <w:sz w:val="24"/>
                <w:szCs w:val="24"/>
                <w:lang w:val="en-US" w:eastAsia="en-US"/>
              </w:rPr>
              <w:t>)</w:t>
            </w:r>
          </w:p>
        </w:tc>
      </w:tr>
      <w:tr w:rsidR="005C199B" w:rsidRPr="00145B66" w14:paraId="28B2BB5D" w14:textId="77777777" w:rsidTr="00094F6F">
        <w:trPr>
          <w:trHeight w:val="340"/>
          <w:jc w:val="center"/>
        </w:trPr>
        <w:tc>
          <w:tcPr>
            <w:tcW w:w="2830" w:type="dxa"/>
            <w:vMerge/>
            <w:tcBorders>
              <w:bottom w:val="single" w:sz="4" w:space="0" w:color="auto"/>
            </w:tcBorders>
            <w:shd w:val="clear" w:color="auto" w:fill="auto"/>
            <w:vAlign w:val="center"/>
          </w:tcPr>
          <w:p w14:paraId="1777F1CA"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tcBorders>
              <w:bottom w:val="single" w:sz="4" w:space="0" w:color="auto"/>
            </w:tcBorders>
            <w:shd w:val="clear" w:color="auto" w:fill="auto"/>
            <w:vAlign w:val="center"/>
          </w:tcPr>
          <w:p w14:paraId="6F839478" w14:textId="77777777" w:rsidR="005C199B" w:rsidRPr="00116B7F" w:rsidRDefault="005C199B" w:rsidP="00094F6F">
            <w:pPr>
              <w:widowControl w:val="0"/>
              <w:spacing w:after="0" w:line="240" w:lineRule="auto"/>
              <w:rPr>
                <w:rFonts w:ascii="Times New Roman" w:hAnsi="Times New Roman"/>
                <w:sz w:val="24"/>
                <w:szCs w:val="24"/>
                <w:lang w:eastAsia="en-US"/>
              </w:rPr>
            </w:pPr>
            <w:r w:rsidRPr="00116B7F">
              <w:rPr>
                <w:rFonts w:ascii="Times New Roman" w:hAnsi="Times New Roman"/>
                <w:bCs/>
                <w:sz w:val="24"/>
                <w:szCs w:val="24"/>
                <w:lang w:eastAsia="en-US"/>
              </w:rPr>
              <w:t>˃60</w:t>
            </w:r>
          </w:p>
        </w:tc>
        <w:tc>
          <w:tcPr>
            <w:tcW w:w="1564" w:type="dxa"/>
            <w:tcBorders>
              <w:bottom w:val="single" w:sz="4" w:space="0" w:color="auto"/>
            </w:tcBorders>
            <w:shd w:val="clear" w:color="auto" w:fill="auto"/>
            <w:vAlign w:val="center"/>
          </w:tcPr>
          <w:p w14:paraId="25E3A161"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val="en-US" w:eastAsia="en-US"/>
              </w:rPr>
              <w:t>72</w:t>
            </w:r>
            <w:r w:rsidRPr="00116B7F">
              <w:rPr>
                <w:rFonts w:ascii="Times New Roman" w:hAnsi="Times New Roman"/>
                <w:sz w:val="24"/>
                <w:szCs w:val="24"/>
                <w:lang w:eastAsia="en-US"/>
              </w:rPr>
              <w:t>(57,6)</w:t>
            </w:r>
          </w:p>
        </w:tc>
      </w:tr>
      <w:tr w:rsidR="005C199B" w:rsidRPr="00145B66" w14:paraId="0F2BF018" w14:textId="77777777" w:rsidTr="00094F6F">
        <w:trPr>
          <w:trHeight w:val="340"/>
          <w:jc w:val="center"/>
        </w:trPr>
        <w:tc>
          <w:tcPr>
            <w:tcW w:w="2830" w:type="dxa"/>
            <w:vMerge w:val="restart"/>
            <w:tcBorders>
              <w:top w:val="single" w:sz="4" w:space="0" w:color="auto"/>
              <w:bottom w:val="nil"/>
            </w:tcBorders>
            <w:shd w:val="clear" w:color="auto" w:fill="auto"/>
            <w:vAlign w:val="center"/>
          </w:tcPr>
          <w:p w14:paraId="6BCAB04E" w14:textId="77777777" w:rsidR="005C199B" w:rsidRPr="00116B7F" w:rsidRDefault="005C199B" w:rsidP="00094F6F">
            <w:pPr>
              <w:widowControl w:val="0"/>
              <w:spacing w:after="0" w:line="240" w:lineRule="auto"/>
              <w:rPr>
                <w:rFonts w:ascii="Times New Roman" w:hAnsi="Times New Roman"/>
                <w:sz w:val="24"/>
                <w:szCs w:val="24"/>
                <w:lang w:eastAsia="en-US"/>
              </w:rPr>
            </w:pPr>
            <w:r w:rsidRPr="00116B7F">
              <w:rPr>
                <w:rFonts w:ascii="Times New Roman" w:hAnsi="Times New Roman"/>
                <w:sz w:val="24"/>
                <w:szCs w:val="24"/>
                <w:lang w:eastAsia="en-US"/>
              </w:rPr>
              <w:t>Стадии рака ободочной кишки</w:t>
            </w:r>
          </w:p>
        </w:tc>
        <w:tc>
          <w:tcPr>
            <w:tcW w:w="4962" w:type="dxa"/>
            <w:gridSpan w:val="2"/>
            <w:tcBorders>
              <w:top w:val="single" w:sz="4" w:space="0" w:color="auto"/>
              <w:bottom w:val="single" w:sz="4" w:space="0" w:color="auto"/>
            </w:tcBorders>
            <w:shd w:val="clear" w:color="auto" w:fill="auto"/>
            <w:vAlign w:val="center"/>
            <w:hideMark/>
          </w:tcPr>
          <w:p w14:paraId="59DA9227" w14:textId="77777777" w:rsidR="005C199B" w:rsidRPr="00116B7F" w:rsidRDefault="005C199B" w:rsidP="00094F6F">
            <w:pPr>
              <w:widowControl w:val="0"/>
              <w:spacing w:after="0" w:line="240" w:lineRule="auto"/>
              <w:rPr>
                <w:rFonts w:ascii="Times New Roman" w:hAnsi="Times New Roman"/>
                <w:sz w:val="24"/>
                <w:szCs w:val="24"/>
                <w:lang w:eastAsia="en-US"/>
              </w:rPr>
            </w:pPr>
            <w:r w:rsidRPr="00116B7F">
              <w:rPr>
                <w:rFonts w:ascii="Times New Roman" w:hAnsi="Times New Roman"/>
                <w:sz w:val="24"/>
                <w:szCs w:val="24"/>
                <w:lang w:eastAsia="en-US"/>
              </w:rPr>
              <w:t>I стадия (T1N0M0; T2N0M0)</w:t>
            </w:r>
          </w:p>
        </w:tc>
        <w:tc>
          <w:tcPr>
            <w:tcW w:w="1564" w:type="dxa"/>
            <w:tcBorders>
              <w:top w:val="single" w:sz="4" w:space="0" w:color="auto"/>
              <w:bottom w:val="single" w:sz="4" w:space="0" w:color="auto"/>
            </w:tcBorders>
            <w:shd w:val="clear" w:color="auto" w:fill="auto"/>
            <w:vAlign w:val="center"/>
            <w:hideMark/>
          </w:tcPr>
          <w:p w14:paraId="3125B8B6"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12 (9,6)</w:t>
            </w:r>
          </w:p>
        </w:tc>
      </w:tr>
      <w:tr w:rsidR="005C199B" w:rsidRPr="00145B66" w14:paraId="6D24FAF8" w14:textId="77777777" w:rsidTr="00094F6F">
        <w:trPr>
          <w:trHeight w:val="340"/>
          <w:jc w:val="center"/>
        </w:trPr>
        <w:tc>
          <w:tcPr>
            <w:tcW w:w="2830" w:type="dxa"/>
            <w:vMerge/>
            <w:tcBorders>
              <w:top w:val="nil"/>
            </w:tcBorders>
            <w:shd w:val="clear" w:color="auto" w:fill="auto"/>
            <w:vAlign w:val="center"/>
            <w:hideMark/>
          </w:tcPr>
          <w:p w14:paraId="23A67142"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tcBorders>
              <w:top w:val="single" w:sz="4" w:space="0" w:color="auto"/>
            </w:tcBorders>
            <w:shd w:val="clear" w:color="auto" w:fill="auto"/>
            <w:vAlign w:val="center"/>
            <w:hideMark/>
          </w:tcPr>
          <w:p w14:paraId="4353AEB8" w14:textId="77777777" w:rsidR="005C199B" w:rsidRPr="00116B7F" w:rsidRDefault="005C199B" w:rsidP="00094F6F">
            <w:pPr>
              <w:widowControl w:val="0"/>
              <w:spacing w:after="0" w:line="240" w:lineRule="auto"/>
              <w:rPr>
                <w:rFonts w:ascii="Times New Roman" w:hAnsi="Times New Roman"/>
                <w:sz w:val="24"/>
                <w:szCs w:val="24"/>
                <w:lang w:eastAsia="en-US"/>
              </w:rPr>
            </w:pPr>
            <w:r w:rsidRPr="00116B7F">
              <w:rPr>
                <w:rFonts w:ascii="Times New Roman" w:hAnsi="Times New Roman"/>
                <w:sz w:val="24"/>
                <w:szCs w:val="24"/>
                <w:lang w:eastAsia="en-US"/>
              </w:rPr>
              <w:t>II стадия (T3N0M0; T4аN0M0; T4bN0M0)</w:t>
            </w:r>
          </w:p>
        </w:tc>
        <w:tc>
          <w:tcPr>
            <w:tcW w:w="1564" w:type="dxa"/>
            <w:tcBorders>
              <w:top w:val="single" w:sz="4" w:space="0" w:color="auto"/>
            </w:tcBorders>
            <w:shd w:val="clear" w:color="auto" w:fill="auto"/>
            <w:vAlign w:val="center"/>
            <w:hideMark/>
          </w:tcPr>
          <w:p w14:paraId="7C629617"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67 (53,6)</w:t>
            </w:r>
          </w:p>
        </w:tc>
      </w:tr>
      <w:tr w:rsidR="005C199B" w:rsidRPr="00145B66" w14:paraId="67DA372E" w14:textId="77777777" w:rsidTr="00094F6F">
        <w:trPr>
          <w:trHeight w:val="340"/>
          <w:jc w:val="center"/>
        </w:trPr>
        <w:tc>
          <w:tcPr>
            <w:tcW w:w="2830" w:type="dxa"/>
            <w:vMerge/>
            <w:shd w:val="clear" w:color="auto" w:fill="auto"/>
            <w:vAlign w:val="center"/>
            <w:hideMark/>
          </w:tcPr>
          <w:p w14:paraId="3EBCFDCC"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shd w:val="clear" w:color="auto" w:fill="auto"/>
            <w:vAlign w:val="center"/>
            <w:hideMark/>
          </w:tcPr>
          <w:p w14:paraId="73613EC4" w14:textId="77777777" w:rsidR="005C199B" w:rsidRPr="00116B7F" w:rsidRDefault="005C199B" w:rsidP="00094F6F">
            <w:pPr>
              <w:widowControl w:val="0"/>
              <w:spacing w:after="0" w:line="240" w:lineRule="auto"/>
              <w:rPr>
                <w:rFonts w:ascii="Times New Roman" w:hAnsi="Times New Roman"/>
                <w:sz w:val="24"/>
                <w:szCs w:val="24"/>
                <w:lang w:eastAsia="en-US"/>
              </w:rPr>
            </w:pPr>
            <w:r w:rsidRPr="00116B7F">
              <w:rPr>
                <w:rFonts w:ascii="Times New Roman" w:hAnsi="Times New Roman"/>
                <w:sz w:val="24"/>
                <w:szCs w:val="24"/>
                <w:lang w:eastAsia="en-US"/>
              </w:rPr>
              <w:t>III стадия (T1,2N1,2аM0; T2,3N2аM0)</w:t>
            </w:r>
          </w:p>
        </w:tc>
        <w:tc>
          <w:tcPr>
            <w:tcW w:w="1564" w:type="dxa"/>
            <w:shd w:val="clear" w:color="auto" w:fill="auto"/>
            <w:vAlign w:val="center"/>
            <w:hideMark/>
          </w:tcPr>
          <w:p w14:paraId="74B1E63A"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46 (36,8)</w:t>
            </w:r>
          </w:p>
        </w:tc>
      </w:tr>
      <w:tr w:rsidR="005C199B" w:rsidRPr="00145B66" w14:paraId="0C289533" w14:textId="77777777" w:rsidTr="00094F6F">
        <w:trPr>
          <w:trHeight w:val="340"/>
          <w:jc w:val="center"/>
        </w:trPr>
        <w:tc>
          <w:tcPr>
            <w:tcW w:w="2830" w:type="dxa"/>
            <w:vMerge w:val="restart"/>
            <w:shd w:val="clear" w:color="auto" w:fill="auto"/>
            <w:vAlign w:val="center"/>
            <w:hideMark/>
          </w:tcPr>
          <w:p w14:paraId="3983C025" w14:textId="77777777" w:rsidR="005C199B" w:rsidRPr="00116B7F" w:rsidRDefault="005C199B" w:rsidP="00094F6F">
            <w:pPr>
              <w:widowControl w:val="0"/>
              <w:spacing w:after="0" w:line="240" w:lineRule="auto"/>
              <w:rPr>
                <w:rFonts w:ascii="Times New Roman" w:hAnsi="Times New Roman"/>
                <w:sz w:val="24"/>
                <w:szCs w:val="24"/>
                <w:lang w:eastAsia="en-US"/>
              </w:rPr>
            </w:pPr>
            <w:r w:rsidRPr="00116B7F">
              <w:rPr>
                <w:rFonts w:ascii="Times New Roman" w:hAnsi="Times New Roman"/>
                <w:sz w:val="24"/>
                <w:szCs w:val="24"/>
                <w:lang w:eastAsia="en-US"/>
              </w:rPr>
              <w:t>Гистологический тип рака</w:t>
            </w:r>
          </w:p>
        </w:tc>
        <w:tc>
          <w:tcPr>
            <w:tcW w:w="4962" w:type="dxa"/>
            <w:gridSpan w:val="2"/>
            <w:shd w:val="clear" w:color="auto" w:fill="auto"/>
            <w:vAlign w:val="center"/>
            <w:hideMark/>
          </w:tcPr>
          <w:p w14:paraId="0E6F1C84"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аденокарцинома</w:t>
            </w:r>
            <w:proofErr w:type="gramEnd"/>
          </w:p>
        </w:tc>
        <w:tc>
          <w:tcPr>
            <w:tcW w:w="1564" w:type="dxa"/>
            <w:shd w:val="clear" w:color="auto" w:fill="auto"/>
            <w:vAlign w:val="center"/>
            <w:hideMark/>
          </w:tcPr>
          <w:p w14:paraId="57A5BBF5"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107(85,6)</w:t>
            </w:r>
          </w:p>
        </w:tc>
      </w:tr>
      <w:tr w:rsidR="005C199B" w:rsidRPr="00145B66" w14:paraId="60E45A34" w14:textId="77777777" w:rsidTr="00094F6F">
        <w:trPr>
          <w:trHeight w:val="340"/>
          <w:jc w:val="center"/>
        </w:trPr>
        <w:tc>
          <w:tcPr>
            <w:tcW w:w="2830" w:type="dxa"/>
            <w:vMerge/>
            <w:shd w:val="clear" w:color="auto" w:fill="auto"/>
            <w:vAlign w:val="center"/>
            <w:hideMark/>
          </w:tcPr>
          <w:p w14:paraId="0BF08E49"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shd w:val="clear" w:color="auto" w:fill="auto"/>
            <w:vAlign w:val="center"/>
            <w:hideMark/>
          </w:tcPr>
          <w:p w14:paraId="268F484F"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недифференцированная</w:t>
            </w:r>
            <w:proofErr w:type="gramEnd"/>
            <w:r w:rsidRPr="00116B7F">
              <w:rPr>
                <w:rFonts w:ascii="Times New Roman" w:hAnsi="Times New Roman"/>
                <w:sz w:val="24"/>
                <w:szCs w:val="24"/>
                <w:lang w:eastAsia="en-US"/>
              </w:rPr>
              <w:t xml:space="preserve"> карцинома</w:t>
            </w:r>
          </w:p>
        </w:tc>
        <w:tc>
          <w:tcPr>
            <w:tcW w:w="1564" w:type="dxa"/>
            <w:shd w:val="clear" w:color="auto" w:fill="auto"/>
            <w:vAlign w:val="center"/>
            <w:hideMark/>
          </w:tcPr>
          <w:p w14:paraId="61D5C49B"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18(14,4)</w:t>
            </w:r>
          </w:p>
        </w:tc>
      </w:tr>
      <w:tr w:rsidR="005C199B" w:rsidRPr="00145B66" w14:paraId="78E53FA5" w14:textId="77777777" w:rsidTr="00094F6F">
        <w:trPr>
          <w:trHeight w:val="340"/>
          <w:jc w:val="center"/>
        </w:trPr>
        <w:tc>
          <w:tcPr>
            <w:tcW w:w="2830" w:type="dxa"/>
            <w:vMerge w:val="restart"/>
            <w:shd w:val="clear" w:color="auto" w:fill="auto"/>
            <w:vAlign w:val="center"/>
          </w:tcPr>
          <w:p w14:paraId="33656C4F" w14:textId="77777777" w:rsidR="005C199B" w:rsidRPr="00116B7F" w:rsidRDefault="005C199B" w:rsidP="00094F6F">
            <w:pPr>
              <w:widowControl w:val="0"/>
              <w:spacing w:after="0" w:line="240" w:lineRule="auto"/>
              <w:rPr>
                <w:rFonts w:ascii="Times New Roman" w:hAnsi="Times New Roman"/>
                <w:sz w:val="24"/>
                <w:szCs w:val="24"/>
                <w:lang w:eastAsia="en-US"/>
              </w:rPr>
            </w:pPr>
            <w:r w:rsidRPr="00116B7F">
              <w:rPr>
                <w:rFonts w:ascii="Times New Roman" w:hAnsi="Times New Roman"/>
                <w:sz w:val="24"/>
                <w:szCs w:val="24"/>
                <w:lang w:eastAsia="en-US"/>
              </w:rPr>
              <w:t>Степень дифференцировки</w:t>
            </w:r>
          </w:p>
        </w:tc>
        <w:tc>
          <w:tcPr>
            <w:tcW w:w="4962" w:type="dxa"/>
            <w:gridSpan w:val="2"/>
            <w:shd w:val="clear" w:color="auto" w:fill="auto"/>
            <w:vAlign w:val="center"/>
          </w:tcPr>
          <w:p w14:paraId="54F8F05C"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высокая</w:t>
            </w:r>
            <w:proofErr w:type="gramEnd"/>
          </w:p>
        </w:tc>
        <w:tc>
          <w:tcPr>
            <w:tcW w:w="1564" w:type="dxa"/>
            <w:shd w:val="clear" w:color="auto" w:fill="auto"/>
            <w:vAlign w:val="center"/>
          </w:tcPr>
          <w:p w14:paraId="6D29D535"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79(63,2)</w:t>
            </w:r>
          </w:p>
        </w:tc>
      </w:tr>
      <w:tr w:rsidR="005C199B" w:rsidRPr="00145B66" w14:paraId="076CF37E" w14:textId="77777777" w:rsidTr="00094F6F">
        <w:trPr>
          <w:trHeight w:val="340"/>
          <w:jc w:val="center"/>
        </w:trPr>
        <w:tc>
          <w:tcPr>
            <w:tcW w:w="2830" w:type="dxa"/>
            <w:vMerge/>
            <w:shd w:val="clear" w:color="auto" w:fill="auto"/>
            <w:vAlign w:val="center"/>
          </w:tcPr>
          <w:p w14:paraId="0DC7A4A4"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shd w:val="clear" w:color="auto" w:fill="auto"/>
            <w:vAlign w:val="center"/>
          </w:tcPr>
          <w:p w14:paraId="3F03D942"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низкая</w:t>
            </w:r>
            <w:proofErr w:type="gramEnd"/>
          </w:p>
        </w:tc>
        <w:tc>
          <w:tcPr>
            <w:tcW w:w="1564" w:type="dxa"/>
            <w:shd w:val="clear" w:color="auto" w:fill="auto"/>
            <w:vAlign w:val="center"/>
          </w:tcPr>
          <w:p w14:paraId="11B27CDD"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46(36,8)</w:t>
            </w:r>
          </w:p>
        </w:tc>
      </w:tr>
      <w:tr w:rsidR="005C199B" w:rsidRPr="00145B66" w14:paraId="6185A8C6" w14:textId="77777777" w:rsidTr="00094F6F">
        <w:trPr>
          <w:trHeight w:val="340"/>
          <w:jc w:val="center"/>
        </w:trPr>
        <w:tc>
          <w:tcPr>
            <w:tcW w:w="2830" w:type="dxa"/>
            <w:vMerge w:val="restart"/>
            <w:shd w:val="clear" w:color="auto" w:fill="auto"/>
            <w:vAlign w:val="center"/>
            <w:hideMark/>
          </w:tcPr>
          <w:p w14:paraId="79C5EE01" w14:textId="77777777" w:rsidR="005C199B" w:rsidRPr="00116B7F" w:rsidRDefault="005C199B" w:rsidP="00094F6F">
            <w:pPr>
              <w:widowControl w:val="0"/>
              <w:spacing w:after="0" w:line="240" w:lineRule="auto"/>
              <w:rPr>
                <w:rFonts w:ascii="Times New Roman" w:hAnsi="Times New Roman"/>
                <w:sz w:val="24"/>
                <w:szCs w:val="24"/>
                <w:lang w:eastAsia="en-US"/>
              </w:rPr>
            </w:pPr>
            <w:r w:rsidRPr="00116B7F">
              <w:rPr>
                <w:rFonts w:ascii="Times New Roman" w:hAnsi="Times New Roman"/>
                <w:sz w:val="24"/>
                <w:szCs w:val="24"/>
                <w:lang w:eastAsia="en-US"/>
              </w:rPr>
              <w:t>Локализация опухоли</w:t>
            </w:r>
          </w:p>
        </w:tc>
        <w:tc>
          <w:tcPr>
            <w:tcW w:w="4962" w:type="dxa"/>
            <w:gridSpan w:val="2"/>
            <w:shd w:val="clear" w:color="auto" w:fill="auto"/>
            <w:vAlign w:val="center"/>
          </w:tcPr>
          <w:p w14:paraId="39489646"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восходящий</w:t>
            </w:r>
            <w:proofErr w:type="gramEnd"/>
            <w:r w:rsidRPr="00116B7F">
              <w:rPr>
                <w:rFonts w:ascii="Times New Roman" w:hAnsi="Times New Roman"/>
                <w:sz w:val="24"/>
                <w:szCs w:val="24"/>
                <w:lang w:eastAsia="en-US"/>
              </w:rPr>
              <w:t xml:space="preserve"> отдел ободочной кишки</w:t>
            </w:r>
          </w:p>
        </w:tc>
        <w:tc>
          <w:tcPr>
            <w:tcW w:w="1564" w:type="dxa"/>
            <w:shd w:val="clear" w:color="auto" w:fill="auto"/>
            <w:vAlign w:val="center"/>
          </w:tcPr>
          <w:p w14:paraId="30B9C34A"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41(32,8)</w:t>
            </w:r>
          </w:p>
        </w:tc>
      </w:tr>
      <w:tr w:rsidR="005C199B" w:rsidRPr="00145B66" w14:paraId="0C0C5857" w14:textId="77777777" w:rsidTr="00094F6F">
        <w:trPr>
          <w:trHeight w:val="340"/>
          <w:jc w:val="center"/>
        </w:trPr>
        <w:tc>
          <w:tcPr>
            <w:tcW w:w="2830" w:type="dxa"/>
            <w:vMerge/>
            <w:shd w:val="clear" w:color="auto" w:fill="auto"/>
            <w:vAlign w:val="center"/>
            <w:hideMark/>
          </w:tcPr>
          <w:p w14:paraId="5FA8AB4A"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shd w:val="clear" w:color="auto" w:fill="auto"/>
            <w:vAlign w:val="center"/>
          </w:tcPr>
          <w:p w14:paraId="64C01D48"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печеночный</w:t>
            </w:r>
            <w:proofErr w:type="gramEnd"/>
            <w:r w:rsidRPr="00116B7F">
              <w:rPr>
                <w:rFonts w:ascii="Times New Roman" w:hAnsi="Times New Roman"/>
                <w:sz w:val="24"/>
                <w:szCs w:val="24"/>
                <w:lang w:eastAsia="en-US"/>
              </w:rPr>
              <w:t xml:space="preserve"> изгиб ободочной кишки</w:t>
            </w:r>
          </w:p>
        </w:tc>
        <w:tc>
          <w:tcPr>
            <w:tcW w:w="1564" w:type="dxa"/>
            <w:shd w:val="clear" w:color="auto" w:fill="auto"/>
            <w:vAlign w:val="center"/>
          </w:tcPr>
          <w:p w14:paraId="39304679"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8 (6,4)</w:t>
            </w:r>
          </w:p>
        </w:tc>
      </w:tr>
      <w:tr w:rsidR="005C199B" w:rsidRPr="00145B66" w14:paraId="2C23BD46" w14:textId="77777777" w:rsidTr="00094F6F">
        <w:trPr>
          <w:trHeight w:val="340"/>
          <w:jc w:val="center"/>
        </w:trPr>
        <w:tc>
          <w:tcPr>
            <w:tcW w:w="2830" w:type="dxa"/>
            <w:vMerge/>
            <w:shd w:val="clear" w:color="auto" w:fill="auto"/>
            <w:vAlign w:val="center"/>
            <w:hideMark/>
          </w:tcPr>
          <w:p w14:paraId="50A5C6EA"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shd w:val="clear" w:color="auto" w:fill="auto"/>
            <w:vAlign w:val="center"/>
          </w:tcPr>
          <w:p w14:paraId="02CCD986"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поперечно</w:t>
            </w:r>
            <w:proofErr w:type="gramEnd"/>
            <w:r w:rsidRPr="00116B7F">
              <w:rPr>
                <w:rFonts w:ascii="Times New Roman" w:hAnsi="Times New Roman"/>
                <w:sz w:val="24"/>
                <w:szCs w:val="24"/>
                <w:lang w:eastAsia="en-US"/>
              </w:rPr>
              <w:t>-ободочная кишка</w:t>
            </w:r>
          </w:p>
        </w:tc>
        <w:tc>
          <w:tcPr>
            <w:tcW w:w="1564" w:type="dxa"/>
            <w:shd w:val="clear" w:color="auto" w:fill="auto"/>
            <w:vAlign w:val="center"/>
          </w:tcPr>
          <w:p w14:paraId="07C1AD58"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18 (14,4)</w:t>
            </w:r>
          </w:p>
        </w:tc>
      </w:tr>
      <w:tr w:rsidR="005C199B" w:rsidRPr="00145B66" w14:paraId="7C61284B" w14:textId="77777777" w:rsidTr="00094F6F">
        <w:trPr>
          <w:trHeight w:val="340"/>
          <w:jc w:val="center"/>
        </w:trPr>
        <w:tc>
          <w:tcPr>
            <w:tcW w:w="2830" w:type="dxa"/>
            <w:vMerge/>
            <w:shd w:val="clear" w:color="auto" w:fill="auto"/>
            <w:vAlign w:val="center"/>
            <w:hideMark/>
          </w:tcPr>
          <w:p w14:paraId="7220E8A7"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shd w:val="clear" w:color="auto" w:fill="auto"/>
            <w:vAlign w:val="center"/>
          </w:tcPr>
          <w:p w14:paraId="738A5580"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нисходящий</w:t>
            </w:r>
            <w:proofErr w:type="gramEnd"/>
            <w:r w:rsidRPr="00116B7F">
              <w:rPr>
                <w:rFonts w:ascii="Times New Roman" w:hAnsi="Times New Roman"/>
                <w:sz w:val="24"/>
                <w:szCs w:val="24"/>
                <w:lang w:eastAsia="en-US"/>
              </w:rPr>
              <w:t xml:space="preserve"> отдел ободочной кишки</w:t>
            </w:r>
          </w:p>
        </w:tc>
        <w:tc>
          <w:tcPr>
            <w:tcW w:w="1564" w:type="dxa"/>
            <w:shd w:val="clear" w:color="auto" w:fill="auto"/>
            <w:vAlign w:val="center"/>
          </w:tcPr>
          <w:p w14:paraId="1CFEF747"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46 (24)</w:t>
            </w:r>
          </w:p>
        </w:tc>
      </w:tr>
      <w:tr w:rsidR="005C199B" w:rsidRPr="00145B66" w14:paraId="39C55284" w14:textId="77777777" w:rsidTr="00094F6F">
        <w:trPr>
          <w:trHeight w:val="340"/>
          <w:jc w:val="center"/>
        </w:trPr>
        <w:tc>
          <w:tcPr>
            <w:tcW w:w="2830" w:type="dxa"/>
            <w:vMerge/>
            <w:tcBorders>
              <w:bottom w:val="single" w:sz="4" w:space="0" w:color="auto"/>
            </w:tcBorders>
            <w:shd w:val="clear" w:color="auto" w:fill="auto"/>
            <w:vAlign w:val="center"/>
          </w:tcPr>
          <w:p w14:paraId="3653CCB8"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tcBorders>
              <w:bottom w:val="single" w:sz="4" w:space="0" w:color="auto"/>
            </w:tcBorders>
            <w:shd w:val="clear" w:color="auto" w:fill="auto"/>
            <w:vAlign w:val="center"/>
          </w:tcPr>
          <w:p w14:paraId="47E171E8"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сигмовидная</w:t>
            </w:r>
            <w:proofErr w:type="gramEnd"/>
            <w:r w:rsidRPr="00116B7F">
              <w:rPr>
                <w:rFonts w:ascii="Times New Roman" w:hAnsi="Times New Roman"/>
                <w:sz w:val="24"/>
                <w:szCs w:val="24"/>
                <w:lang w:eastAsia="en-US"/>
              </w:rPr>
              <w:t xml:space="preserve"> кишка</w:t>
            </w:r>
          </w:p>
        </w:tc>
        <w:tc>
          <w:tcPr>
            <w:tcW w:w="1564" w:type="dxa"/>
            <w:tcBorders>
              <w:bottom w:val="single" w:sz="4" w:space="0" w:color="auto"/>
            </w:tcBorders>
            <w:shd w:val="clear" w:color="auto" w:fill="auto"/>
            <w:vAlign w:val="center"/>
          </w:tcPr>
          <w:p w14:paraId="2EDB9A90"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12 (9,6)</w:t>
            </w:r>
          </w:p>
        </w:tc>
      </w:tr>
      <w:tr w:rsidR="005C199B" w:rsidRPr="00145B66" w14:paraId="3E2E6262" w14:textId="77777777" w:rsidTr="00094F6F">
        <w:trPr>
          <w:trHeight w:val="340"/>
          <w:jc w:val="center"/>
        </w:trPr>
        <w:tc>
          <w:tcPr>
            <w:tcW w:w="2830" w:type="dxa"/>
            <w:vMerge w:val="restart"/>
            <w:shd w:val="clear" w:color="auto" w:fill="auto"/>
            <w:vAlign w:val="center"/>
          </w:tcPr>
          <w:p w14:paraId="61FB6160" w14:textId="77777777" w:rsidR="005C199B" w:rsidRPr="00116B7F" w:rsidRDefault="005C199B" w:rsidP="00094F6F">
            <w:pPr>
              <w:widowControl w:val="0"/>
              <w:spacing w:after="0" w:line="240" w:lineRule="auto"/>
              <w:rPr>
                <w:rFonts w:ascii="Times New Roman" w:hAnsi="Times New Roman"/>
                <w:sz w:val="24"/>
                <w:szCs w:val="24"/>
                <w:lang w:eastAsia="en-US"/>
              </w:rPr>
            </w:pPr>
            <w:r w:rsidRPr="00116B7F">
              <w:rPr>
                <w:rFonts w:ascii="Times New Roman" w:hAnsi="Times New Roman"/>
                <w:sz w:val="24"/>
                <w:szCs w:val="24"/>
                <w:lang w:eastAsia="en-US"/>
              </w:rPr>
              <w:t>Вид оперативного вмешательства</w:t>
            </w:r>
          </w:p>
        </w:tc>
        <w:tc>
          <w:tcPr>
            <w:tcW w:w="4962" w:type="dxa"/>
            <w:gridSpan w:val="2"/>
            <w:shd w:val="clear" w:color="auto" w:fill="auto"/>
            <w:vAlign w:val="center"/>
          </w:tcPr>
          <w:p w14:paraId="03D38E66"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правосторонняя</w:t>
            </w:r>
            <w:proofErr w:type="gramEnd"/>
            <w:r w:rsidRPr="00116B7F">
              <w:rPr>
                <w:rFonts w:ascii="Times New Roman" w:hAnsi="Times New Roman"/>
                <w:sz w:val="24"/>
                <w:szCs w:val="24"/>
                <w:lang w:eastAsia="en-US"/>
              </w:rPr>
              <w:t xml:space="preserve"> гемиколэктомия</w:t>
            </w:r>
          </w:p>
        </w:tc>
        <w:tc>
          <w:tcPr>
            <w:tcW w:w="1564" w:type="dxa"/>
            <w:shd w:val="clear" w:color="auto" w:fill="auto"/>
            <w:vAlign w:val="center"/>
          </w:tcPr>
          <w:p w14:paraId="660A8F75"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44 (35,2)</w:t>
            </w:r>
          </w:p>
        </w:tc>
      </w:tr>
      <w:tr w:rsidR="005C199B" w:rsidRPr="00145B66" w14:paraId="20D0C5C0" w14:textId="77777777" w:rsidTr="00094F6F">
        <w:trPr>
          <w:trHeight w:val="340"/>
          <w:jc w:val="center"/>
        </w:trPr>
        <w:tc>
          <w:tcPr>
            <w:tcW w:w="2830" w:type="dxa"/>
            <w:vMerge/>
            <w:shd w:val="clear" w:color="auto" w:fill="auto"/>
            <w:vAlign w:val="center"/>
          </w:tcPr>
          <w:p w14:paraId="14810C24"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shd w:val="clear" w:color="auto" w:fill="auto"/>
            <w:vAlign w:val="center"/>
          </w:tcPr>
          <w:p w14:paraId="35BB7FF2"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резекция</w:t>
            </w:r>
            <w:proofErr w:type="gramEnd"/>
            <w:r w:rsidRPr="00116B7F">
              <w:rPr>
                <w:rFonts w:ascii="Times New Roman" w:hAnsi="Times New Roman"/>
                <w:sz w:val="24"/>
                <w:szCs w:val="24"/>
                <w:lang w:eastAsia="en-US"/>
              </w:rPr>
              <w:t xml:space="preserve"> поперечно-ободочной кишки</w:t>
            </w:r>
          </w:p>
        </w:tc>
        <w:tc>
          <w:tcPr>
            <w:tcW w:w="1564" w:type="dxa"/>
            <w:shd w:val="clear" w:color="auto" w:fill="auto"/>
            <w:vAlign w:val="center"/>
          </w:tcPr>
          <w:p w14:paraId="75282999"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15 (12)</w:t>
            </w:r>
          </w:p>
        </w:tc>
      </w:tr>
      <w:tr w:rsidR="005C199B" w:rsidRPr="00145B66" w14:paraId="073931CD" w14:textId="77777777" w:rsidTr="00094F6F">
        <w:trPr>
          <w:trHeight w:val="340"/>
          <w:jc w:val="center"/>
        </w:trPr>
        <w:tc>
          <w:tcPr>
            <w:tcW w:w="2830" w:type="dxa"/>
            <w:vMerge/>
            <w:shd w:val="clear" w:color="auto" w:fill="auto"/>
            <w:vAlign w:val="center"/>
          </w:tcPr>
          <w:p w14:paraId="043F1146"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shd w:val="clear" w:color="auto" w:fill="auto"/>
            <w:vAlign w:val="center"/>
          </w:tcPr>
          <w:p w14:paraId="02865897"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левосторонняя</w:t>
            </w:r>
            <w:proofErr w:type="gramEnd"/>
            <w:r w:rsidRPr="00116B7F">
              <w:rPr>
                <w:rFonts w:ascii="Times New Roman" w:hAnsi="Times New Roman"/>
                <w:sz w:val="24"/>
                <w:szCs w:val="24"/>
                <w:lang w:eastAsia="en-US"/>
              </w:rPr>
              <w:t xml:space="preserve"> гемиколэктомия</w:t>
            </w:r>
          </w:p>
        </w:tc>
        <w:tc>
          <w:tcPr>
            <w:tcW w:w="1564" w:type="dxa"/>
            <w:shd w:val="clear" w:color="auto" w:fill="auto"/>
            <w:vAlign w:val="center"/>
          </w:tcPr>
          <w:p w14:paraId="77014822"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50(40)</w:t>
            </w:r>
          </w:p>
        </w:tc>
      </w:tr>
      <w:tr w:rsidR="005C199B" w:rsidRPr="00145B66" w14:paraId="4A1AA18C" w14:textId="77777777" w:rsidTr="00094F6F">
        <w:trPr>
          <w:trHeight w:val="340"/>
          <w:jc w:val="center"/>
        </w:trPr>
        <w:tc>
          <w:tcPr>
            <w:tcW w:w="2830" w:type="dxa"/>
            <w:vMerge/>
            <w:shd w:val="clear" w:color="auto" w:fill="auto"/>
            <w:vAlign w:val="center"/>
          </w:tcPr>
          <w:p w14:paraId="383829D0"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3107" w:type="dxa"/>
            <w:vMerge w:val="restart"/>
            <w:shd w:val="clear" w:color="auto" w:fill="auto"/>
            <w:vAlign w:val="center"/>
          </w:tcPr>
          <w:p w14:paraId="5DA8EE12"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резекция</w:t>
            </w:r>
            <w:proofErr w:type="gramEnd"/>
            <w:r w:rsidRPr="00116B7F">
              <w:rPr>
                <w:rFonts w:ascii="Times New Roman" w:hAnsi="Times New Roman"/>
                <w:sz w:val="24"/>
                <w:szCs w:val="24"/>
                <w:lang w:eastAsia="en-US"/>
              </w:rPr>
              <w:t xml:space="preserve"> кишечника с формирование стомы</w:t>
            </w:r>
          </w:p>
        </w:tc>
        <w:tc>
          <w:tcPr>
            <w:tcW w:w="1855" w:type="dxa"/>
            <w:shd w:val="clear" w:color="auto" w:fill="auto"/>
            <w:vAlign w:val="center"/>
          </w:tcPr>
          <w:p w14:paraId="34C21CC1" w14:textId="77777777" w:rsidR="005C199B" w:rsidRPr="00116B7F" w:rsidRDefault="005C199B" w:rsidP="00094F6F">
            <w:pPr>
              <w:widowControl w:val="0"/>
              <w:spacing w:after="0" w:line="240" w:lineRule="auto"/>
              <w:rPr>
                <w:rFonts w:ascii="Times New Roman" w:hAnsi="Times New Roman"/>
                <w:sz w:val="24"/>
                <w:szCs w:val="24"/>
                <w:lang w:eastAsia="en-US"/>
              </w:rPr>
            </w:pPr>
            <w:proofErr w:type="spellStart"/>
            <w:proofErr w:type="gramStart"/>
            <w:r w:rsidRPr="00116B7F">
              <w:rPr>
                <w:rFonts w:ascii="Times New Roman" w:hAnsi="Times New Roman"/>
                <w:sz w:val="24"/>
                <w:szCs w:val="24"/>
                <w:lang w:eastAsia="en-US"/>
              </w:rPr>
              <w:t>илеостома</w:t>
            </w:r>
            <w:proofErr w:type="spellEnd"/>
            <w:proofErr w:type="gramEnd"/>
          </w:p>
        </w:tc>
        <w:tc>
          <w:tcPr>
            <w:tcW w:w="1564" w:type="dxa"/>
            <w:shd w:val="clear" w:color="auto" w:fill="auto"/>
            <w:vAlign w:val="center"/>
          </w:tcPr>
          <w:p w14:paraId="15D5E764"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6 (4,8)</w:t>
            </w:r>
          </w:p>
        </w:tc>
      </w:tr>
      <w:tr w:rsidR="005C199B" w:rsidRPr="00145B66" w14:paraId="69ED5D21" w14:textId="77777777" w:rsidTr="00094F6F">
        <w:trPr>
          <w:trHeight w:val="340"/>
          <w:jc w:val="center"/>
        </w:trPr>
        <w:tc>
          <w:tcPr>
            <w:tcW w:w="2830" w:type="dxa"/>
            <w:vMerge/>
            <w:tcBorders>
              <w:bottom w:val="nil"/>
            </w:tcBorders>
            <w:shd w:val="clear" w:color="auto" w:fill="auto"/>
            <w:vAlign w:val="center"/>
          </w:tcPr>
          <w:p w14:paraId="7AB456DD"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3107" w:type="dxa"/>
            <w:vMerge/>
            <w:tcBorders>
              <w:bottom w:val="nil"/>
            </w:tcBorders>
            <w:shd w:val="clear" w:color="auto" w:fill="auto"/>
            <w:vAlign w:val="center"/>
          </w:tcPr>
          <w:p w14:paraId="737568C6"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1855" w:type="dxa"/>
            <w:tcBorders>
              <w:bottom w:val="nil"/>
            </w:tcBorders>
            <w:shd w:val="clear" w:color="auto" w:fill="auto"/>
            <w:vAlign w:val="center"/>
          </w:tcPr>
          <w:p w14:paraId="7A4163F2" w14:textId="77777777" w:rsidR="005C199B" w:rsidRPr="00116B7F" w:rsidRDefault="005C199B" w:rsidP="00094F6F">
            <w:pPr>
              <w:widowControl w:val="0"/>
              <w:spacing w:after="0" w:line="240" w:lineRule="auto"/>
              <w:rPr>
                <w:rFonts w:ascii="Times New Roman" w:hAnsi="Times New Roman"/>
                <w:sz w:val="24"/>
                <w:szCs w:val="24"/>
                <w:lang w:eastAsia="en-US"/>
              </w:rPr>
            </w:pPr>
            <w:proofErr w:type="spellStart"/>
            <w:proofErr w:type="gramStart"/>
            <w:r w:rsidRPr="00116B7F">
              <w:rPr>
                <w:rFonts w:ascii="Times New Roman" w:hAnsi="Times New Roman"/>
                <w:sz w:val="24"/>
                <w:szCs w:val="24"/>
                <w:lang w:eastAsia="en-US"/>
              </w:rPr>
              <w:t>колостома</w:t>
            </w:r>
            <w:proofErr w:type="spellEnd"/>
            <w:proofErr w:type="gramEnd"/>
          </w:p>
        </w:tc>
        <w:tc>
          <w:tcPr>
            <w:tcW w:w="1564" w:type="dxa"/>
            <w:tcBorders>
              <w:bottom w:val="nil"/>
            </w:tcBorders>
            <w:shd w:val="clear" w:color="auto" w:fill="auto"/>
            <w:vAlign w:val="center"/>
          </w:tcPr>
          <w:p w14:paraId="39A42A09"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10 (8)</w:t>
            </w:r>
          </w:p>
        </w:tc>
      </w:tr>
      <w:tr w:rsidR="005C199B" w:rsidRPr="00145B66" w14:paraId="2DC1F87B" w14:textId="77777777" w:rsidTr="00094F6F">
        <w:trPr>
          <w:trHeight w:val="340"/>
          <w:jc w:val="center"/>
        </w:trPr>
        <w:tc>
          <w:tcPr>
            <w:tcW w:w="2830" w:type="dxa"/>
            <w:vMerge w:val="restart"/>
            <w:tcBorders>
              <w:top w:val="single" w:sz="4" w:space="0" w:color="auto"/>
            </w:tcBorders>
            <w:shd w:val="clear" w:color="auto" w:fill="auto"/>
            <w:vAlign w:val="center"/>
            <w:hideMark/>
          </w:tcPr>
          <w:p w14:paraId="521AAE3A" w14:textId="77777777" w:rsidR="005C199B" w:rsidRPr="00116B7F" w:rsidRDefault="005C199B" w:rsidP="00094F6F">
            <w:pPr>
              <w:widowControl w:val="0"/>
              <w:spacing w:after="0" w:line="240" w:lineRule="auto"/>
              <w:rPr>
                <w:rFonts w:ascii="Times New Roman" w:hAnsi="Times New Roman"/>
                <w:sz w:val="24"/>
                <w:szCs w:val="24"/>
                <w:lang w:eastAsia="en-US"/>
              </w:rPr>
            </w:pPr>
            <w:r w:rsidRPr="00116B7F">
              <w:rPr>
                <w:rFonts w:ascii="Times New Roman" w:hAnsi="Times New Roman"/>
                <w:sz w:val="24"/>
                <w:szCs w:val="24"/>
                <w:lang w:eastAsia="en-US"/>
              </w:rPr>
              <w:t>Сопутствующие заболевания</w:t>
            </w:r>
          </w:p>
        </w:tc>
        <w:tc>
          <w:tcPr>
            <w:tcW w:w="4962" w:type="dxa"/>
            <w:gridSpan w:val="2"/>
            <w:tcBorders>
              <w:top w:val="single" w:sz="4" w:space="0" w:color="auto"/>
            </w:tcBorders>
            <w:shd w:val="clear" w:color="auto" w:fill="auto"/>
            <w:vAlign w:val="center"/>
            <w:hideMark/>
          </w:tcPr>
          <w:p w14:paraId="649ACED8"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сердечно</w:t>
            </w:r>
            <w:proofErr w:type="gramEnd"/>
            <w:r w:rsidRPr="00116B7F">
              <w:rPr>
                <w:rFonts w:ascii="Times New Roman" w:hAnsi="Times New Roman"/>
                <w:sz w:val="24"/>
                <w:szCs w:val="24"/>
                <w:lang w:eastAsia="en-US"/>
              </w:rPr>
              <w:t>-сосудистая система</w:t>
            </w:r>
          </w:p>
        </w:tc>
        <w:tc>
          <w:tcPr>
            <w:tcW w:w="1564" w:type="dxa"/>
            <w:tcBorders>
              <w:top w:val="single" w:sz="4" w:space="0" w:color="auto"/>
            </w:tcBorders>
            <w:shd w:val="clear" w:color="auto" w:fill="auto"/>
            <w:vAlign w:val="center"/>
            <w:hideMark/>
          </w:tcPr>
          <w:p w14:paraId="21FE2444"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52(41,6)</w:t>
            </w:r>
          </w:p>
        </w:tc>
      </w:tr>
      <w:tr w:rsidR="005C199B" w:rsidRPr="00145B66" w14:paraId="0DCDCBBB" w14:textId="77777777" w:rsidTr="00094F6F">
        <w:trPr>
          <w:trHeight w:val="340"/>
          <w:jc w:val="center"/>
        </w:trPr>
        <w:tc>
          <w:tcPr>
            <w:tcW w:w="2830" w:type="dxa"/>
            <w:vMerge/>
            <w:shd w:val="clear" w:color="auto" w:fill="auto"/>
            <w:vAlign w:val="center"/>
          </w:tcPr>
          <w:p w14:paraId="05664DDF"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shd w:val="clear" w:color="auto" w:fill="auto"/>
            <w:vAlign w:val="center"/>
            <w:hideMark/>
          </w:tcPr>
          <w:p w14:paraId="40C6068E"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дыхательная</w:t>
            </w:r>
            <w:proofErr w:type="gramEnd"/>
            <w:r w:rsidRPr="00116B7F">
              <w:rPr>
                <w:rFonts w:ascii="Times New Roman" w:hAnsi="Times New Roman"/>
                <w:sz w:val="24"/>
                <w:szCs w:val="24"/>
                <w:lang w:eastAsia="en-US"/>
              </w:rPr>
              <w:t xml:space="preserve"> система</w:t>
            </w:r>
          </w:p>
        </w:tc>
        <w:tc>
          <w:tcPr>
            <w:tcW w:w="1564" w:type="dxa"/>
            <w:shd w:val="clear" w:color="auto" w:fill="auto"/>
            <w:vAlign w:val="center"/>
            <w:hideMark/>
          </w:tcPr>
          <w:p w14:paraId="07F64550"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25 (20)</w:t>
            </w:r>
          </w:p>
        </w:tc>
      </w:tr>
      <w:tr w:rsidR="005C199B" w:rsidRPr="00145B66" w14:paraId="19E0408C" w14:textId="77777777" w:rsidTr="00094F6F">
        <w:trPr>
          <w:trHeight w:val="340"/>
          <w:jc w:val="center"/>
        </w:trPr>
        <w:tc>
          <w:tcPr>
            <w:tcW w:w="2830" w:type="dxa"/>
            <w:vMerge/>
            <w:shd w:val="clear" w:color="auto" w:fill="auto"/>
            <w:vAlign w:val="center"/>
          </w:tcPr>
          <w:p w14:paraId="2B0D8B38"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shd w:val="clear" w:color="auto" w:fill="auto"/>
            <w:vAlign w:val="center"/>
            <w:hideMark/>
          </w:tcPr>
          <w:p w14:paraId="41A2A55B"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пищеварительная</w:t>
            </w:r>
            <w:proofErr w:type="gramEnd"/>
            <w:r w:rsidRPr="00116B7F">
              <w:rPr>
                <w:rFonts w:ascii="Times New Roman" w:hAnsi="Times New Roman"/>
                <w:sz w:val="24"/>
                <w:szCs w:val="24"/>
                <w:lang w:eastAsia="en-US"/>
              </w:rPr>
              <w:t xml:space="preserve"> система</w:t>
            </w:r>
          </w:p>
        </w:tc>
        <w:tc>
          <w:tcPr>
            <w:tcW w:w="1564" w:type="dxa"/>
            <w:shd w:val="clear" w:color="auto" w:fill="auto"/>
            <w:vAlign w:val="center"/>
            <w:hideMark/>
          </w:tcPr>
          <w:p w14:paraId="17AE6EE0"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19 (15,2)</w:t>
            </w:r>
          </w:p>
        </w:tc>
      </w:tr>
      <w:tr w:rsidR="005C199B" w:rsidRPr="00145B66" w14:paraId="281200B8" w14:textId="77777777" w:rsidTr="00094F6F">
        <w:trPr>
          <w:trHeight w:val="340"/>
          <w:jc w:val="center"/>
        </w:trPr>
        <w:tc>
          <w:tcPr>
            <w:tcW w:w="2830" w:type="dxa"/>
            <w:vMerge/>
            <w:shd w:val="clear" w:color="auto" w:fill="auto"/>
            <w:vAlign w:val="center"/>
          </w:tcPr>
          <w:p w14:paraId="4B19050A"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shd w:val="clear" w:color="auto" w:fill="auto"/>
            <w:vAlign w:val="center"/>
            <w:hideMark/>
          </w:tcPr>
          <w:p w14:paraId="19E323BB"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мочеполовая</w:t>
            </w:r>
            <w:proofErr w:type="gramEnd"/>
            <w:r w:rsidRPr="00116B7F">
              <w:rPr>
                <w:rFonts w:ascii="Times New Roman" w:hAnsi="Times New Roman"/>
                <w:sz w:val="24"/>
                <w:szCs w:val="24"/>
                <w:lang w:eastAsia="en-US"/>
              </w:rPr>
              <w:t xml:space="preserve"> система</w:t>
            </w:r>
          </w:p>
        </w:tc>
        <w:tc>
          <w:tcPr>
            <w:tcW w:w="1564" w:type="dxa"/>
            <w:shd w:val="clear" w:color="auto" w:fill="auto"/>
            <w:vAlign w:val="center"/>
            <w:hideMark/>
          </w:tcPr>
          <w:p w14:paraId="39DE8145"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12 (9,6)</w:t>
            </w:r>
          </w:p>
        </w:tc>
      </w:tr>
      <w:tr w:rsidR="005C199B" w:rsidRPr="00145B66" w14:paraId="7D15F028" w14:textId="77777777" w:rsidTr="00094F6F">
        <w:trPr>
          <w:trHeight w:val="340"/>
          <w:jc w:val="center"/>
        </w:trPr>
        <w:tc>
          <w:tcPr>
            <w:tcW w:w="2830" w:type="dxa"/>
            <w:vMerge/>
            <w:shd w:val="clear" w:color="auto" w:fill="auto"/>
            <w:vAlign w:val="center"/>
          </w:tcPr>
          <w:p w14:paraId="55B265B7" w14:textId="77777777" w:rsidR="005C199B" w:rsidRPr="00116B7F" w:rsidRDefault="005C199B" w:rsidP="00094F6F">
            <w:pPr>
              <w:widowControl w:val="0"/>
              <w:spacing w:after="0" w:line="240" w:lineRule="auto"/>
              <w:rPr>
                <w:rFonts w:ascii="Times New Roman" w:hAnsi="Times New Roman"/>
                <w:sz w:val="24"/>
                <w:szCs w:val="24"/>
                <w:lang w:eastAsia="en-US"/>
              </w:rPr>
            </w:pPr>
          </w:p>
        </w:tc>
        <w:tc>
          <w:tcPr>
            <w:tcW w:w="4962" w:type="dxa"/>
            <w:gridSpan w:val="2"/>
            <w:shd w:val="clear" w:color="auto" w:fill="auto"/>
            <w:vAlign w:val="center"/>
          </w:tcPr>
          <w:p w14:paraId="37F4F346" w14:textId="77777777" w:rsidR="005C199B" w:rsidRPr="00116B7F" w:rsidRDefault="005C199B" w:rsidP="00094F6F">
            <w:pPr>
              <w:widowControl w:val="0"/>
              <w:spacing w:after="0" w:line="240" w:lineRule="auto"/>
              <w:rPr>
                <w:rFonts w:ascii="Times New Roman" w:hAnsi="Times New Roman"/>
                <w:sz w:val="24"/>
                <w:szCs w:val="24"/>
                <w:lang w:eastAsia="en-US"/>
              </w:rPr>
            </w:pPr>
            <w:proofErr w:type="gramStart"/>
            <w:r w:rsidRPr="00116B7F">
              <w:rPr>
                <w:rFonts w:ascii="Times New Roman" w:hAnsi="Times New Roman"/>
                <w:sz w:val="24"/>
                <w:szCs w:val="24"/>
                <w:lang w:eastAsia="en-US"/>
              </w:rPr>
              <w:t>сахарный</w:t>
            </w:r>
            <w:proofErr w:type="gramEnd"/>
            <w:r w:rsidRPr="00116B7F">
              <w:rPr>
                <w:rFonts w:ascii="Times New Roman" w:hAnsi="Times New Roman"/>
                <w:sz w:val="24"/>
                <w:szCs w:val="24"/>
                <w:lang w:eastAsia="en-US"/>
              </w:rPr>
              <w:t xml:space="preserve"> диабет</w:t>
            </w:r>
          </w:p>
        </w:tc>
        <w:tc>
          <w:tcPr>
            <w:tcW w:w="1564" w:type="dxa"/>
            <w:shd w:val="clear" w:color="auto" w:fill="auto"/>
            <w:vAlign w:val="center"/>
          </w:tcPr>
          <w:p w14:paraId="4B259D72" w14:textId="77777777" w:rsidR="005C199B" w:rsidRPr="00116B7F" w:rsidRDefault="005C199B" w:rsidP="00094F6F">
            <w:pPr>
              <w:widowControl w:val="0"/>
              <w:spacing w:after="0" w:line="240" w:lineRule="auto"/>
              <w:jc w:val="center"/>
              <w:rPr>
                <w:rFonts w:ascii="Times New Roman" w:hAnsi="Times New Roman"/>
                <w:sz w:val="24"/>
                <w:szCs w:val="24"/>
                <w:lang w:eastAsia="en-US"/>
              </w:rPr>
            </w:pPr>
            <w:r w:rsidRPr="00116B7F">
              <w:rPr>
                <w:rFonts w:ascii="Times New Roman" w:hAnsi="Times New Roman"/>
                <w:sz w:val="24"/>
                <w:szCs w:val="24"/>
                <w:lang w:eastAsia="en-US"/>
              </w:rPr>
              <w:t>17 (13,6)</w:t>
            </w:r>
          </w:p>
        </w:tc>
      </w:tr>
    </w:tbl>
    <w:p w14:paraId="4DAB3540" w14:textId="77777777" w:rsidR="005C199B"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3C26C8DE" w14:textId="77777777" w:rsidR="005C199B" w:rsidRPr="00145B66"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36F4C6B7" w14:textId="77777777" w:rsidR="005C199B" w:rsidRPr="0081091E"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45B66">
        <w:rPr>
          <w:rFonts w:ascii="Times New Roman" w:hAnsi="Times New Roman"/>
          <w:sz w:val="28"/>
          <w:szCs w:val="28"/>
        </w:rPr>
        <w:t xml:space="preserve">В течение исследовательского периода проводилась консервативная коррекция реабилитационных мероприятий в зависимости от развития определенного осложнения. Конечными клиническими точками эффективности реабилитационных мероприятий было: уменьшение и/или устранение клинических симптомов выявленных функциональных нарушений после хирургического лечения рака ободочной кишки, повышение массы тела, </w:t>
      </w:r>
      <w:r w:rsidRPr="0081091E">
        <w:rPr>
          <w:rFonts w:ascii="Times New Roman" w:hAnsi="Times New Roman"/>
          <w:sz w:val="28"/>
          <w:szCs w:val="28"/>
        </w:rPr>
        <w:t>нормализация электролитного баланса, улучшение качества жизни, увеличение продолжительности жизни.</w:t>
      </w:r>
    </w:p>
    <w:p w14:paraId="67781AB1" w14:textId="77777777" w:rsidR="005C199B" w:rsidRPr="00480D87" w:rsidRDefault="005C199B" w:rsidP="005C199B">
      <w:pPr>
        <w:widowControl w:val="0"/>
        <w:tabs>
          <w:tab w:val="left" w:pos="6180"/>
        </w:tabs>
        <w:spacing w:after="0" w:line="240" w:lineRule="auto"/>
        <w:ind w:firstLine="567"/>
        <w:jc w:val="both"/>
        <w:rPr>
          <w:rFonts w:ascii="Times New Roman" w:hAnsi="Times New Roman"/>
          <w:sz w:val="28"/>
          <w:szCs w:val="28"/>
        </w:rPr>
      </w:pPr>
      <w:r w:rsidRPr="0081091E">
        <w:rPr>
          <w:rFonts w:ascii="Times New Roman" w:hAnsi="Times New Roman"/>
          <w:sz w:val="28"/>
          <w:szCs w:val="28"/>
        </w:rPr>
        <w:t>Научно-клиническое исследование проводилось согласно международным стандартам диагностики и лечения рака ободочной кишки, рекомендованные ESMO, EORTC, ESPEN и другими организациями.</w:t>
      </w:r>
    </w:p>
    <w:p w14:paraId="05A4EBB2" w14:textId="77777777" w:rsidR="005C199B" w:rsidRPr="0081091E" w:rsidRDefault="005C199B" w:rsidP="005C199B">
      <w:pPr>
        <w:widowControl w:val="0"/>
        <w:tabs>
          <w:tab w:val="left" w:pos="0"/>
        </w:tabs>
        <w:spacing w:after="0" w:line="240" w:lineRule="auto"/>
        <w:ind w:firstLine="567"/>
        <w:jc w:val="both"/>
        <w:rPr>
          <w:rFonts w:ascii="Times New Roman" w:hAnsi="Times New Roman"/>
          <w:b/>
          <w:sz w:val="28"/>
          <w:szCs w:val="28"/>
        </w:rPr>
      </w:pPr>
      <w:r w:rsidRPr="0081091E">
        <w:rPr>
          <w:rFonts w:ascii="Times New Roman" w:hAnsi="Times New Roman"/>
          <w:b/>
          <w:sz w:val="28"/>
          <w:szCs w:val="28"/>
        </w:rPr>
        <w:lastRenderedPageBreak/>
        <w:t>2.2</w:t>
      </w:r>
      <w:r>
        <w:rPr>
          <w:rFonts w:ascii="Times New Roman" w:hAnsi="Times New Roman"/>
          <w:bCs/>
          <w:sz w:val="28"/>
          <w:szCs w:val="28"/>
        </w:rPr>
        <w:t> </w:t>
      </w:r>
      <w:r w:rsidRPr="0081091E">
        <w:rPr>
          <w:rFonts w:ascii="Times New Roman" w:hAnsi="Times New Roman"/>
          <w:b/>
          <w:sz w:val="28"/>
          <w:szCs w:val="28"/>
        </w:rPr>
        <w:t>Методы исследования</w:t>
      </w:r>
    </w:p>
    <w:p w14:paraId="22F2B4A7" w14:textId="77777777" w:rsidR="005C199B" w:rsidRPr="0081091E" w:rsidRDefault="005C199B" w:rsidP="005C199B">
      <w:pPr>
        <w:widowControl w:val="0"/>
        <w:tabs>
          <w:tab w:val="left" w:pos="0"/>
        </w:tabs>
        <w:spacing w:after="0" w:line="240" w:lineRule="auto"/>
        <w:ind w:firstLine="567"/>
        <w:jc w:val="both"/>
        <w:rPr>
          <w:rFonts w:ascii="Times New Roman" w:hAnsi="Times New Roman"/>
          <w:bCs/>
          <w:sz w:val="28"/>
          <w:szCs w:val="28"/>
        </w:rPr>
      </w:pPr>
    </w:p>
    <w:p w14:paraId="54092BDB" w14:textId="77777777" w:rsidR="005C199B" w:rsidRPr="00783EDB" w:rsidRDefault="005C199B" w:rsidP="005C199B">
      <w:pPr>
        <w:widowControl w:val="0"/>
        <w:tabs>
          <w:tab w:val="left" w:pos="0"/>
        </w:tabs>
        <w:spacing w:after="0" w:line="240" w:lineRule="auto"/>
        <w:ind w:firstLine="567"/>
        <w:jc w:val="both"/>
        <w:rPr>
          <w:rFonts w:ascii="Times New Roman" w:hAnsi="Times New Roman"/>
          <w:sz w:val="28"/>
          <w:szCs w:val="28"/>
        </w:rPr>
      </w:pPr>
      <w:r w:rsidRPr="00783EDB">
        <w:rPr>
          <w:rFonts w:ascii="Times New Roman" w:hAnsi="Times New Roman"/>
          <w:sz w:val="28"/>
          <w:szCs w:val="28"/>
        </w:rPr>
        <w:t>2.2.1 Методы клинического исследования</w:t>
      </w:r>
    </w:p>
    <w:p w14:paraId="172F3AEB" w14:textId="77777777" w:rsidR="005C199B" w:rsidRPr="0081091E" w:rsidRDefault="005C199B" w:rsidP="005C199B">
      <w:pPr>
        <w:widowControl w:val="0"/>
        <w:tabs>
          <w:tab w:val="left" w:pos="0"/>
        </w:tabs>
        <w:spacing w:after="0" w:line="240" w:lineRule="auto"/>
        <w:ind w:firstLine="567"/>
        <w:jc w:val="both"/>
        <w:rPr>
          <w:rFonts w:ascii="Times New Roman" w:hAnsi="Times New Roman"/>
          <w:sz w:val="28"/>
          <w:szCs w:val="28"/>
        </w:rPr>
      </w:pPr>
      <w:r w:rsidRPr="0081091E">
        <w:rPr>
          <w:rFonts w:ascii="Times New Roman" w:hAnsi="Times New Roman"/>
          <w:sz w:val="28"/>
          <w:szCs w:val="28"/>
        </w:rPr>
        <w:t xml:space="preserve">Обследование больных в течение 1 года в 1, 3, 6, 9 и 12 месяцы реабилитационного периода проводилось в следующей последовательности: </w:t>
      </w:r>
    </w:p>
    <w:p w14:paraId="09F40F6F" w14:textId="77777777" w:rsidR="005C199B" w:rsidRPr="0081091E"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81091E">
        <w:rPr>
          <w:rFonts w:ascii="Times New Roman" w:hAnsi="Times New Roman"/>
          <w:sz w:val="28"/>
          <w:szCs w:val="28"/>
        </w:rPr>
        <w:t>1</w:t>
      </w:r>
      <w:r>
        <w:rPr>
          <w:rFonts w:ascii="Times New Roman" w:hAnsi="Times New Roman"/>
          <w:bCs/>
          <w:sz w:val="28"/>
          <w:szCs w:val="28"/>
        </w:rPr>
        <w:t> </w:t>
      </w:r>
      <w:r w:rsidRPr="0081091E">
        <w:rPr>
          <w:rFonts w:ascii="Times New Roman" w:hAnsi="Times New Roman"/>
          <w:sz w:val="28"/>
          <w:szCs w:val="28"/>
        </w:rPr>
        <w:t>Сбор жалоб и анамнеза с оценкой симптомов как диарея, запор, абдоминальная боль, метеоризм, недержание кала, ночные дефекации, тенезмы, тошнота/рвота.</w:t>
      </w:r>
    </w:p>
    <w:p w14:paraId="7300C26E" w14:textId="77777777" w:rsidR="005C199B" w:rsidRPr="0081091E"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81091E">
        <w:rPr>
          <w:rFonts w:ascii="Times New Roman" w:hAnsi="Times New Roman"/>
          <w:sz w:val="28"/>
          <w:szCs w:val="28"/>
        </w:rPr>
        <w:t>2</w:t>
      </w:r>
      <w:r>
        <w:rPr>
          <w:rFonts w:ascii="Times New Roman" w:hAnsi="Times New Roman"/>
          <w:bCs/>
          <w:sz w:val="28"/>
          <w:szCs w:val="28"/>
        </w:rPr>
        <w:t> </w:t>
      </w:r>
      <w:r w:rsidRPr="0081091E">
        <w:rPr>
          <w:rFonts w:ascii="Times New Roman" w:hAnsi="Times New Roman"/>
          <w:sz w:val="28"/>
          <w:szCs w:val="28"/>
        </w:rPr>
        <w:t>Объективный осмотр:</w:t>
      </w:r>
    </w:p>
    <w:p w14:paraId="7F2FDD22" w14:textId="77777777" w:rsidR="005C199B" w:rsidRPr="0081091E"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proofErr w:type="gramStart"/>
      <w:r w:rsidRPr="0081091E">
        <w:rPr>
          <w:rFonts w:ascii="Times New Roman" w:hAnsi="Times New Roman"/>
          <w:sz w:val="28"/>
          <w:szCs w:val="28"/>
        </w:rPr>
        <w:t>а</w:t>
      </w:r>
      <w:proofErr w:type="gramEnd"/>
      <w:r w:rsidRPr="0081091E">
        <w:rPr>
          <w:rFonts w:ascii="Times New Roman" w:hAnsi="Times New Roman"/>
          <w:sz w:val="28"/>
          <w:szCs w:val="28"/>
        </w:rPr>
        <w:t>)</w:t>
      </w:r>
      <w:r>
        <w:rPr>
          <w:rFonts w:ascii="Times New Roman" w:hAnsi="Times New Roman"/>
          <w:bCs/>
          <w:sz w:val="28"/>
          <w:szCs w:val="28"/>
        </w:rPr>
        <w:t> </w:t>
      </w:r>
      <w:r w:rsidRPr="0081091E">
        <w:rPr>
          <w:rFonts w:ascii="Times New Roman" w:hAnsi="Times New Roman"/>
          <w:sz w:val="28"/>
          <w:szCs w:val="28"/>
        </w:rPr>
        <w:t xml:space="preserve">оценка общего состояния; </w:t>
      </w:r>
    </w:p>
    <w:p w14:paraId="6A436632" w14:textId="77777777" w:rsidR="005C199B" w:rsidRPr="0081091E"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proofErr w:type="gramStart"/>
      <w:r w:rsidRPr="0081091E">
        <w:rPr>
          <w:rFonts w:ascii="Times New Roman" w:hAnsi="Times New Roman"/>
          <w:sz w:val="28"/>
          <w:szCs w:val="28"/>
        </w:rPr>
        <w:t>б</w:t>
      </w:r>
      <w:proofErr w:type="gramEnd"/>
      <w:r w:rsidRPr="0081091E">
        <w:rPr>
          <w:rFonts w:ascii="Times New Roman" w:hAnsi="Times New Roman"/>
          <w:sz w:val="28"/>
          <w:szCs w:val="28"/>
        </w:rPr>
        <w:t>)</w:t>
      </w:r>
      <w:r>
        <w:rPr>
          <w:rFonts w:ascii="Times New Roman" w:hAnsi="Times New Roman"/>
          <w:bCs/>
          <w:sz w:val="28"/>
          <w:szCs w:val="28"/>
        </w:rPr>
        <w:t> </w:t>
      </w:r>
      <w:r w:rsidRPr="0081091E">
        <w:rPr>
          <w:rFonts w:ascii="Times New Roman" w:hAnsi="Times New Roman"/>
          <w:sz w:val="28"/>
          <w:szCs w:val="28"/>
        </w:rPr>
        <w:t xml:space="preserve">оценка стула по шкале </w:t>
      </w:r>
      <w:r w:rsidRPr="0081091E">
        <w:rPr>
          <w:rFonts w:ascii="Times New Roman" w:hAnsi="Times New Roman"/>
          <w:sz w:val="28"/>
          <w:szCs w:val="28"/>
          <w:lang w:val="en-US"/>
        </w:rPr>
        <w:t>BSF</w:t>
      </w:r>
      <w:r w:rsidRPr="0081091E">
        <w:rPr>
          <w:rFonts w:ascii="Times New Roman" w:hAnsi="Times New Roman"/>
          <w:sz w:val="28"/>
          <w:szCs w:val="28"/>
        </w:rPr>
        <w:t>;</w:t>
      </w:r>
    </w:p>
    <w:p w14:paraId="36B48E51" w14:textId="77777777" w:rsidR="005C199B" w:rsidRPr="0081091E"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lang w:val="kk-KZ"/>
        </w:rPr>
      </w:pPr>
      <w:proofErr w:type="gramStart"/>
      <w:r w:rsidRPr="0081091E">
        <w:rPr>
          <w:rFonts w:ascii="Times New Roman" w:hAnsi="Times New Roman"/>
          <w:sz w:val="28"/>
          <w:szCs w:val="28"/>
        </w:rPr>
        <w:t>в</w:t>
      </w:r>
      <w:proofErr w:type="gramEnd"/>
      <w:r w:rsidRPr="0081091E">
        <w:rPr>
          <w:rFonts w:ascii="Times New Roman" w:hAnsi="Times New Roman"/>
          <w:sz w:val="28"/>
          <w:szCs w:val="28"/>
        </w:rPr>
        <w:t>)</w:t>
      </w:r>
      <w:r>
        <w:rPr>
          <w:rFonts w:ascii="Times New Roman" w:hAnsi="Times New Roman"/>
          <w:bCs/>
          <w:sz w:val="28"/>
          <w:szCs w:val="28"/>
        </w:rPr>
        <w:t> </w:t>
      </w:r>
      <w:r>
        <w:rPr>
          <w:rFonts w:ascii="Times New Roman" w:hAnsi="Times New Roman"/>
          <w:sz w:val="28"/>
          <w:szCs w:val="28"/>
          <w:lang w:val="kk-KZ"/>
        </w:rPr>
        <w:t>о</w:t>
      </w:r>
      <w:r w:rsidRPr="0081091E">
        <w:rPr>
          <w:rFonts w:ascii="Times New Roman" w:hAnsi="Times New Roman"/>
          <w:sz w:val="28"/>
          <w:szCs w:val="28"/>
          <w:lang w:val="kk-KZ"/>
        </w:rPr>
        <w:t>пределение частоты стула в сутки/недели.</w:t>
      </w:r>
    </w:p>
    <w:p w14:paraId="47C48075" w14:textId="77777777" w:rsidR="005C199B" w:rsidRPr="0081091E"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81091E">
        <w:rPr>
          <w:rFonts w:ascii="Times New Roman" w:hAnsi="Times New Roman"/>
          <w:sz w:val="28"/>
          <w:szCs w:val="28"/>
        </w:rPr>
        <w:t>3</w:t>
      </w:r>
      <w:r>
        <w:rPr>
          <w:rFonts w:ascii="Times New Roman" w:hAnsi="Times New Roman"/>
          <w:bCs/>
          <w:sz w:val="28"/>
          <w:szCs w:val="28"/>
        </w:rPr>
        <w:t> </w:t>
      </w:r>
      <w:r w:rsidRPr="0081091E">
        <w:rPr>
          <w:rFonts w:ascii="Times New Roman" w:hAnsi="Times New Roman"/>
          <w:sz w:val="28"/>
          <w:szCs w:val="28"/>
        </w:rPr>
        <w:t xml:space="preserve">Микробиологический </w:t>
      </w:r>
      <w:r w:rsidRPr="0081091E">
        <w:rPr>
          <w:rFonts w:ascii="Times New Roman" w:hAnsi="Times New Roman"/>
          <w:sz w:val="28"/>
          <w:szCs w:val="28"/>
          <w:lang w:val="kk-KZ"/>
        </w:rPr>
        <w:t xml:space="preserve">и микросокпический </w:t>
      </w:r>
      <w:r w:rsidRPr="0081091E">
        <w:rPr>
          <w:rFonts w:ascii="Times New Roman" w:hAnsi="Times New Roman"/>
          <w:sz w:val="28"/>
          <w:szCs w:val="28"/>
        </w:rPr>
        <w:t xml:space="preserve">методы диагностики: исследование кала на дисбактериоз, </w:t>
      </w:r>
      <w:proofErr w:type="spellStart"/>
      <w:r w:rsidRPr="0081091E">
        <w:rPr>
          <w:rFonts w:ascii="Times New Roman" w:hAnsi="Times New Roman"/>
          <w:sz w:val="28"/>
          <w:szCs w:val="28"/>
        </w:rPr>
        <w:t>копрограмма</w:t>
      </w:r>
      <w:proofErr w:type="spellEnd"/>
      <w:r w:rsidRPr="0081091E">
        <w:rPr>
          <w:rFonts w:ascii="Times New Roman" w:hAnsi="Times New Roman"/>
          <w:sz w:val="28"/>
          <w:szCs w:val="28"/>
        </w:rPr>
        <w:t>.</w:t>
      </w:r>
    </w:p>
    <w:p w14:paraId="5880E9D6" w14:textId="77777777" w:rsidR="005C199B" w:rsidRPr="0081091E"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81091E">
        <w:rPr>
          <w:rFonts w:ascii="Times New Roman" w:hAnsi="Times New Roman"/>
          <w:sz w:val="28"/>
          <w:szCs w:val="28"/>
        </w:rPr>
        <w:t>4</w:t>
      </w:r>
      <w:r>
        <w:rPr>
          <w:rFonts w:ascii="Times New Roman" w:hAnsi="Times New Roman"/>
          <w:bCs/>
          <w:sz w:val="28"/>
          <w:szCs w:val="28"/>
        </w:rPr>
        <w:t> </w:t>
      </w:r>
      <w:r w:rsidRPr="0081091E">
        <w:rPr>
          <w:rFonts w:ascii="Times New Roman" w:hAnsi="Times New Roman"/>
          <w:sz w:val="28"/>
          <w:szCs w:val="28"/>
        </w:rPr>
        <w:t xml:space="preserve">Инструментальный метод диагностики: ФКС, </w:t>
      </w:r>
      <w:proofErr w:type="spellStart"/>
      <w:r w:rsidRPr="0081091E">
        <w:rPr>
          <w:rFonts w:ascii="Times New Roman" w:hAnsi="Times New Roman"/>
          <w:sz w:val="28"/>
          <w:szCs w:val="28"/>
        </w:rPr>
        <w:t>ирригография</w:t>
      </w:r>
      <w:proofErr w:type="spellEnd"/>
      <w:r w:rsidRPr="0081091E">
        <w:rPr>
          <w:rFonts w:ascii="Times New Roman" w:hAnsi="Times New Roman"/>
          <w:sz w:val="28"/>
          <w:szCs w:val="28"/>
        </w:rPr>
        <w:t>.</w:t>
      </w:r>
    </w:p>
    <w:p w14:paraId="64978EB5" w14:textId="77777777" w:rsidR="005C199B" w:rsidRPr="0081091E"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81091E">
        <w:rPr>
          <w:rFonts w:ascii="Times New Roman" w:hAnsi="Times New Roman"/>
          <w:sz w:val="28"/>
          <w:szCs w:val="28"/>
        </w:rPr>
        <w:t>5</w:t>
      </w:r>
      <w:r>
        <w:rPr>
          <w:rFonts w:ascii="Times New Roman" w:hAnsi="Times New Roman"/>
          <w:bCs/>
          <w:sz w:val="28"/>
          <w:szCs w:val="28"/>
        </w:rPr>
        <w:t> </w:t>
      </w:r>
      <w:r w:rsidRPr="0081091E">
        <w:rPr>
          <w:rFonts w:ascii="Times New Roman" w:hAnsi="Times New Roman"/>
          <w:sz w:val="28"/>
          <w:szCs w:val="28"/>
        </w:rPr>
        <w:t>Лабораторные методы диагностики: общие клинические анализы и биохимический анализ крови по стандартным методикам.</w:t>
      </w:r>
    </w:p>
    <w:p w14:paraId="254A9909" w14:textId="77777777" w:rsidR="005C199B" w:rsidRPr="0081091E"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81091E">
        <w:rPr>
          <w:rFonts w:ascii="Times New Roman" w:hAnsi="Times New Roman"/>
          <w:sz w:val="28"/>
          <w:szCs w:val="28"/>
        </w:rPr>
        <w:t>6</w:t>
      </w:r>
      <w:r>
        <w:rPr>
          <w:rFonts w:ascii="Times New Roman" w:hAnsi="Times New Roman"/>
          <w:bCs/>
          <w:sz w:val="28"/>
          <w:szCs w:val="28"/>
        </w:rPr>
        <w:t> </w:t>
      </w:r>
      <w:r w:rsidRPr="0081091E">
        <w:rPr>
          <w:rFonts w:ascii="Times New Roman" w:hAnsi="Times New Roman"/>
          <w:sz w:val="28"/>
          <w:szCs w:val="28"/>
        </w:rPr>
        <w:t xml:space="preserve">Оценка качества жизни по анкете EORTC </w:t>
      </w:r>
      <w:r w:rsidRPr="0081091E">
        <w:rPr>
          <w:rFonts w:ascii="Times New Roman" w:hAnsi="Times New Roman"/>
          <w:sz w:val="28"/>
          <w:szCs w:val="28"/>
          <w:lang w:val="en-US"/>
        </w:rPr>
        <w:t>QLQ</w:t>
      </w:r>
      <w:r w:rsidRPr="0081091E">
        <w:rPr>
          <w:rFonts w:ascii="Times New Roman" w:hAnsi="Times New Roman"/>
          <w:sz w:val="28"/>
          <w:szCs w:val="28"/>
        </w:rPr>
        <w:t xml:space="preserve"> </w:t>
      </w:r>
      <w:r w:rsidRPr="0081091E">
        <w:rPr>
          <w:rFonts w:ascii="Times New Roman" w:hAnsi="Times New Roman"/>
          <w:sz w:val="28"/>
          <w:szCs w:val="28"/>
          <w:lang w:val="en-US"/>
        </w:rPr>
        <w:t>C</w:t>
      </w:r>
      <w:r w:rsidRPr="0081091E">
        <w:rPr>
          <w:rFonts w:ascii="Times New Roman" w:hAnsi="Times New Roman"/>
          <w:sz w:val="28"/>
          <w:szCs w:val="28"/>
        </w:rPr>
        <w:t>30.</w:t>
      </w:r>
    </w:p>
    <w:p w14:paraId="39DDBB99" w14:textId="77777777" w:rsidR="005C199B" w:rsidRPr="0081091E"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81091E">
        <w:rPr>
          <w:rFonts w:ascii="Times New Roman" w:hAnsi="Times New Roman"/>
          <w:sz w:val="28"/>
          <w:szCs w:val="28"/>
        </w:rPr>
        <w:t>7</w:t>
      </w:r>
      <w:r>
        <w:rPr>
          <w:rFonts w:ascii="Times New Roman" w:hAnsi="Times New Roman"/>
          <w:bCs/>
          <w:sz w:val="28"/>
          <w:szCs w:val="28"/>
        </w:rPr>
        <w:t> </w:t>
      </w:r>
      <w:r w:rsidRPr="0081091E">
        <w:rPr>
          <w:rFonts w:ascii="Times New Roman" w:hAnsi="Times New Roman"/>
          <w:sz w:val="28"/>
          <w:szCs w:val="28"/>
        </w:rPr>
        <w:t>Сравнительная оценка краткосрочной и безрецидивной выживаемости больных.</w:t>
      </w:r>
    </w:p>
    <w:p w14:paraId="0A72A172" w14:textId="77777777" w:rsidR="005C199B" w:rsidRPr="0081091E" w:rsidRDefault="005C199B" w:rsidP="005C199B">
      <w:pPr>
        <w:widowControl w:val="0"/>
        <w:tabs>
          <w:tab w:val="left" w:pos="567"/>
        </w:tabs>
        <w:spacing w:after="0" w:line="240" w:lineRule="auto"/>
        <w:ind w:firstLine="567"/>
        <w:jc w:val="both"/>
        <w:rPr>
          <w:rFonts w:ascii="Times New Roman" w:hAnsi="Times New Roman"/>
          <w:b/>
          <w:sz w:val="28"/>
          <w:szCs w:val="28"/>
        </w:rPr>
      </w:pPr>
    </w:p>
    <w:p w14:paraId="6AA8431D" w14:textId="77777777" w:rsidR="005C199B" w:rsidRPr="00783EDB" w:rsidRDefault="005C199B" w:rsidP="005C199B">
      <w:pPr>
        <w:widowControl w:val="0"/>
        <w:tabs>
          <w:tab w:val="left" w:pos="567"/>
        </w:tabs>
        <w:spacing w:after="0" w:line="240" w:lineRule="auto"/>
        <w:ind w:firstLine="567"/>
        <w:jc w:val="both"/>
        <w:rPr>
          <w:rFonts w:ascii="Times New Roman" w:hAnsi="Times New Roman"/>
          <w:sz w:val="28"/>
          <w:szCs w:val="28"/>
        </w:rPr>
      </w:pPr>
      <w:r w:rsidRPr="00783EDB">
        <w:rPr>
          <w:rFonts w:ascii="Times New Roman" w:hAnsi="Times New Roman"/>
          <w:sz w:val="28"/>
          <w:szCs w:val="28"/>
        </w:rPr>
        <w:t>2.2.2 Общая характеристика основных методов обследования и реабилитации</w:t>
      </w:r>
    </w:p>
    <w:p w14:paraId="787B72EF" w14:textId="77777777" w:rsidR="005C199B" w:rsidRPr="0081091E"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i/>
          <w:sz w:val="28"/>
          <w:szCs w:val="28"/>
        </w:rPr>
      </w:pPr>
      <w:r w:rsidRPr="0081091E">
        <w:rPr>
          <w:rFonts w:ascii="Times New Roman" w:hAnsi="Times New Roman"/>
          <w:i/>
          <w:sz w:val="28"/>
          <w:szCs w:val="28"/>
        </w:rPr>
        <w:t xml:space="preserve">Оценка стула по шкале </w:t>
      </w:r>
      <w:r w:rsidRPr="0081091E">
        <w:rPr>
          <w:rFonts w:ascii="Times New Roman" w:hAnsi="Times New Roman"/>
          <w:i/>
          <w:sz w:val="28"/>
          <w:szCs w:val="28"/>
          <w:lang w:val="en-US"/>
        </w:rPr>
        <w:t>BSF</w:t>
      </w:r>
    </w:p>
    <w:p w14:paraId="32F5218D" w14:textId="77777777" w:rsidR="005C199B" w:rsidRPr="0081091E" w:rsidRDefault="005C199B" w:rsidP="005C199B">
      <w:pPr>
        <w:widowControl w:val="0"/>
        <w:spacing w:after="0" w:line="240" w:lineRule="auto"/>
        <w:ind w:firstLine="567"/>
        <w:jc w:val="both"/>
        <w:rPr>
          <w:rFonts w:ascii="Times New Roman" w:hAnsi="Times New Roman"/>
          <w:sz w:val="28"/>
          <w:szCs w:val="28"/>
          <w:shd w:val="clear" w:color="auto" w:fill="FFFFFF"/>
        </w:rPr>
      </w:pPr>
      <w:r w:rsidRPr="0081091E">
        <w:rPr>
          <w:rFonts w:ascii="Times New Roman" w:hAnsi="Times New Roman"/>
          <w:sz w:val="28"/>
          <w:szCs w:val="28"/>
        </w:rPr>
        <w:t xml:space="preserve">Для оценки стула применялась шкала </w:t>
      </w:r>
      <w:r w:rsidRPr="0081091E">
        <w:rPr>
          <w:rFonts w:ascii="Times New Roman" w:hAnsi="Times New Roman"/>
          <w:sz w:val="28"/>
          <w:szCs w:val="28"/>
          <w:lang w:val="en-US"/>
        </w:rPr>
        <w:t>BSF</w:t>
      </w:r>
      <w:r w:rsidRPr="0081091E">
        <w:rPr>
          <w:rFonts w:ascii="Times New Roman" w:hAnsi="Times New Roman"/>
          <w:sz w:val="28"/>
          <w:szCs w:val="28"/>
        </w:rPr>
        <w:t xml:space="preserve">: </w:t>
      </w:r>
      <w:r w:rsidRPr="0081091E">
        <w:rPr>
          <w:rFonts w:ascii="Times New Roman" w:hAnsi="Times New Roman"/>
          <w:sz w:val="28"/>
          <w:szCs w:val="28"/>
          <w:shd w:val="clear" w:color="auto" w:fill="FFFFFF"/>
        </w:rPr>
        <w:t xml:space="preserve">1-2 тип соответствует трудно продвигающемуся калу в форме орехов или комковатой колбаски, 3-5 тип соответствует калу в форме колбаски с ребристой и/или гладкой поверхностью и/или мягким шарикам, 6-7 тип характеризует кашицеобразный или водянистый стул (рисунок 3) </w:t>
      </w:r>
      <w:r w:rsidRPr="0081091E">
        <w:rPr>
          <w:rFonts w:ascii="Times New Roman" w:hAnsi="Times New Roman"/>
          <w:sz w:val="28"/>
          <w:szCs w:val="28"/>
          <w:shd w:val="clear" w:color="auto" w:fill="FFFFFF"/>
        </w:rPr>
        <w:fldChar w:fldCharType="begin"/>
      </w:r>
      <w:r w:rsidRPr="0081091E">
        <w:rPr>
          <w:rFonts w:ascii="Times New Roman" w:hAnsi="Times New Roman"/>
          <w:sz w:val="28"/>
          <w:szCs w:val="28"/>
          <w:shd w:val="clear" w:color="auto" w:fill="FFFFFF"/>
        </w:rPr>
        <w:instrText xml:space="preserve"> ADDIN ZOTERO_ITEM CSL_CITATION {"citationID":"a2j8uhcfpkn","properties":{"formattedCitation":"[214]","plainCitation":"[214]","noteIndex":0},"citationItems":[{"id":140,"uris":["http://zotero.org/users/7388323/items/8BCL9V7T"],"uri":["http://zotero.org/users/7388323/items/8BCL9V7T"],"itemData":{"id":140,"type":"article-journal","container-title":"Scandinavian Journal of Gastroenterology","DOI":"10.3109/00365529709011203","ISSN":"0036-5521, 1502-7708","issue":"9","journalAbbreviation":"Scandinavian Journal of Gastroenterology","language":"en","page":"920-924","source":"DOI.org (Crossref)","title":"Stool Form Scale as a Useful Guide to Intestinal Transit Time","URL":"http://www.tandfonline.com/doi/full/10.3109/00365529709011203","volume":"32","author":[{"family":"Lewis","given":"S. J."},{"family":"Heaton","given":"K. W."}],"accessed":{"date-parts":[["2020",7,18]]},"issued":{"date-parts":[["1997",1]]}}}],"schema":"https://github.com/citation-style-language/schema/raw/master/csl-citation.json"} </w:instrText>
      </w:r>
      <w:r w:rsidRPr="0081091E">
        <w:rPr>
          <w:rFonts w:ascii="Times New Roman" w:hAnsi="Times New Roman"/>
          <w:sz w:val="28"/>
          <w:szCs w:val="28"/>
          <w:shd w:val="clear" w:color="auto" w:fill="FFFFFF"/>
        </w:rPr>
        <w:fldChar w:fldCharType="separate"/>
      </w:r>
      <w:r w:rsidRPr="0081091E">
        <w:rPr>
          <w:rFonts w:ascii="Times New Roman" w:hAnsi="Times New Roman"/>
          <w:sz w:val="28"/>
          <w:szCs w:val="28"/>
        </w:rPr>
        <w:t>[235]</w:t>
      </w:r>
      <w:r w:rsidRPr="0081091E">
        <w:rPr>
          <w:rFonts w:ascii="Times New Roman" w:hAnsi="Times New Roman"/>
          <w:sz w:val="28"/>
          <w:szCs w:val="28"/>
          <w:shd w:val="clear" w:color="auto" w:fill="FFFFFF"/>
        </w:rPr>
        <w:fldChar w:fldCharType="end"/>
      </w:r>
      <w:r w:rsidRPr="0081091E">
        <w:rPr>
          <w:rFonts w:ascii="Times New Roman" w:hAnsi="Times New Roman"/>
          <w:sz w:val="28"/>
          <w:szCs w:val="28"/>
          <w:shd w:val="clear" w:color="auto" w:fill="FFFFFF"/>
        </w:rPr>
        <w:t>.</w:t>
      </w:r>
    </w:p>
    <w:p w14:paraId="0114F944" w14:textId="77777777" w:rsidR="005C199B" w:rsidRPr="0081091E"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i/>
          <w:color w:val="000000"/>
          <w:sz w:val="28"/>
          <w:szCs w:val="28"/>
          <w:shd w:val="clear" w:color="auto" w:fill="FFFFFF"/>
        </w:rPr>
      </w:pPr>
      <w:r w:rsidRPr="0081091E">
        <w:rPr>
          <w:rFonts w:ascii="Times New Roman" w:hAnsi="Times New Roman"/>
          <w:i/>
          <w:sz w:val="28"/>
          <w:szCs w:val="28"/>
          <w:lang w:val="kk-KZ"/>
        </w:rPr>
        <w:t>Определение частоты стула в сутки/недели</w:t>
      </w:r>
    </w:p>
    <w:p w14:paraId="1CAB4D6B" w14:textId="77777777" w:rsidR="005C199B" w:rsidRPr="0081091E" w:rsidRDefault="005C199B" w:rsidP="005C199B">
      <w:pPr>
        <w:widowControl w:val="0"/>
        <w:spacing w:after="0" w:line="240" w:lineRule="auto"/>
        <w:ind w:firstLine="567"/>
        <w:jc w:val="both"/>
        <w:rPr>
          <w:rFonts w:ascii="Times New Roman" w:hAnsi="Times New Roman"/>
          <w:sz w:val="28"/>
          <w:szCs w:val="28"/>
          <w:shd w:val="clear" w:color="auto" w:fill="FFFFFF"/>
        </w:rPr>
      </w:pPr>
      <w:r w:rsidRPr="0081091E">
        <w:rPr>
          <w:rFonts w:ascii="Times New Roman" w:hAnsi="Times New Roman"/>
          <w:sz w:val="28"/>
          <w:szCs w:val="28"/>
          <w:lang w:val="kk-KZ"/>
        </w:rPr>
        <w:t xml:space="preserve">Определение частоты стула в сутки/недели: </w:t>
      </w:r>
      <w:r w:rsidRPr="0081091E">
        <w:rPr>
          <w:rFonts w:ascii="Times New Roman" w:hAnsi="Times New Roman"/>
          <w:sz w:val="28"/>
          <w:szCs w:val="28"/>
          <w:shd w:val="clear" w:color="auto" w:fill="FFFFFF"/>
        </w:rPr>
        <w:t>более 3 раз в сутки, 2-3 раза в сутки и менее 3 раз в неделю. Диарея продолжительностью более 3 недель расценивалась, как хроническая.</w:t>
      </w:r>
    </w:p>
    <w:p w14:paraId="72C5BFAF" w14:textId="77777777" w:rsidR="005C199B" w:rsidRPr="0081091E"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i/>
          <w:color w:val="000000"/>
          <w:sz w:val="28"/>
          <w:szCs w:val="28"/>
          <w:shd w:val="clear" w:color="auto" w:fill="FFFFFF"/>
        </w:rPr>
      </w:pPr>
      <w:r w:rsidRPr="0081091E">
        <w:rPr>
          <w:rFonts w:ascii="Times New Roman" w:hAnsi="Times New Roman"/>
          <w:i/>
          <w:sz w:val="28"/>
          <w:szCs w:val="28"/>
        </w:rPr>
        <w:t>Микробиологический метод диагностики</w:t>
      </w:r>
    </w:p>
    <w:p w14:paraId="2757A2A9" w14:textId="77777777" w:rsidR="005C199B" w:rsidRPr="0081091E" w:rsidRDefault="005C199B" w:rsidP="005C199B">
      <w:pPr>
        <w:widowControl w:val="0"/>
        <w:spacing w:after="0" w:line="240" w:lineRule="auto"/>
        <w:ind w:firstLine="567"/>
        <w:jc w:val="both"/>
        <w:rPr>
          <w:rFonts w:ascii="Times New Roman" w:hAnsi="Times New Roman"/>
          <w:sz w:val="28"/>
          <w:szCs w:val="28"/>
        </w:rPr>
      </w:pPr>
      <w:r w:rsidRPr="0081091E">
        <w:rPr>
          <w:rFonts w:ascii="Times New Roman" w:hAnsi="Times New Roman"/>
          <w:sz w:val="28"/>
          <w:szCs w:val="28"/>
        </w:rPr>
        <w:t>Бактериологическое исследование кала проводилось в соответствии с методическим указанием «Бактериологическая диагностика дисбактериоза кишечника», утвержденным Приказом Министерства здравоохранения РК №60 от 12.09.2003</w:t>
      </w:r>
      <w:r>
        <w:rPr>
          <w:rFonts w:ascii="Times New Roman" w:hAnsi="Times New Roman"/>
          <w:sz w:val="28"/>
          <w:szCs w:val="28"/>
        </w:rPr>
        <w:t xml:space="preserve"> г</w:t>
      </w:r>
      <w:r w:rsidRPr="0081091E">
        <w:rPr>
          <w:rFonts w:ascii="Times New Roman" w:hAnsi="Times New Roman"/>
          <w:sz w:val="28"/>
          <w:szCs w:val="28"/>
        </w:rPr>
        <w:t>.</w:t>
      </w:r>
      <w:r>
        <w:rPr>
          <w:rFonts w:ascii="Times New Roman" w:hAnsi="Times New Roman"/>
          <w:sz w:val="28"/>
          <w:szCs w:val="28"/>
        </w:rPr>
        <w:t xml:space="preserve"> </w:t>
      </w:r>
      <w:r w:rsidRPr="0081091E">
        <w:rPr>
          <w:rFonts w:ascii="Times New Roman" w:hAnsi="Times New Roman"/>
          <w:sz w:val="28"/>
          <w:szCs w:val="28"/>
        </w:rPr>
        <w:t>Материал – нативные фекалий без консерванта в стерильной пробирке, доставленные в лабораторию не позднее 2 часов с момента сбора. В лаборатории проводится разведение фекалий с 9 мл физиологического раствора (10</w:t>
      </w:r>
      <w:r>
        <w:rPr>
          <w:rFonts w:ascii="Times New Roman" w:hAnsi="Times New Roman"/>
          <w:sz w:val="28"/>
          <w:szCs w:val="28"/>
          <w:vertAlign w:val="superscript"/>
        </w:rPr>
        <w:t>−</w:t>
      </w:r>
      <w:r w:rsidRPr="0081091E">
        <w:rPr>
          <w:rFonts w:ascii="Times New Roman" w:hAnsi="Times New Roman"/>
          <w:sz w:val="28"/>
          <w:szCs w:val="28"/>
          <w:vertAlign w:val="superscript"/>
        </w:rPr>
        <w:t>1</w:t>
      </w:r>
      <w:r w:rsidRPr="0081091E">
        <w:rPr>
          <w:rFonts w:ascii="Times New Roman" w:hAnsi="Times New Roman"/>
          <w:sz w:val="28"/>
          <w:szCs w:val="28"/>
        </w:rPr>
        <w:t>). Из основного разведения готовятся дополнительные разведения в физиологическом растворе до 10</w:t>
      </w:r>
      <w:r>
        <w:rPr>
          <w:rFonts w:ascii="Times New Roman" w:hAnsi="Times New Roman"/>
          <w:sz w:val="28"/>
          <w:szCs w:val="28"/>
          <w:vertAlign w:val="superscript"/>
        </w:rPr>
        <w:t>−</w:t>
      </w:r>
      <w:r w:rsidRPr="0081091E">
        <w:rPr>
          <w:rFonts w:ascii="Times New Roman" w:hAnsi="Times New Roman"/>
          <w:sz w:val="28"/>
          <w:szCs w:val="28"/>
          <w:vertAlign w:val="superscript"/>
        </w:rPr>
        <w:t>9</w:t>
      </w:r>
      <w:r w:rsidRPr="0081091E">
        <w:rPr>
          <w:rFonts w:ascii="Times New Roman" w:hAnsi="Times New Roman"/>
          <w:sz w:val="28"/>
          <w:szCs w:val="28"/>
        </w:rPr>
        <w:t>. Из этого разведения делают посев на питательные среды для выделения различных форм микроорганизмов.</w:t>
      </w:r>
    </w:p>
    <w:p w14:paraId="6807F5D9" w14:textId="77777777" w:rsidR="005C199B"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bCs/>
          <w:sz w:val="28"/>
          <w:szCs w:val="28"/>
        </w:rPr>
      </w:pPr>
      <w:r>
        <w:rPr>
          <w:rFonts w:ascii="Times New Roman" w:hAnsi="Times New Roman"/>
          <w:bCs/>
          <w:noProof/>
          <w:sz w:val="28"/>
          <w:szCs w:val="28"/>
        </w:rPr>
        <w:lastRenderedPageBreak/>
        <w:drawing>
          <wp:inline distT="0" distB="0" distL="0" distR="0" wp14:anchorId="68E2C865" wp14:editId="5F2EBD08">
            <wp:extent cx="5715000" cy="4324350"/>
            <wp:effectExtent l="0" t="0" r="0" b="0"/>
            <wp:docPr id="4" name="Рисунок 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стол&#10;&#10;Автоматически созданное описание"/>
                    <pic:cNvPicPr/>
                  </pic:nvPicPr>
                  <pic:blipFill>
                    <a:blip r:embed="rId25">
                      <a:extLst>
                        <a:ext uri="{28A0092B-C50C-407E-A947-70E740481C1C}">
                          <a14:useLocalDpi xmlns:a14="http://schemas.microsoft.com/office/drawing/2010/main" val="0"/>
                        </a:ext>
                      </a:extLst>
                    </a:blip>
                    <a:stretch>
                      <a:fillRect/>
                    </a:stretch>
                  </pic:blipFill>
                  <pic:spPr>
                    <a:xfrm>
                      <a:off x="0" y="0"/>
                      <a:ext cx="5715000" cy="4324350"/>
                    </a:xfrm>
                    <a:prstGeom prst="rect">
                      <a:avLst/>
                    </a:prstGeom>
                  </pic:spPr>
                </pic:pic>
              </a:graphicData>
            </a:graphic>
          </wp:inline>
        </w:drawing>
      </w:r>
    </w:p>
    <w:p w14:paraId="146F787A"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bCs/>
          <w:sz w:val="28"/>
          <w:szCs w:val="28"/>
        </w:rPr>
      </w:pPr>
    </w:p>
    <w:p w14:paraId="136D905A" w14:textId="77777777" w:rsidR="005C199B" w:rsidRPr="0081091E"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81091E">
        <w:rPr>
          <w:rFonts w:ascii="Times New Roman" w:hAnsi="Times New Roman"/>
          <w:sz w:val="28"/>
          <w:szCs w:val="28"/>
        </w:rPr>
        <w:t xml:space="preserve">Рисунок </w:t>
      </w:r>
      <w:r w:rsidRPr="00E964C4">
        <w:rPr>
          <w:rFonts w:ascii="Times New Roman" w:hAnsi="Times New Roman"/>
          <w:sz w:val="28"/>
          <w:szCs w:val="28"/>
        </w:rPr>
        <w:t>16</w:t>
      </w:r>
      <w:r w:rsidRPr="0081091E">
        <w:rPr>
          <w:rFonts w:ascii="Times New Roman" w:hAnsi="Times New Roman"/>
          <w:sz w:val="28"/>
          <w:szCs w:val="28"/>
        </w:rPr>
        <w:t xml:space="preserve"> – Оценка консистенции стула по шкале </w:t>
      </w:r>
      <w:r w:rsidRPr="0081091E">
        <w:rPr>
          <w:rFonts w:ascii="Times New Roman" w:hAnsi="Times New Roman"/>
          <w:sz w:val="28"/>
          <w:szCs w:val="28"/>
          <w:lang w:val="en-US"/>
        </w:rPr>
        <w:t>BSF</w:t>
      </w:r>
      <w:r w:rsidRPr="0081091E">
        <w:rPr>
          <w:rFonts w:ascii="Times New Roman" w:hAnsi="Times New Roman"/>
          <w:sz w:val="28"/>
          <w:szCs w:val="28"/>
        </w:rPr>
        <w:t xml:space="preserve"> </w:t>
      </w:r>
    </w:p>
    <w:p w14:paraId="6D4790BA" w14:textId="77777777" w:rsidR="005C199B"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i/>
          <w:sz w:val="28"/>
          <w:szCs w:val="28"/>
          <w:lang w:val="kk-KZ"/>
        </w:rPr>
      </w:pPr>
    </w:p>
    <w:p w14:paraId="6D882D13" w14:textId="77777777" w:rsidR="005C199B" w:rsidRPr="0081091E"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i/>
          <w:sz w:val="28"/>
          <w:szCs w:val="28"/>
          <w:lang w:val="kk-KZ"/>
        </w:rPr>
      </w:pPr>
    </w:p>
    <w:p w14:paraId="1C361556" w14:textId="77777777" w:rsidR="005C199B" w:rsidRPr="00116B7F" w:rsidRDefault="005C199B" w:rsidP="005C199B">
      <w:pPr>
        <w:widowControl w:val="0"/>
        <w:spacing w:after="0" w:line="240" w:lineRule="auto"/>
        <w:ind w:firstLine="567"/>
        <w:jc w:val="both"/>
        <w:rPr>
          <w:rFonts w:ascii="Times New Roman" w:hAnsi="Times New Roman"/>
          <w:sz w:val="28"/>
          <w:szCs w:val="28"/>
          <w:lang w:eastAsia="en-US"/>
        </w:rPr>
      </w:pPr>
      <w:r w:rsidRPr="0081091E">
        <w:rPr>
          <w:rFonts w:ascii="Times New Roman" w:hAnsi="Times New Roman"/>
          <w:sz w:val="28"/>
          <w:szCs w:val="28"/>
          <w:lang w:eastAsia="en-US"/>
        </w:rPr>
        <w:t xml:space="preserve">Для выделения патогенных бактерии семейства </w:t>
      </w:r>
      <w:proofErr w:type="spellStart"/>
      <w:r w:rsidRPr="0081091E">
        <w:rPr>
          <w:rFonts w:ascii="Times New Roman" w:hAnsi="Times New Roman"/>
          <w:sz w:val="28"/>
          <w:szCs w:val="28"/>
          <w:lang w:eastAsia="en-US"/>
        </w:rPr>
        <w:t>Enterobacteriaceae</w:t>
      </w:r>
      <w:proofErr w:type="spellEnd"/>
      <w:r w:rsidRPr="0081091E">
        <w:rPr>
          <w:rFonts w:ascii="Times New Roman" w:hAnsi="Times New Roman"/>
          <w:sz w:val="28"/>
          <w:szCs w:val="28"/>
          <w:lang w:eastAsia="en-US"/>
        </w:rPr>
        <w:t xml:space="preserve"> производится посев 0,1 мл разведения 10</w:t>
      </w:r>
      <w:r>
        <w:rPr>
          <w:rFonts w:ascii="Times New Roman" w:hAnsi="Times New Roman"/>
          <w:sz w:val="28"/>
          <w:szCs w:val="28"/>
          <w:vertAlign w:val="superscript"/>
          <w:lang w:eastAsia="en-US"/>
        </w:rPr>
        <w:t>−</w:t>
      </w:r>
      <w:r w:rsidRPr="0081091E">
        <w:rPr>
          <w:rFonts w:ascii="Times New Roman" w:hAnsi="Times New Roman"/>
          <w:sz w:val="28"/>
          <w:szCs w:val="28"/>
          <w:vertAlign w:val="superscript"/>
          <w:lang w:eastAsia="en-US"/>
        </w:rPr>
        <w:t xml:space="preserve">1 </w:t>
      </w:r>
      <w:r w:rsidRPr="0081091E">
        <w:rPr>
          <w:rFonts w:ascii="Times New Roman" w:hAnsi="Times New Roman"/>
          <w:sz w:val="28"/>
          <w:szCs w:val="28"/>
          <w:lang w:eastAsia="en-US"/>
        </w:rPr>
        <w:t xml:space="preserve">на среду </w:t>
      </w:r>
      <w:proofErr w:type="spellStart"/>
      <w:r w:rsidRPr="0081091E">
        <w:rPr>
          <w:rFonts w:ascii="Times New Roman" w:hAnsi="Times New Roman"/>
          <w:sz w:val="28"/>
          <w:szCs w:val="28"/>
          <w:lang w:eastAsia="en-US"/>
        </w:rPr>
        <w:t>Плоскирева</w:t>
      </w:r>
      <w:proofErr w:type="spellEnd"/>
      <w:r w:rsidRPr="0081091E">
        <w:rPr>
          <w:rFonts w:ascii="Times New Roman" w:hAnsi="Times New Roman"/>
          <w:sz w:val="28"/>
          <w:szCs w:val="28"/>
          <w:lang w:eastAsia="en-US"/>
        </w:rPr>
        <w:t>, Эндо с периодом инкубации до 24 часов при температуре 37°</w:t>
      </w:r>
      <w:r w:rsidRPr="0081091E">
        <w:rPr>
          <w:rFonts w:ascii="Times New Roman" w:hAnsi="Times New Roman"/>
          <w:sz w:val="28"/>
          <w:szCs w:val="28"/>
          <w:vertAlign w:val="superscript"/>
          <w:lang w:eastAsia="en-US"/>
        </w:rPr>
        <w:t xml:space="preserve"> </w:t>
      </w:r>
      <w:r w:rsidRPr="0081091E">
        <w:rPr>
          <w:rFonts w:ascii="Times New Roman" w:hAnsi="Times New Roman"/>
          <w:sz w:val="28"/>
          <w:szCs w:val="28"/>
          <w:lang w:eastAsia="en-US"/>
        </w:rPr>
        <w:t xml:space="preserve">и </w:t>
      </w:r>
      <w:r w:rsidRPr="0081091E">
        <w:rPr>
          <w:rFonts w:ascii="Times New Roman" w:hAnsi="Times New Roman"/>
          <w:color w:val="000000"/>
          <w:sz w:val="28"/>
          <w:szCs w:val="28"/>
        </w:rPr>
        <w:t xml:space="preserve">одновременно делают массивный посев из </w:t>
      </w:r>
      <w:proofErr w:type="spellStart"/>
      <w:r w:rsidRPr="0081091E">
        <w:rPr>
          <w:rFonts w:ascii="Times New Roman" w:hAnsi="Times New Roman"/>
          <w:color w:val="000000"/>
          <w:sz w:val="28"/>
          <w:szCs w:val="28"/>
        </w:rPr>
        <w:t>нативного</w:t>
      </w:r>
      <w:proofErr w:type="spellEnd"/>
      <w:r w:rsidRPr="0081091E">
        <w:rPr>
          <w:rFonts w:ascii="Times New Roman" w:hAnsi="Times New Roman"/>
          <w:color w:val="000000"/>
          <w:sz w:val="28"/>
          <w:szCs w:val="28"/>
        </w:rPr>
        <w:t xml:space="preserve"> кала на жидкие среды обогащения (селенитовую, магниевую)</w:t>
      </w:r>
      <w:r w:rsidRPr="0081091E">
        <w:rPr>
          <w:rFonts w:ascii="Times New Roman" w:hAnsi="Times New Roman"/>
          <w:sz w:val="28"/>
          <w:szCs w:val="28"/>
          <w:lang w:eastAsia="en-US"/>
        </w:rPr>
        <w:t xml:space="preserve"> </w:t>
      </w:r>
      <w:r w:rsidRPr="00116B7F">
        <w:rPr>
          <w:rFonts w:ascii="Times New Roman" w:hAnsi="Times New Roman"/>
          <w:sz w:val="28"/>
          <w:szCs w:val="28"/>
          <w:lang w:eastAsia="en-US"/>
        </w:rPr>
        <w:t>с периодом инкубации до 18 часов при температуре 37°.</w:t>
      </w:r>
    </w:p>
    <w:p w14:paraId="61DD3937" w14:textId="77777777" w:rsidR="005C199B" w:rsidRPr="0081091E" w:rsidRDefault="005C199B" w:rsidP="005C199B">
      <w:pPr>
        <w:widowControl w:val="0"/>
        <w:spacing w:after="0" w:line="240" w:lineRule="auto"/>
        <w:ind w:firstLine="567"/>
        <w:jc w:val="both"/>
        <w:rPr>
          <w:rFonts w:ascii="Times New Roman" w:hAnsi="Times New Roman"/>
          <w:color w:val="000000"/>
          <w:sz w:val="28"/>
          <w:szCs w:val="28"/>
        </w:rPr>
      </w:pPr>
      <w:r w:rsidRPr="0081091E">
        <w:rPr>
          <w:rFonts w:ascii="Times New Roman" w:hAnsi="Times New Roman"/>
          <w:sz w:val="28"/>
          <w:szCs w:val="28"/>
          <w:lang w:eastAsia="en-US"/>
        </w:rPr>
        <w:t xml:space="preserve">Для культивирования </w:t>
      </w:r>
      <w:r w:rsidRPr="0081091E">
        <w:rPr>
          <w:rFonts w:ascii="Times New Roman" w:hAnsi="Times New Roman"/>
          <w:bCs/>
          <w:sz w:val="28"/>
          <w:szCs w:val="28"/>
          <w:lang w:eastAsia="en-US"/>
        </w:rPr>
        <w:t>бактерии рода Bifidobacterium</w:t>
      </w:r>
      <w:r w:rsidRPr="0081091E">
        <w:rPr>
          <w:rFonts w:ascii="Times New Roman" w:hAnsi="Times New Roman"/>
          <w:sz w:val="28"/>
          <w:szCs w:val="28"/>
        </w:rPr>
        <w:t xml:space="preserve"> 0,1 мл разведения 10</w:t>
      </w:r>
      <w:r>
        <w:rPr>
          <w:rFonts w:ascii="Times New Roman" w:hAnsi="Times New Roman"/>
          <w:sz w:val="28"/>
          <w:szCs w:val="28"/>
          <w:vertAlign w:val="superscript"/>
        </w:rPr>
        <w:t>−</w:t>
      </w:r>
      <w:r w:rsidRPr="0081091E">
        <w:rPr>
          <w:rFonts w:ascii="Times New Roman" w:hAnsi="Times New Roman"/>
          <w:sz w:val="28"/>
          <w:szCs w:val="28"/>
          <w:vertAlign w:val="superscript"/>
        </w:rPr>
        <w:t>7</w:t>
      </w:r>
      <w:r w:rsidRPr="0081091E">
        <w:rPr>
          <w:rFonts w:ascii="Times New Roman" w:hAnsi="Times New Roman"/>
          <w:sz w:val="28"/>
          <w:szCs w:val="28"/>
        </w:rPr>
        <w:t>, 10</w:t>
      </w:r>
      <w:r>
        <w:rPr>
          <w:rFonts w:ascii="Times New Roman" w:hAnsi="Times New Roman"/>
          <w:sz w:val="28"/>
          <w:szCs w:val="28"/>
          <w:vertAlign w:val="superscript"/>
        </w:rPr>
        <w:t>−</w:t>
      </w:r>
      <w:r w:rsidRPr="0081091E">
        <w:rPr>
          <w:rFonts w:ascii="Times New Roman" w:hAnsi="Times New Roman"/>
          <w:sz w:val="28"/>
          <w:szCs w:val="28"/>
          <w:vertAlign w:val="superscript"/>
        </w:rPr>
        <w:t>8</w:t>
      </w:r>
      <w:r w:rsidRPr="0081091E">
        <w:rPr>
          <w:rFonts w:ascii="Times New Roman" w:hAnsi="Times New Roman"/>
          <w:sz w:val="28"/>
          <w:szCs w:val="28"/>
        </w:rPr>
        <w:t>, 10</w:t>
      </w:r>
      <w:r>
        <w:rPr>
          <w:rFonts w:ascii="Times New Roman" w:hAnsi="Times New Roman"/>
          <w:sz w:val="28"/>
          <w:szCs w:val="28"/>
          <w:vertAlign w:val="superscript"/>
        </w:rPr>
        <w:t>−</w:t>
      </w:r>
      <w:r w:rsidRPr="0081091E">
        <w:rPr>
          <w:rFonts w:ascii="Times New Roman" w:hAnsi="Times New Roman"/>
          <w:sz w:val="28"/>
          <w:szCs w:val="28"/>
          <w:vertAlign w:val="superscript"/>
        </w:rPr>
        <w:t xml:space="preserve">9 </w:t>
      </w:r>
      <w:r w:rsidRPr="0081091E">
        <w:rPr>
          <w:rFonts w:ascii="Times New Roman" w:hAnsi="Times New Roman"/>
          <w:sz w:val="28"/>
          <w:szCs w:val="28"/>
        </w:rPr>
        <w:t xml:space="preserve">вносятся на среду </w:t>
      </w:r>
      <w:proofErr w:type="spellStart"/>
      <w:r w:rsidRPr="0081091E">
        <w:rPr>
          <w:rFonts w:ascii="Times New Roman" w:hAnsi="Times New Roman"/>
          <w:color w:val="000000"/>
          <w:sz w:val="28"/>
          <w:szCs w:val="28"/>
        </w:rPr>
        <w:t>Блаурокка</w:t>
      </w:r>
      <w:proofErr w:type="spellEnd"/>
      <w:r w:rsidRPr="0081091E">
        <w:rPr>
          <w:rFonts w:ascii="Times New Roman" w:hAnsi="Times New Roman"/>
          <w:color w:val="000000"/>
          <w:sz w:val="28"/>
          <w:szCs w:val="28"/>
        </w:rPr>
        <w:t xml:space="preserve"> </w:t>
      </w:r>
      <w:r w:rsidRPr="0081091E">
        <w:rPr>
          <w:rFonts w:ascii="Times New Roman" w:hAnsi="Times New Roman"/>
          <w:sz w:val="28"/>
          <w:szCs w:val="28"/>
          <w:lang w:eastAsia="en-US"/>
        </w:rPr>
        <w:t>с периодом инкубации до 48 часов при температуре 37°.</w:t>
      </w:r>
    </w:p>
    <w:p w14:paraId="7EE8DCED" w14:textId="77777777" w:rsidR="005C199B" w:rsidRPr="0081091E" w:rsidRDefault="005C199B" w:rsidP="005C199B">
      <w:pPr>
        <w:widowControl w:val="0"/>
        <w:spacing w:after="0" w:line="240" w:lineRule="auto"/>
        <w:ind w:firstLine="567"/>
        <w:jc w:val="both"/>
        <w:rPr>
          <w:rFonts w:ascii="Times New Roman" w:hAnsi="Times New Roman"/>
          <w:sz w:val="28"/>
          <w:szCs w:val="28"/>
          <w:lang w:eastAsia="en-US"/>
        </w:rPr>
      </w:pPr>
      <w:r w:rsidRPr="0081091E">
        <w:rPr>
          <w:rFonts w:ascii="Times New Roman" w:hAnsi="Times New Roman"/>
          <w:color w:val="000000"/>
          <w:sz w:val="28"/>
          <w:szCs w:val="28"/>
        </w:rPr>
        <w:t xml:space="preserve">Для выделения </w:t>
      </w:r>
      <w:r w:rsidRPr="0081091E">
        <w:rPr>
          <w:rFonts w:ascii="Times New Roman" w:hAnsi="Times New Roman"/>
          <w:bCs/>
          <w:sz w:val="28"/>
          <w:szCs w:val="28"/>
          <w:lang w:eastAsia="en-US"/>
        </w:rPr>
        <w:t xml:space="preserve">бактерии рода Lactobacterium </w:t>
      </w:r>
      <w:r w:rsidRPr="0081091E">
        <w:rPr>
          <w:rFonts w:ascii="Times New Roman" w:hAnsi="Times New Roman"/>
          <w:sz w:val="28"/>
          <w:szCs w:val="28"/>
        </w:rPr>
        <w:t>из разведения 10</w:t>
      </w:r>
      <w:r>
        <w:rPr>
          <w:rFonts w:ascii="Times New Roman" w:hAnsi="Times New Roman"/>
          <w:sz w:val="28"/>
          <w:szCs w:val="28"/>
          <w:vertAlign w:val="superscript"/>
        </w:rPr>
        <w:t>−</w:t>
      </w:r>
      <w:r w:rsidRPr="0081091E">
        <w:rPr>
          <w:rFonts w:ascii="Times New Roman" w:hAnsi="Times New Roman"/>
          <w:sz w:val="28"/>
          <w:szCs w:val="28"/>
          <w:vertAlign w:val="superscript"/>
        </w:rPr>
        <w:t>3</w:t>
      </w:r>
      <w:r w:rsidRPr="0081091E">
        <w:rPr>
          <w:rFonts w:ascii="Times New Roman" w:hAnsi="Times New Roman"/>
          <w:sz w:val="28"/>
          <w:szCs w:val="28"/>
        </w:rPr>
        <w:t xml:space="preserve"> производится посев 0,1 мл на среду Рогоза </w:t>
      </w:r>
      <w:r w:rsidRPr="0081091E">
        <w:rPr>
          <w:rFonts w:ascii="Times New Roman" w:hAnsi="Times New Roman"/>
          <w:sz w:val="28"/>
          <w:szCs w:val="28"/>
          <w:lang w:eastAsia="en-US"/>
        </w:rPr>
        <w:t>с периодом инкубации до 72 часов при температуре 37°.</w:t>
      </w:r>
    </w:p>
    <w:p w14:paraId="46706A28" w14:textId="77777777" w:rsidR="005C199B" w:rsidRDefault="005C199B" w:rsidP="005C199B">
      <w:pPr>
        <w:widowControl w:val="0"/>
        <w:spacing w:after="0" w:line="240" w:lineRule="auto"/>
        <w:ind w:firstLine="567"/>
        <w:jc w:val="both"/>
        <w:rPr>
          <w:rFonts w:ascii="Times New Roman" w:hAnsi="Times New Roman"/>
          <w:sz w:val="28"/>
          <w:szCs w:val="28"/>
          <w:lang w:eastAsia="en-US"/>
        </w:rPr>
      </w:pPr>
      <w:r w:rsidRPr="00145B66">
        <w:rPr>
          <w:rFonts w:ascii="Times New Roman" w:hAnsi="Times New Roman"/>
          <w:sz w:val="28"/>
          <w:szCs w:val="28"/>
          <w:lang w:eastAsia="en-US"/>
        </w:rPr>
        <w:t xml:space="preserve">Для выделения </w:t>
      </w:r>
      <w:r w:rsidRPr="00145B66">
        <w:rPr>
          <w:rFonts w:ascii="Times New Roman" w:hAnsi="Times New Roman"/>
          <w:bCs/>
          <w:sz w:val="28"/>
          <w:szCs w:val="28"/>
          <w:lang w:eastAsia="en-US"/>
        </w:rPr>
        <w:t>E.</w:t>
      </w:r>
      <w:r>
        <w:rPr>
          <w:rFonts w:ascii="Times New Roman" w:hAnsi="Times New Roman"/>
          <w:bCs/>
          <w:sz w:val="28"/>
          <w:szCs w:val="28"/>
          <w:lang w:eastAsia="en-US"/>
        </w:rPr>
        <w:t xml:space="preserve"> </w:t>
      </w:r>
      <w:r w:rsidRPr="00145B66">
        <w:rPr>
          <w:rFonts w:ascii="Times New Roman" w:hAnsi="Times New Roman"/>
          <w:bCs/>
          <w:sz w:val="28"/>
          <w:szCs w:val="28"/>
          <w:lang w:eastAsia="en-US"/>
        </w:rPr>
        <w:t>coli</w:t>
      </w:r>
      <w:r w:rsidRPr="00145B66">
        <w:rPr>
          <w:rFonts w:ascii="Times New Roman" w:hAnsi="Times New Roman"/>
          <w:sz w:val="28"/>
          <w:szCs w:val="28"/>
          <w:lang w:eastAsia="en-US"/>
        </w:rPr>
        <w:t xml:space="preserve"> засевают 0,1 мл разведения 10</w:t>
      </w:r>
      <w:r>
        <w:rPr>
          <w:rFonts w:ascii="Times New Roman" w:hAnsi="Times New Roman"/>
          <w:sz w:val="28"/>
          <w:szCs w:val="28"/>
          <w:vertAlign w:val="superscript"/>
          <w:lang w:eastAsia="en-US"/>
        </w:rPr>
        <w:t>−</w:t>
      </w:r>
      <w:r w:rsidRPr="00145B66">
        <w:rPr>
          <w:rFonts w:ascii="Times New Roman" w:hAnsi="Times New Roman"/>
          <w:sz w:val="28"/>
          <w:szCs w:val="28"/>
          <w:vertAlign w:val="superscript"/>
          <w:lang w:eastAsia="en-US"/>
        </w:rPr>
        <w:t xml:space="preserve">3 </w:t>
      </w:r>
      <w:r w:rsidRPr="00145B66">
        <w:rPr>
          <w:rFonts w:ascii="Times New Roman" w:hAnsi="Times New Roman"/>
          <w:sz w:val="28"/>
          <w:szCs w:val="28"/>
          <w:lang w:eastAsia="en-US"/>
        </w:rPr>
        <w:t>на среду Эндо с периодом инкубации до 24 часов при температуре 37°.</w:t>
      </w:r>
    </w:p>
    <w:p w14:paraId="61A55653" w14:textId="77777777" w:rsidR="005C199B" w:rsidRPr="00145B66" w:rsidRDefault="005C199B" w:rsidP="005C199B">
      <w:pPr>
        <w:widowControl w:val="0"/>
        <w:spacing w:after="0" w:line="240" w:lineRule="auto"/>
        <w:ind w:firstLine="567"/>
        <w:jc w:val="both"/>
        <w:rPr>
          <w:rFonts w:ascii="Times New Roman" w:hAnsi="Times New Roman"/>
          <w:sz w:val="28"/>
          <w:szCs w:val="28"/>
          <w:lang w:eastAsia="en-US"/>
        </w:rPr>
      </w:pPr>
      <w:r w:rsidRPr="00145B66">
        <w:rPr>
          <w:rFonts w:ascii="Times New Roman" w:hAnsi="Times New Roman"/>
          <w:sz w:val="28"/>
          <w:szCs w:val="28"/>
        </w:rPr>
        <w:t xml:space="preserve">Для определения </w:t>
      </w:r>
      <w:r w:rsidRPr="00145B66">
        <w:rPr>
          <w:rFonts w:ascii="Times New Roman" w:hAnsi="Times New Roman"/>
          <w:color w:val="000000"/>
          <w:sz w:val="28"/>
          <w:szCs w:val="28"/>
        </w:rPr>
        <w:t xml:space="preserve">процентного соотношения колоний кишечной палочки, обладающих и не обладающих </w:t>
      </w:r>
      <w:proofErr w:type="spellStart"/>
      <w:r w:rsidRPr="00145B66">
        <w:rPr>
          <w:rFonts w:ascii="Times New Roman" w:hAnsi="Times New Roman"/>
          <w:color w:val="000000"/>
          <w:sz w:val="28"/>
          <w:szCs w:val="28"/>
        </w:rPr>
        <w:t>гемолизирующими</w:t>
      </w:r>
      <w:proofErr w:type="spellEnd"/>
      <w:r w:rsidRPr="00145B66">
        <w:rPr>
          <w:rFonts w:ascii="Times New Roman" w:hAnsi="Times New Roman"/>
          <w:color w:val="000000"/>
          <w:sz w:val="28"/>
          <w:szCs w:val="28"/>
        </w:rPr>
        <w:t xml:space="preserve"> свойствами используется</w:t>
      </w:r>
      <w:r>
        <w:rPr>
          <w:rFonts w:ascii="Times New Roman" w:hAnsi="Times New Roman"/>
          <w:color w:val="000000"/>
          <w:sz w:val="28"/>
          <w:szCs w:val="28"/>
        </w:rPr>
        <w:br/>
      </w:r>
      <w:r w:rsidRPr="00145B66">
        <w:rPr>
          <w:rFonts w:ascii="Times New Roman" w:hAnsi="Times New Roman"/>
          <w:color w:val="000000"/>
          <w:sz w:val="28"/>
          <w:szCs w:val="28"/>
        </w:rPr>
        <w:t xml:space="preserve">3-5% кровяной </w:t>
      </w:r>
      <w:proofErr w:type="spellStart"/>
      <w:r w:rsidRPr="00145B66">
        <w:rPr>
          <w:rFonts w:ascii="Times New Roman" w:hAnsi="Times New Roman"/>
          <w:color w:val="000000"/>
          <w:sz w:val="28"/>
          <w:szCs w:val="28"/>
        </w:rPr>
        <w:t>агар</w:t>
      </w:r>
      <w:proofErr w:type="spellEnd"/>
      <w:r w:rsidRPr="00145B66">
        <w:rPr>
          <w:rFonts w:ascii="Times New Roman" w:hAnsi="Times New Roman"/>
          <w:color w:val="000000"/>
          <w:sz w:val="28"/>
          <w:szCs w:val="28"/>
        </w:rPr>
        <w:t xml:space="preserve"> </w:t>
      </w:r>
      <w:r w:rsidRPr="00145B66">
        <w:rPr>
          <w:rFonts w:ascii="Times New Roman" w:hAnsi="Times New Roman"/>
          <w:sz w:val="28"/>
          <w:szCs w:val="28"/>
          <w:lang w:eastAsia="en-US"/>
        </w:rPr>
        <w:t>с периодом инкубации до 72 часов при температуре 37°.</w:t>
      </w:r>
    </w:p>
    <w:p w14:paraId="1EED872B" w14:textId="77777777" w:rsidR="005C199B" w:rsidRPr="00145B66" w:rsidRDefault="005C199B" w:rsidP="005C199B">
      <w:pPr>
        <w:widowControl w:val="0"/>
        <w:spacing w:after="0" w:line="240" w:lineRule="auto"/>
        <w:ind w:firstLine="567"/>
        <w:jc w:val="both"/>
        <w:rPr>
          <w:rFonts w:ascii="Times New Roman" w:hAnsi="Times New Roman"/>
          <w:sz w:val="28"/>
          <w:szCs w:val="28"/>
          <w:lang w:eastAsia="en-US"/>
        </w:rPr>
      </w:pPr>
      <w:r w:rsidRPr="00145B66">
        <w:rPr>
          <w:rFonts w:ascii="Times New Roman" w:hAnsi="Times New Roman"/>
          <w:sz w:val="28"/>
          <w:szCs w:val="28"/>
          <w:lang w:eastAsia="en-US"/>
        </w:rPr>
        <w:t xml:space="preserve">Для культивирования </w:t>
      </w:r>
      <w:r w:rsidRPr="00145B66">
        <w:rPr>
          <w:rFonts w:ascii="Times New Roman" w:hAnsi="Times New Roman"/>
          <w:bCs/>
          <w:sz w:val="28"/>
          <w:szCs w:val="28"/>
          <w:lang w:eastAsia="en-US"/>
        </w:rPr>
        <w:t>бактерии рода Proteus</w:t>
      </w:r>
      <w:r w:rsidRPr="00145B66">
        <w:rPr>
          <w:rFonts w:ascii="Times New Roman" w:hAnsi="Times New Roman"/>
          <w:sz w:val="28"/>
          <w:szCs w:val="28"/>
        </w:rPr>
        <w:t xml:space="preserve"> 0,1 мл разведения 10</w:t>
      </w:r>
      <w:r>
        <w:rPr>
          <w:rFonts w:ascii="Times New Roman" w:hAnsi="Times New Roman"/>
          <w:sz w:val="28"/>
          <w:szCs w:val="28"/>
          <w:vertAlign w:val="superscript"/>
        </w:rPr>
        <w:t>−</w:t>
      </w:r>
      <w:r w:rsidRPr="00145B66">
        <w:rPr>
          <w:rFonts w:ascii="Times New Roman" w:hAnsi="Times New Roman"/>
          <w:sz w:val="28"/>
          <w:szCs w:val="28"/>
          <w:vertAlign w:val="superscript"/>
        </w:rPr>
        <w:t>3</w:t>
      </w:r>
      <w:r w:rsidRPr="00145B66">
        <w:rPr>
          <w:rFonts w:ascii="Times New Roman" w:hAnsi="Times New Roman"/>
          <w:sz w:val="28"/>
          <w:szCs w:val="28"/>
        </w:rPr>
        <w:t xml:space="preserve"> вносят в конденсат скошенного мясо – </w:t>
      </w:r>
      <w:proofErr w:type="spellStart"/>
      <w:r w:rsidRPr="00145B66">
        <w:rPr>
          <w:rFonts w:ascii="Times New Roman" w:hAnsi="Times New Roman"/>
          <w:sz w:val="28"/>
          <w:szCs w:val="28"/>
        </w:rPr>
        <w:t>пептонного</w:t>
      </w:r>
      <w:proofErr w:type="spellEnd"/>
      <w:r>
        <w:rPr>
          <w:rFonts w:ascii="Times New Roman" w:hAnsi="Times New Roman"/>
          <w:sz w:val="28"/>
          <w:szCs w:val="28"/>
        </w:rPr>
        <w:t xml:space="preserve"> </w:t>
      </w:r>
      <w:proofErr w:type="spellStart"/>
      <w:r w:rsidRPr="00145B66">
        <w:rPr>
          <w:rFonts w:ascii="Times New Roman" w:hAnsi="Times New Roman"/>
          <w:sz w:val="28"/>
          <w:szCs w:val="28"/>
        </w:rPr>
        <w:t>агара</w:t>
      </w:r>
      <w:proofErr w:type="spellEnd"/>
      <w:r w:rsidRPr="00145B66">
        <w:rPr>
          <w:rFonts w:ascii="Times New Roman" w:hAnsi="Times New Roman"/>
          <w:sz w:val="28"/>
          <w:szCs w:val="28"/>
        </w:rPr>
        <w:t xml:space="preserve"> по методу </w:t>
      </w:r>
      <w:proofErr w:type="spellStart"/>
      <w:r w:rsidRPr="00145B66">
        <w:rPr>
          <w:rFonts w:ascii="Times New Roman" w:hAnsi="Times New Roman"/>
          <w:sz w:val="28"/>
          <w:szCs w:val="28"/>
        </w:rPr>
        <w:t>Шукевича</w:t>
      </w:r>
      <w:proofErr w:type="spellEnd"/>
      <w:r w:rsidRPr="00145B66">
        <w:rPr>
          <w:rFonts w:ascii="Times New Roman" w:hAnsi="Times New Roman"/>
          <w:sz w:val="28"/>
          <w:szCs w:val="28"/>
          <w:lang w:eastAsia="en-US"/>
        </w:rPr>
        <w:t xml:space="preserve"> с периодом инкубации до 24 часов при температуре 37°.</w:t>
      </w:r>
    </w:p>
    <w:p w14:paraId="19674E5F" w14:textId="77777777" w:rsidR="005C199B" w:rsidRPr="00145B66" w:rsidRDefault="005C199B" w:rsidP="005C199B">
      <w:pPr>
        <w:widowControl w:val="0"/>
        <w:spacing w:after="0" w:line="240" w:lineRule="auto"/>
        <w:ind w:firstLine="567"/>
        <w:jc w:val="both"/>
        <w:rPr>
          <w:rFonts w:ascii="Times New Roman" w:hAnsi="Times New Roman"/>
          <w:sz w:val="28"/>
          <w:szCs w:val="28"/>
          <w:vertAlign w:val="superscript"/>
          <w:lang w:eastAsia="en-US"/>
        </w:rPr>
      </w:pPr>
      <w:r w:rsidRPr="00145B66">
        <w:rPr>
          <w:rFonts w:ascii="Times New Roman" w:hAnsi="Times New Roman"/>
          <w:color w:val="000000"/>
          <w:sz w:val="28"/>
          <w:szCs w:val="28"/>
        </w:rPr>
        <w:t>Для выявления условно</w:t>
      </w:r>
      <w:r w:rsidRPr="00145B66">
        <w:rPr>
          <w:rFonts w:ascii="Times New Roman" w:hAnsi="Times New Roman"/>
          <w:bCs/>
          <w:sz w:val="28"/>
          <w:szCs w:val="28"/>
          <w:lang w:eastAsia="en-US"/>
        </w:rPr>
        <w:t xml:space="preserve">-патогенных энтеробактерии и не ферментирующих </w:t>
      </w:r>
      <w:r w:rsidRPr="00145B66">
        <w:rPr>
          <w:rFonts w:ascii="Times New Roman" w:hAnsi="Times New Roman"/>
          <w:bCs/>
          <w:sz w:val="28"/>
          <w:szCs w:val="28"/>
          <w:lang w:eastAsia="en-US"/>
        </w:rPr>
        <w:lastRenderedPageBreak/>
        <w:t>грамотрицательных бактерий производится посев 0,1 мл 10</w:t>
      </w:r>
      <w:r>
        <w:rPr>
          <w:rFonts w:ascii="Times New Roman" w:hAnsi="Times New Roman"/>
          <w:bCs/>
          <w:sz w:val="28"/>
          <w:szCs w:val="28"/>
          <w:vertAlign w:val="superscript"/>
          <w:lang w:eastAsia="en-US"/>
        </w:rPr>
        <w:t>−</w:t>
      </w:r>
      <w:r w:rsidRPr="00145B66">
        <w:rPr>
          <w:rFonts w:ascii="Times New Roman" w:hAnsi="Times New Roman"/>
          <w:bCs/>
          <w:sz w:val="28"/>
          <w:szCs w:val="28"/>
          <w:vertAlign w:val="superscript"/>
          <w:lang w:eastAsia="en-US"/>
        </w:rPr>
        <w:t>1</w:t>
      </w:r>
      <w:r w:rsidRPr="00145B66">
        <w:rPr>
          <w:rFonts w:ascii="Times New Roman" w:hAnsi="Times New Roman"/>
          <w:bCs/>
          <w:sz w:val="28"/>
          <w:szCs w:val="28"/>
          <w:lang w:eastAsia="en-US"/>
        </w:rPr>
        <w:t xml:space="preserve"> и 10</w:t>
      </w:r>
      <w:r>
        <w:rPr>
          <w:rFonts w:ascii="Times New Roman" w:hAnsi="Times New Roman"/>
          <w:bCs/>
          <w:sz w:val="28"/>
          <w:szCs w:val="28"/>
          <w:vertAlign w:val="superscript"/>
          <w:lang w:eastAsia="en-US"/>
        </w:rPr>
        <w:t>−</w:t>
      </w:r>
      <w:r w:rsidRPr="00145B66">
        <w:rPr>
          <w:rFonts w:ascii="Times New Roman" w:hAnsi="Times New Roman"/>
          <w:bCs/>
          <w:sz w:val="28"/>
          <w:szCs w:val="28"/>
          <w:vertAlign w:val="superscript"/>
          <w:lang w:eastAsia="en-US"/>
        </w:rPr>
        <w:t>3</w:t>
      </w:r>
      <w:r w:rsidRPr="00145B66">
        <w:rPr>
          <w:rFonts w:ascii="Times New Roman" w:hAnsi="Times New Roman"/>
          <w:bCs/>
          <w:sz w:val="28"/>
          <w:szCs w:val="28"/>
          <w:lang w:eastAsia="en-US"/>
        </w:rPr>
        <w:t xml:space="preserve"> разведений на среду Эндо </w:t>
      </w:r>
      <w:r w:rsidRPr="00145B66">
        <w:rPr>
          <w:rFonts w:ascii="Times New Roman" w:hAnsi="Times New Roman"/>
          <w:sz w:val="28"/>
          <w:szCs w:val="28"/>
          <w:lang w:eastAsia="en-US"/>
        </w:rPr>
        <w:t>с периодом инкубации до 24 часов при температуре 37°.</w:t>
      </w:r>
    </w:p>
    <w:p w14:paraId="2B364C82" w14:textId="77777777" w:rsidR="005C199B" w:rsidRPr="00145B66" w:rsidRDefault="005C199B" w:rsidP="005C199B">
      <w:pPr>
        <w:widowControl w:val="0"/>
        <w:spacing w:after="0" w:line="240" w:lineRule="auto"/>
        <w:ind w:firstLine="567"/>
        <w:jc w:val="both"/>
        <w:rPr>
          <w:rFonts w:ascii="Times New Roman" w:hAnsi="Times New Roman"/>
          <w:sz w:val="28"/>
          <w:szCs w:val="28"/>
        </w:rPr>
      </w:pPr>
      <w:r w:rsidRPr="00145B66">
        <w:rPr>
          <w:rFonts w:ascii="Times New Roman" w:hAnsi="Times New Roman"/>
          <w:bCs/>
          <w:sz w:val="28"/>
          <w:szCs w:val="28"/>
          <w:lang w:eastAsia="en-US"/>
        </w:rPr>
        <w:t xml:space="preserve">Для </w:t>
      </w:r>
      <w:r w:rsidRPr="00145B66">
        <w:rPr>
          <w:rFonts w:ascii="Times New Roman" w:hAnsi="Times New Roman"/>
          <w:color w:val="000000"/>
          <w:sz w:val="28"/>
          <w:szCs w:val="28"/>
        </w:rPr>
        <w:t>выделения</w:t>
      </w:r>
      <w:r w:rsidRPr="00145B66">
        <w:rPr>
          <w:rFonts w:ascii="Times New Roman" w:hAnsi="Times New Roman"/>
          <w:bCs/>
          <w:sz w:val="28"/>
          <w:szCs w:val="28"/>
          <w:lang w:eastAsia="en-US"/>
        </w:rPr>
        <w:t xml:space="preserve"> стафилококков и определения их </w:t>
      </w:r>
      <w:proofErr w:type="spellStart"/>
      <w:r w:rsidRPr="00145B66">
        <w:rPr>
          <w:rFonts w:ascii="Times New Roman" w:hAnsi="Times New Roman"/>
          <w:bCs/>
          <w:sz w:val="28"/>
          <w:szCs w:val="28"/>
          <w:lang w:eastAsia="en-US"/>
        </w:rPr>
        <w:t>лецитиназной</w:t>
      </w:r>
      <w:proofErr w:type="spellEnd"/>
      <w:r w:rsidRPr="00145B66">
        <w:rPr>
          <w:rFonts w:ascii="Times New Roman" w:hAnsi="Times New Roman"/>
          <w:bCs/>
          <w:sz w:val="28"/>
          <w:szCs w:val="28"/>
          <w:lang w:eastAsia="en-US"/>
        </w:rPr>
        <w:t xml:space="preserve"> активности 0,1 мл </w:t>
      </w:r>
      <w:r w:rsidRPr="00145B66">
        <w:rPr>
          <w:rFonts w:ascii="Times New Roman" w:hAnsi="Times New Roman"/>
          <w:sz w:val="28"/>
          <w:szCs w:val="28"/>
        </w:rPr>
        <w:t>разведений 10</w:t>
      </w:r>
      <w:r>
        <w:rPr>
          <w:rFonts w:ascii="Times New Roman" w:hAnsi="Times New Roman"/>
          <w:sz w:val="28"/>
          <w:szCs w:val="28"/>
          <w:vertAlign w:val="superscript"/>
        </w:rPr>
        <w:t>−</w:t>
      </w:r>
      <w:r w:rsidRPr="00145B66">
        <w:rPr>
          <w:rFonts w:ascii="Times New Roman" w:hAnsi="Times New Roman"/>
          <w:sz w:val="28"/>
          <w:szCs w:val="28"/>
          <w:vertAlign w:val="superscript"/>
        </w:rPr>
        <w:t xml:space="preserve">1 </w:t>
      </w:r>
      <w:r w:rsidRPr="00145B66">
        <w:rPr>
          <w:rFonts w:ascii="Times New Roman" w:hAnsi="Times New Roman"/>
          <w:sz w:val="28"/>
          <w:szCs w:val="28"/>
        </w:rPr>
        <w:t>и 10</w:t>
      </w:r>
      <w:r>
        <w:rPr>
          <w:rFonts w:ascii="Times New Roman" w:hAnsi="Times New Roman"/>
          <w:sz w:val="28"/>
          <w:szCs w:val="28"/>
          <w:vertAlign w:val="superscript"/>
        </w:rPr>
        <w:t>−</w:t>
      </w:r>
      <w:r w:rsidRPr="00145B66">
        <w:rPr>
          <w:rFonts w:ascii="Times New Roman" w:hAnsi="Times New Roman"/>
          <w:sz w:val="28"/>
          <w:szCs w:val="28"/>
          <w:vertAlign w:val="superscript"/>
        </w:rPr>
        <w:t xml:space="preserve">3 </w:t>
      </w:r>
      <w:r w:rsidRPr="00145B66">
        <w:rPr>
          <w:rFonts w:ascii="Times New Roman" w:hAnsi="Times New Roman"/>
          <w:sz w:val="28"/>
          <w:szCs w:val="28"/>
        </w:rPr>
        <w:t xml:space="preserve">наносится на </w:t>
      </w:r>
      <w:proofErr w:type="spellStart"/>
      <w:r w:rsidRPr="00145B66">
        <w:rPr>
          <w:rFonts w:ascii="Times New Roman" w:hAnsi="Times New Roman"/>
          <w:sz w:val="28"/>
          <w:szCs w:val="28"/>
        </w:rPr>
        <w:t>желточно</w:t>
      </w:r>
      <w:proofErr w:type="spellEnd"/>
      <w:r w:rsidRPr="00145B66">
        <w:rPr>
          <w:rFonts w:ascii="Times New Roman" w:hAnsi="Times New Roman"/>
          <w:sz w:val="28"/>
          <w:szCs w:val="28"/>
        </w:rPr>
        <w:t xml:space="preserve">-солевой </w:t>
      </w:r>
      <w:proofErr w:type="spellStart"/>
      <w:r w:rsidRPr="00145B66">
        <w:rPr>
          <w:rFonts w:ascii="Times New Roman" w:hAnsi="Times New Roman"/>
          <w:sz w:val="28"/>
          <w:szCs w:val="28"/>
        </w:rPr>
        <w:t>агар</w:t>
      </w:r>
      <w:proofErr w:type="spellEnd"/>
      <w:r w:rsidRPr="00145B66">
        <w:rPr>
          <w:rFonts w:ascii="Times New Roman" w:hAnsi="Times New Roman"/>
          <w:sz w:val="28"/>
          <w:szCs w:val="28"/>
          <w:lang w:eastAsia="en-US"/>
        </w:rPr>
        <w:t xml:space="preserve"> с периодом инкубации до 48 часов при температуре 37°.</w:t>
      </w:r>
    </w:p>
    <w:p w14:paraId="5D21E154" w14:textId="77777777" w:rsidR="005C199B" w:rsidRPr="00145B66" w:rsidRDefault="005C199B" w:rsidP="005C199B">
      <w:pPr>
        <w:widowControl w:val="0"/>
        <w:spacing w:after="0" w:line="240" w:lineRule="auto"/>
        <w:ind w:firstLine="567"/>
        <w:jc w:val="both"/>
        <w:rPr>
          <w:rFonts w:ascii="Times New Roman" w:hAnsi="Times New Roman"/>
          <w:sz w:val="28"/>
          <w:szCs w:val="28"/>
        </w:rPr>
      </w:pPr>
      <w:r w:rsidRPr="00145B66">
        <w:rPr>
          <w:rFonts w:ascii="Times New Roman" w:hAnsi="Times New Roman"/>
          <w:bCs/>
          <w:sz w:val="28"/>
          <w:szCs w:val="28"/>
          <w:lang w:eastAsia="en-US"/>
        </w:rPr>
        <w:t xml:space="preserve">Для выявления грибов рода Candida 0,1 мл разведения </w:t>
      </w:r>
      <w:r w:rsidRPr="00145B66">
        <w:rPr>
          <w:rFonts w:ascii="Times New Roman" w:hAnsi="Times New Roman"/>
          <w:sz w:val="28"/>
          <w:szCs w:val="28"/>
        </w:rPr>
        <w:t>10</w:t>
      </w:r>
      <w:r>
        <w:rPr>
          <w:rFonts w:ascii="Times New Roman" w:hAnsi="Times New Roman"/>
          <w:sz w:val="28"/>
          <w:szCs w:val="28"/>
          <w:vertAlign w:val="superscript"/>
        </w:rPr>
        <w:t>−</w:t>
      </w:r>
      <w:r w:rsidRPr="00145B66">
        <w:rPr>
          <w:rFonts w:ascii="Times New Roman" w:hAnsi="Times New Roman"/>
          <w:sz w:val="28"/>
          <w:szCs w:val="28"/>
          <w:vertAlign w:val="superscript"/>
        </w:rPr>
        <w:t xml:space="preserve">3 </w:t>
      </w:r>
      <w:r w:rsidRPr="00145B66">
        <w:rPr>
          <w:rFonts w:ascii="Times New Roman" w:hAnsi="Times New Roman"/>
          <w:sz w:val="28"/>
          <w:szCs w:val="28"/>
        </w:rPr>
        <w:t xml:space="preserve">наносят на среду </w:t>
      </w:r>
      <w:proofErr w:type="spellStart"/>
      <w:r w:rsidRPr="00145B66">
        <w:rPr>
          <w:rFonts w:ascii="Times New Roman" w:hAnsi="Times New Roman"/>
          <w:sz w:val="28"/>
          <w:szCs w:val="28"/>
        </w:rPr>
        <w:t>Сабуро</w:t>
      </w:r>
      <w:proofErr w:type="spellEnd"/>
      <w:r w:rsidRPr="00145B66">
        <w:rPr>
          <w:rFonts w:ascii="Times New Roman" w:hAnsi="Times New Roman"/>
          <w:sz w:val="28"/>
          <w:szCs w:val="28"/>
        </w:rPr>
        <w:t xml:space="preserve"> </w:t>
      </w:r>
      <w:r w:rsidRPr="00145B66">
        <w:rPr>
          <w:rFonts w:ascii="Times New Roman" w:hAnsi="Times New Roman"/>
          <w:sz w:val="28"/>
          <w:szCs w:val="28"/>
          <w:lang w:eastAsia="en-US"/>
        </w:rPr>
        <w:t xml:space="preserve">с периодом инкубации </w:t>
      </w:r>
      <w:r w:rsidRPr="00145B66">
        <w:rPr>
          <w:rFonts w:ascii="Times New Roman" w:hAnsi="Times New Roman"/>
          <w:sz w:val="28"/>
          <w:szCs w:val="28"/>
        </w:rPr>
        <w:t>48 часов при 37°, 3 суток при комнатной температуре или пять суток при 22°С.</w:t>
      </w:r>
    </w:p>
    <w:p w14:paraId="77CE4601" w14:textId="77777777" w:rsidR="005C199B" w:rsidRPr="000A4D50" w:rsidRDefault="005C199B" w:rsidP="005C199B">
      <w:pPr>
        <w:widowControl w:val="0"/>
        <w:spacing w:after="0" w:line="240" w:lineRule="auto"/>
        <w:ind w:firstLine="567"/>
        <w:jc w:val="both"/>
        <w:rPr>
          <w:rFonts w:ascii="Times New Roman" w:hAnsi="Times New Roman"/>
          <w:sz w:val="28"/>
          <w:szCs w:val="28"/>
          <w:lang w:eastAsia="en-US"/>
        </w:rPr>
      </w:pPr>
      <w:r w:rsidRPr="00145B66">
        <w:rPr>
          <w:rFonts w:ascii="Times New Roman" w:hAnsi="Times New Roman"/>
          <w:bCs/>
          <w:sz w:val="28"/>
          <w:szCs w:val="28"/>
          <w:lang w:eastAsia="en-US"/>
        </w:rPr>
        <w:t xml:space="preserve">Для культивации бактерии рода </w:t>
      </w:r>
      <w:proofErr w:type="spellStart"/>
      <w:r w:rsidRPr="00145B66">
        <w:rPr>
          <w:rFonts w:ascii="Times New Roman" w:hAnsi="Times New Roman"/>
          <w:bCs/>
          <w:sz w:val="28"/>
          <w:szCs w:val="28"/>
          <w:lang w:eastAsia="en-US"/>
        </w:rPr>
        <w:t>Clostridium</w:t>
      </w:r>
      <w:proofErr w:type="spellEnd"/>
      <w:r w:rsidRPr="00145B66">
        <w:rPr>
          <w:rFonts w:ascii="Times New Roman" w:hAnsi="Times New Roman"/>
          <w:bCs/>
          <w:sz w:val="28"/>
          <w:szCs w:val="28"/>
          <w:lang w:eastAsia="en-US"/>
        </w:rPr>
        <w:t xml:space="preserve"> производится посев разведений </w:t>
      </w:r>
      <w:r w:rsidRPr="00145B66">
        <w:rPr>
          <w:rFonts w:ascii="Times New Roman" w:hAnsi="Times New Roman"/>
          <w:sz w:val="28"/>
          <w:szCs w:val="28"/>
        </w:rPr>
        <w:t>10</w:t>
      </w:r>
      <w:r>
        <w:rPr>
          <w:rFonts w:ascii="Times New Roman" w:hAnsi="Times New Roman"/>
          <w:sz w:val="28"/>
          <w:szCs w:val="28"/>
          <w:vertAlign w:val="superscript"/>
        </w:rPr>
        <w:t>−</w:t>
      </w:r>
      <w:r w:rsidRPr="00145B66">
        <w:rPr>
          <w:rFonts w:ascii="Times New Roman" w:hAnsi="Times New Roman"/>
          <w:sz w:val="28"/>
          <w:szCs w:val="28"/>
          <w:vertAlign w:val="superscript"/>
        </w:rPr>
        <w:t xml:space="preserve">1 </w:t>
      </w:r>
      <w:r w:rsidRPr="00145B66">
        <w:rPr>
          <w:rFonts w:ascii="Times New Roman" w:hAnsi="Times New Roman"/>
          <w:sz w:val="28"/>
          <w:szCs w:val="28"/>
        </w:rPr>
        <w:t>и 10</w:t>
      </w:r>
      <w:r>
        <w:rPr>
          <w:rFonts w:ascii="Times New Roman" w:hAnsi="Times New Roman"/>
          <w:sz w:val="28"/>
          <w:szCs w:val="28"/>
          <w:vertAlign w:val="superscript"/>
        </w:rPr>
        <w:t>−</w:t>
      </w:r>
      <w:r w:rsidRPr="00145B66">
        <w:rPr>
          <w:rFonts w:ascii="Times New Roman" w:hAnsi="Times New Roman"/>
          <w:sz w:val="28"/>
          <w:szCs w:val="28"/>
          <w:vertAlign w:val="superscript"/>
        </w:rPr>
        <w:t xml:space="preserve">3 </w:t>
      </w:r>
      <w:r w:rsidRPr="00145B66">
        <w:rPr>
          <w:rFonts w:ascii="Times New Roman" w:hAnsi="Times New Roman"/>
          <w:sz w:val="28"/>
          <w:szCs w:val="28"/>
        </w:rPr>
        <w:t>по</w:t>
      </w:r>
      <w:r w:rsidRPr="00145B66">
        <w:rPr>
          <w:rFonts w:ascii="Times New Roman" w:hAnsi="Times New Roman"/>
          <w:bCs/>
          <w:sz w:val="28"/>
          <w:szCs w:val="28"/>
          <w:lang w:eastAsia="en-US"/>
        </w:rPr>
        <w:t xml:space="preserve"> 1 мл в 9 мл среды Вильсон </w:t>
      </w:r>
      <w:proofErr w:type="spellStart"/>
      <w:r w:rsidRPr="00145B66">
        <w:rPr>
          <w:rFonts w:ascii="Times New Roman" w:hAnsi="Times New Roman"/>
          <w:bCs/>
          <w:sz w:val="28"/>
          <w:szCs w:val="28"/>
          <w:lang w:eastAsia="en-US"/>
        </w:rPr>
        <w:t>Блер</w:t>
      </w:r>
      <w:proofErr w:type="spellEnd"/>
      <w:r w:rsidRPr="00145B66">
        <w:rPr>
          <w:rFonts w:ascii="Times New Roman" w:hAnsi="Times New Roman"/>
          <w:bCs/>
          <w:sz w:val="28"/>
          <w:szCs w:val="28"/>
          <w:lang w:eastAsia="en-US"/>
        </w:rPr>
        <w:t xml:space="preserve"> </w:t>
      </w:r>
      <w:r w:rsidRPr="00145B66">
        <w:rPr>
          <w:rFonts w:ascii="Times New Roman" w:hAnsi="Times New Roman"/>
          <w:sz w:val="28"/>
          <w:szCs w:val="28"/>
          <w:lang w:eastAsia="en-US"/>
        </w:rPr>
        <w:t>с периодом инкубации до 72 часов при температуре 37°.</w:t>
      </w:r>
    </w:p>
    <w:p w14:paraId="3F60832F" w14:textId="77777777" w:rsidR="005C199B" w:rsidRDefault="005C199B" w:rsidP="005C199B">
      <w:pPr>
        <w:widowControl w:val="0"/>
        <w:spacing w:after="0" w:line="240" w:lineRule="auto"/>
        <w:ind w:firstLine="567"/>
        <w:jc w:val="both"/>
        <w:rPr>
          <w:rFonts w:ascii="Times New Roman" w:hAnsi="Times New Roman"/>
          <w:sz w:val="28"/>
          <w:szCs w:val="28"/>
          <w:lang w:eastAsia="en-US"/>
        </w:rPr>
      </w:pPr>
      <w:r w:rsidRPr="00145B66">
        <w:rPr>
          <w:rFonts w:ascii="Times New Roman" w:hAnsi="Times New Roman"/>
          <w:sz w:val="28"/>
          <w:szCs w:val="28"/>
          <w:lang w:eastAsia="en-US"/>
        </w:rPr>
        <w:t>Микробиологический спектр культур кишечника представлен в таблице</w:t>
      </w:r>
      <w:r>
        <w:rPr>
          <w:rFonts w:ascii="Times New Roman" w:hAnsi="Times New Roman"/>
          <w:sz w:val="28"/>
          <w:szCs w:val="28"/>
          <w:lang w:eastAsia="en-US"/>
        </w:rPr>
        <w:t xml:space="preserve"> </w:t>
      </w:r>
      <w:r w:rsidRPr="00E964C4">
        <w:rPr>
          <w:rFonts w:ascii="Times New Roman" w:hAnsi="Times New Roman"/>
          <w:sz w:val="28"/>
          <w:szCs w:val="28"/>
          <w:lang w:eastAsia="en-US"/>
        </w:rPr>
        <w:t>7</w:t>
      </w:r>
      <w:r w:rsidRPr="00145B66">
        <w:rPr>
          <w:rFonts w:ascii="Times New Roman" w:hAnsi="Times New Roman"/>
          <w:sz w:val="28"/>
          <w:szCs w:val="28"/>
          <w:lang w:eastAsia="en-US"/>
        </w:rPr>
        <w:t>.</w:t>
      </w:r>
    </w:p>
    <w:p w14:paraId="74956E6C" w14:textId="77777777" w:rsidR="005C199B" w:rsidRPr="00145B66" w:rsidRDefault="005C199B" w:rsidP="005C199B">
      <w:pPr>
        <w:widowControl w:val="0"/>
        <w:spacing w:after="0" w:line="240" w:lineRule="auto"/>
        <w:ind w:firstLine="567"/>
        <w:jc w:val="both"/>
        <w:rPr>
          <w:rFonts w:ascii="Times New Roman" w:hAnsi="Times New Roman"/>
          <w:sz w:val="28"/>
          <w:szCs w:val="28"/>
          <w:lang w:eastAsia="en-US"/>
        </w:rPr>
      </w:pPr>
    </w:p>
    <w:p w14:paraId="23BA28F6" w14:textId="77777777" w:rsidR="005C199B" w:rsidRDefault="005C199B" w:rsidP="005C199B">
      <w:pPr>
        <w:widowControl w:val="0"/>
        <w:tabs>
          <w:tab w:val="left" w:pos="567"/>
        </w:tabs>
        <w:spacing w:after="0" w:line="240" w:lineRule="auto"/>
        <w:jc w:val="both"/>
        <w:rPr>
          <w:rFonts w:ascii="Times New Roman" w:hAnsi="Times New Roman"/>
          <w:sz w:val="28"/>
          <w:szCs w:val="28"/>
        </w:rPr>
      </w:pPr>
      <w:r w:rsidRPr="00145B66">
        <w:rPr>
          <w:rFonts w:ascii="Times New Roman" w:hAnsi="Times New Roman"/>
          <w:sz w:val="28"/>
          <w:szCs w:val="28"/>
        </w:rPr>
        <w:t xml:space="preserve">Таблица </w:t>
      </w:r>
      <w:r>
        <w:rPr>
          <w:rFonts w:ascii="Times New Roman" w:hAnsi="Times New Roman"/>
          <w:sz w:val="28"/>
          <w:szCs w:val="28"/>
          <w:lang w:val="en-US"/>
        </w:rPr>
        <w:t>7</w:t>
      </w:r>
      <w:r w:rsidRPr="00145B66">
        <w:rPr>
          <w:rFonts w:ascii="Times New Roman" w:hAnsi="Times New Roman"/>
          <w:sz w:val="28"/>
          <w:szCs w:val="28"/>
        </w:rPr>
        <w:t xml:space="preserve"> – Микробиологический спектр культур кишечника</w:t>
      </w:r>
    </w:p>
    <w:p w14:paraId="37C2256F" w14:textId="77777777" w:rsidR="005C199B" w:rsidRPr="00480D87" w:rsidRDefault="005C199B" w:rsidP="005C199B">
      <w:pPr>
        <w:widowControl w:val="0"/>
        <w:tabs>
          <w:tab w:val="left" w:pos="288"/>
          <w:tab w:val="left" w:pos="567"/>
        </w:tabs>
        <w:spacing w:after="0" w:line="240" w:lineRule="auto"/>
        <w:rPr>
          <w:rFonts w:ascii="Times New Roman" w:hAnsi="Times New Roman"/>
          <w:sz w:val="28"/>
          <w:szCs w:val="28"/>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4"/>
        <w:gridCol w:w="1814"/>
      </w:tblGrid>
      <w:tr w:rsidR="005C199B" w:rsidRPr="00145B66" w14:paraId="547D19E2" w14:textId="77777777" w:rsidTr="00094F6F">
        <w:trPr>
          <w:trHeight w:val="340"/>
          <w:jc w:val="center"/>
        </w:trPr>
        <w:tc>
          <w:tcPr>
            <w:tcW w:w="7654" w:type="dxa"/>
            <w:shd w:val="clear" w:color="auto" w:fill="auto"/>
            <w:vAlign w:val="center"/>
            <w:hideMark/>
          </w:tcPr>
          <w:p w14:paraId="2E22D26A"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r w:rsidRPr="000A4D50">
              <w:rPr>
                <w:rFonts w:ascii="Times New Roman" w:hAnsi="Times New Roman"/>
                <w:sz w:val="24"/>
                <w:szCs w:val="24"/>
                <w:lang w:eastAsia="en-US" w:bidi="kn-IN"/>
              </w:rPr>
              <w:t>Наименование микроорганизмов</w:t>
            </w:r>
          </w:p>
        </w:tc>
        <w:tc>
          <w:tcPr>
            <w:tcW w:w="1814" w:type="dxa"/>
            <w:shd w:val="clear" w:color="auto" w:fill="auto"/>
            <w:vAlign w:val="center"/>
            <w:hideMark/>
          </w:tcPr>
          <w:p w14:paraId="08EF041A"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r w:rsidRPr="000A4D50">
              <w:rPr>
                <w:rFonts w:ascii="Times New Roman" w:hAnsi="Times New Roman"/>
                <w:sz w:val="24"/>
                <w:szCs w:val="24"/>
                <w:lang w:eastAsia="en-US" w:bidi="kn-IN"/>
              </w:rPr>
              <w:t>Норма</w:t>
            </w:r>
          </w:p>
        </w:tc>
      </w:tr>
      <w:tr w:rsidR="005C199B" w:rsidRPr="00145B66" w14:paraId="1FCD0F4A" w14:textId="77777777" w:rsidTr="00094F6F">
        <w:trPr>
          <w:trHeight w:val="340"/>
          <w:jc w:val="center"/>
        </w:trPr>
        <w:tc>
          <w:tcPr>
            <w:tcW w:w="7654" w:type="dxa"/>
            <w:shd w:val="clear" w:color="auto" w:fill="auto"/>
            <w:vAlign w:val="center"/>
            <w:hideMark/>
          </w:tcPr>
          <w:p w14:paraId="5E56D508" w14:textId="77777777" w:rsidR="005C199B" w:rsidRPr="000A4D50" w:rsidRDefault="005C199B" w:rsidP="00094F6F">
            <w:pPr>
              <w:widowControl w:val="0"/>
              <w:tabs>
                <w:tab w:val="left" w:pos="567"/>
              </w:tabs>
              <w:spacing w:after="0" w:line="240" w:lineRule="auto"/>
              <w:rPr>
                <w:rFonts w:ascii="Times New Roman" w:hAnsi="Times New Roman"/>
                <w:sz w:val="24"/>
                <w:szCs w:val="24"/>
                <w:lang w:eastAsia="en-US" w:bidi="kn-IN"/>
              </w:rPr>
            </w:pPr>
            <w:r w:rsidRPr="000A4D50">
              <w:rPr>
                <w:rFonts w:ascii="Times New Roman" w:hAnsi="Times New Roman"/>
                <w:sz w:val="24"/>
                <w:szCs w:val="24"/>
                <w:lang w:eastAsia="en-US" w:bidi="kn-IN"/>
              </w:rPr>
              <w:t xml:space="preserve">Патогенные бактерии семейства </w:t>
            </w:r>
            <w:proofErr w:type="spellStart"/>
            <w:r w:rsidRPr="000A4D50">
              <w:rPr>
                <w:rFonts w:ascii="Times New Roman" w:hAnsi="Times New Roman"/>
                <w:sz w:val="24"/>
                <w:szCs w:val="24"/>
                <w:lang w:eastAsia="en-US" w:bidi="kn-IN"/>
              </w:rPr>
              <w:t>Enterobacteriaceae</w:t>
            </w:r>
            <w:proofErr w:type="spellEnd"/>
          </w:p>
        </w:tc>
        <w:tc>
          <w:tcPr>
            <w:tcW w:w="1814" w:type="dxa"/>
            <w:shd w:val="clear" w:color="auto" w:fill="auto"/>
            <w:vAlign w:val="center"/>
            <w:hideMark/>
          </w:tcPr>
          <w:p w14:paraId="44377D41"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proofErr w:type="gramStart"/>
            <w:r w:rsidRPr="000A4D50">
              <w:rPr>
                <w:rFonts w:ascii="Times New Roman" w:hAnsi="Times New Roman"/>
                <w:sz w:val="24"/>
                <w:szCs w:val="24"/>
                <w:lang w:eastAsia="en-US" w:bidi="kn-IN"/>
              </w:rPr>
              <w:t>отсутствие</w:t>
            </w:r>
            <w:proofErr w:type="gramEnd"/>
          </w:p>
        </w:tc>
      </w:tr>
      <w:tr w:rsidR="005C199B" w:rsidRPr="00145B66" w14:paraId="7A2AE603" w14:textId="77777777" w:rsidTr="00094F6F">
        <w:trPr>
          <w:trHeight w:val="340"/>
          <w:jc w:val="center"/>
        </w:trPr>
        <w:tc>
          <w:tcPr>
            <w:tcW w:w="7654" w:type="dxa"/>
            <w:shd w:val="clear" w:color="auto" w:fill="auto"/>
            <w:vAlign w:val="center"/>
            <w:hideMark/>
          </w:tcPr>
          <w:p w14:paraId="18D05A35" w14:textId="77777777" w:rsidR="005C199B" w:rsidRPr="000A4D50" w:rsidRDefault="005C199B" w:rsidP="00094F6F">
            <w:pPr>
              <w:widowControl w:val="0"/>
              <w:tabs>
                <w:tab w:val="left" w:pos="567"/>
              </w:tabs>
              <w:spacing w:after="0" w:line="240" w:lineRule="auto"/>
              <w:rPr>
                <w:rFonts w:ascii="Times New Roman" w:hAnsi="Times New Roman"/>
                <w:sz w:val="24"/>
                <w:szCs w:val="24"/>
                <w:lang w:eastAsia="en-US" w:bidi="kn-IN"/>
              </w:rPr>
            </w:pPr>
            <w:r w:rsidRPr="000A4D50">
              <w:rPr>
                <w:rFonts w:ascii="Times New Roman" w:hAnsi="Times New Roman"/>
                <w:bCs/>
                <w:sz w:val="24"/>
                <w:szCs w:val="24"/>
                <w:lang w:eastAsia="en-US" w:bidi="kn-IN"/>
              </w:rPr>
              <w:t>Бактерии рода Bifidobacterium</w:t>
            </w:r>
          </w:p>
        </w:tc>
        <w:tc>
          <w:tcPr>
            <w:tcW w:w="1814" w:type="dxa"/>
            <w:shd w:val="clear" w:color="auto" w:fill="auto"/>
            <w:vAlign w:val="center"/>
            <w:hideMark/>
          </w:tcPr>
          <w:p w14:paraId="0C21724F"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vertAlign w:val="superscript"/>
                <w:lang w:eastAsia="en-US" w:bidi="kn-IN"/>
              </w:rPr>
            </w:pPr>
            <w:proofErr w:type="gramStart"/>
            <w:r w:rsidRPr="000A4D50">
              <w:rPr>
                <w:rFonts w:ascii="Times New Roman" w:hAnsi="Times New Roman"/>
                <w:sz w:val="24"/>
                <w:szCs w:val="24"/>
                <w:lang w:eastAsia="en-US" w:bidi="kn-IN"/>
              </w:rPr>
              <w:t>не</w:t>
            </w:r>
            <w:proofErr w:type="gramEnd"/>
            <w:r w:rsidRPr="000A4D50">
              <w:rPr>
                <w:rFonts w:ascii="Times New Roman" w:hAnsi="Times New Roman"/>
                <w:sz w:val="24"/>
                <w:szCs w:val="24"/>
                <w:lang w:eastAsia="en-US" w:bidi="kn-IN"/>
              </w:rPr>
              <w:t xml:space="preserve"> менее 10</w:t>
            </w:r>
            <w:r w:rsidRPr="000A4D50">
              <w:rPr>
                <w:rFonts w:ascii="Times New Roman" w:hAnsi="Times New Roman"/>
                <w:sz w:val="24"/>
                <w:szCs w:val="24"/>
                <w:vertAlign w:val="superscript"/>
                <w:lang w:eastAsia="en-US" w:bidi="kn-IN"/>
              </w:rPr>
              <w:t>7</w:t>
            </w:r>
          </w:p>
        </w:tc>
      </w:tr>
      <w:tr w:rsidR="005C199B" w:rsidRPr="00145B66" w14:paraId="3589D207" w14:textId="77777777" w:rsidTr="00094F6F">
        <w:trPr>
          <w:trHeight w:val="340"/>
          <w:jc w:val="center"/>
        </w:trPr>
        <w:tc>
          <w:tcPr>
            <w:tcW w:w="7654" w:type="dxa"/>
            <w:shd w:val="clear" w:color="auto" w:fill="auto"/>
            <w:vAlign w:val="center"/>
            <w:hideMark/>
          </w:tcPr>
          <w:p w14:paraId="5AC6EC76" w14:textId="77777777" w:rsidR="005C199B" w:rsidRPr="000A4D50" w:rsidRDefault="005C199B" w:rsidP="00094F6F">
            <w:pPr>
              <w:widowControl w:val="0"/>
              <w:tabs>
                <w:tab w:val="left" w:pos="567"/>
              </w:tabs>
              <w:spacing w:after="0" w:line="240" w:lineRule="auto"/>
              <w:rPr>
                <w:rFonts w:ascii="Times New Roman" w:hAnsi="Times New Roman"/>
                <w:sz w:val="24"/>
                <w:szCs w:val="24"/>
                <w:lang w:eastAsia="en-US" w:bidi="kn-IN"/>
              </w:rPr>
            </w:pPr>
            <w:r w:rsidRPr="000A4D50">
              <w:rPr>
                <w:rFonts w:ascii="Times New Roman" w:hAnsi="Times New Roman"/>
                <w:bCs/>
                <w:sz w:val="24"/>
                <w:szCs w:val="24"/>
                <w:lang w:eastAsia="en-US" w:bidi="kn-IN"/>
              </w:rPr>
              <w:t>Бактерии рода Lactobacterium</w:t>
            </w:r>
          </w:p>
        </w:tc>
        <w:tc>
          <w:tcPr>
            <w:tcW w:w="1814" w:type="dxa"/>
            <w:shd w:val="clear" w:color="auto" w:fill="auto"/>
            <w:vAlign w:val="center"/>
            <w:hideMark/>
          </w:tcPr>
          <w:p w14:paraId="1C6A4FF3"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vertAlign w:val="superscript"/>
                <w:lang w:eastAsia="en-US" w:bidi="kn-IN"/>
              </w:rPr>
            </w:pPr>
            <w:proofErr w:type="gramStart"/>
            <w:r w:rsidRPr="000A4D50">
              <w:rPr>
                <w:rFonts w:ascii="Times New Roman" w:hAnsi="Times New Roman"/>
                <w:sz w:val="24"/>
                <w:szCs w:val="24"/>
                <w:lang w:eastAsia="en-US" w:bidi="kn-IN"/>
              </w:rPr>
              <w:t>не</w:t>
            </w:r>
            <w:proofErr w:type="gramEnd"/>
            <w:r w:rsidRPr="000A4D50">
              <w:rPr>
                <w:rFonts w:ascii="Times New Roman" w:hAnsi="Times New Roman"/>
                <w:sz w:val="24"/>
                <w:szCs w:val="24"/>
                <w:lang w:eastAsia="en-US" w:bidi="kn-IN"/>
              </w:rPr>
              <w:t xml:space="preserve"> менее 10</w:t>
            </w:r>
            <w:r w:rsidRPr="000A4D50">
              <w:rPr>
                <w:rFonts w:ascii="Times New Roman" w:hAnsi="Times New Roman"/>
                <w:sz w:val="24"/>
                <w:szCs w:val="24"/>
                <w:vertAlign w:val="superscript"/>
                <w:lang w:eastAsia="en-US" w:bidi="kn-IN"/>
              </w:rPr>
              <w:t>7</w:t>
            </w:r>
          </w:p>
        </w:tc>
      </w:tr>
      <w:tr w:rsidR="005C199B" w:rsidRPr="00145B66" w14:paraId="60196AD1" w14:textId="77777777" w:rsidTr="00094F6F">
        <w:trPr>
          <w:trHeight w:val="340"/>
          <w:jc w:val="center"/>
        </w:trPr>
        <w:tc>
          <w:tcPr>
            <w:tcW w:w="7654" w:type="dxa"/>
            <w:shd w:val="clear" w:color="auto" w:fill="auto"/>
            <w:vAlign w:val="center"/>
            <w:hideMark/>
          </w:tcPr>
          <w:p w14:paraId="034B2B97" w14:textId="77777777" w:rsidR="005C199B" w:rsidRPr="000A4D50" w:rsidRDefault="005C199B" w:rsidP="00094F6F">
            <w:pPr>
              <w:widowControl w:val="0"/>
              <w:tabs>
                <w:tab w:val="left" w:pos="567"/>
              </w:tabs>
              <w:spacing w:after="0" w:line="240" w:lineRule="auto"/>
              <w:rPr>
                <w:rFonts w:ascii="Times New Roman" w:hAnsi="Times New Roman"/>
                <w:sz w:val="24"/>
                <w:szCs w:val="24"/>
                <w:lang w:eastAsia="en-US" w:bidi="kn-IN"/>
              </w:rPr>
            </w:pPr>
            <w:r w:rsidRPr="000A4D50">
              <w:rPr>
                <w:rFonts w:ascii="Times New Roman" w:hAnsi="Times New Roman"/>
                <w:bCs/>
                <w:sz w:val="24"/>
                <w:szCs w:val="24"/>
                <w:lang w:eastAsia="en-US" w:bidi="kn-IN"/>
              </w:rPr>
              <w:t>Общее количество E.coli с типичными свойствами</w:t>
            </w:r>
          </w:p>
        </w:tc>
        <w:tc>
          <w:tcPr>
            <w:tcW w:w="1814" w:type="dxa"/>
            <w:shd w:val="clear" w:color="auto" w:fill="auto"/>
            <w:vAlign w:val="center"/>
            <w:hideMark/>
          </w:tcPr>
          <w:p w14:paraId="75D3F98C"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vertAlign w:val="superscript"/>
                <w:lang w:eastAsia="en-US" w:bidi="kn-IN"/>
              </w:rPr>
            </w:pPr>
            <w:r w:rsidRPr="000A4D50">
              <w:rPr>
                <w:rFonts w:ascii="Times New Roman" w:hAnsi="Times New Roman"/>
                <w:sz w:val="24"/>
                <w:szCs w:val="24"/>
                <w:lang w:eastAsia="en-US" w:bidi="kn-IN"/>
              </w:rPr>
              <w:t>10</w:t>
            </w:r>
            <w:r w:rsidRPr="000A4D50">
              <w:rPr>
                <w:rFonts w:ascii="Times New Roman" w:hAnsi="Times New Roman"/>
                <w:sz w:val="24"/>
                <w:szCs w:val="24"/>
                <w:vertAlign w:val="superscript"/>
                <w:lang w:eastAsia="en-US" w:bidi="kn-IN"/>
              </w:rPr>
              <w:t>7</w:t>
            </w:r>
            <w:r w:rsidRPr="000A4D50">
              <w:rPr>
                <w:rFonts w:ascii="Times New Roman" w:hAnsi="Times New Roman"/>
                <w:sz w:val="24"/>
                <w:szCs w:val="24"/>
                <w:lang w:eastAsia="en-US" w:bidi="kn-IN"/>
              </w:rPr>
              <w:t>-10</w:t>
            </w:r>
            <w:r w:rsidRPr="000A4D50">
              <w:rPr>
                <w:rFonts w:ascii="Times New Roman" w:hAnsi="Times New Roman"/>
                <w:sz w:val="24"/>
                <w:szCs w:val="24"/>
                <w:vertAlign w:val="superscript"/>
                <w:lang w:eastAsia="en-US" w:bidi="kn-IN"/>
              </w:rPr>
              <w:t>8</w:t>
            </w:r>
          </w:p>
        </w:tc>
      </w:tr>
      <w:tr w:rsidR="005C199B" w:rsidRPr="00145B66" w14:paraId="0AFBFA28" w14:textId="77777777" w:rsidTr="00094F6F">
        <w:trPr>
          <w:trHeight w:val="340"/>
          <w:jc w:val="center"/>
        </w:trPr>
        <w:tc>
          <w:tcPr>
            <w:tcW w:w="7654" w:type="dxa"/>
            <w:tcBorders>
              <w:bottom w:val="nil"/>
            </w:tcBorders>
            <w:shd w:val="clear" w:color="auto" w:fill="auto"/>
            <w:vAlign w:val="center"/>
            <w:hideMark/>
          </w:tcPr>
          <w:p w14:paraId="4A23C78A" w14:textId="77777777" w:rsidR="005C199B" w:rsidRPr="000A4D50" w:rsidRDefault="005C199B" w:rsidP="00094F6F">
            <w:pPr>
              <w:widowControl w:val="0"/>
              <w:tabs>
                <w:tab w:val="left" w:pos="567"/>
              </w:tabs>
              <w:spacing w:after="0" w:line="240" w:lineRule="auto"/>
              <w:rPr>
                <w:rFonts w:ascii="Times New Roman" w:hAnsi="Times New Roman"/>
                <w:sz w:val="24"/>
                <w:szCs w:val="24"/>
                <w:lang w:eastAsia="en-US" w:bidi="kn-IN"/>
              </w:rPr>
            </w:pPr>
            <w:r w:rsidRPr="000A4D50">
              <w:rPr>
                <w:rFonts w:ascii="Times New Roman" w:hAnsi="Times New Roman"/>
                <w:bCs/>
                <w:sz w:val="24"/>
                <w:szCs w:val="24"/>
                <w:lang w:eastAsia="en-US" w:bidi="kn-IN"/>
              </w:rPr>
              <w:t>Удельный вес E.coli со слабовыраженными ферментативными свойствами от общего количества E.coli %</w:t>
            </w:r>
          </w:p>
        </w:tc>
        <w:tc>
          <w:tcPr>
            <w:tcW w:w="1814" w:type="dxa"/>
            <w:tcBorders>
              <w:bottom w:val="nil"/>
            </w:tcBorders>
            <w:shd w:val="clear" w:color="auto" w:fill="auto"/>
            <w:vAlign w:val="center"/>
            <w:hideMark/>
          </w:tcPr>
          <w:p w14:paraId="59AADD63"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proofErr w:type="gramStart"/>
            <w:r w:rsidRPr="000A4D50">
              <w:rPr>
                <w:rFonts w:ascii="Times New Roman" w:hAnsi="Times New Roman"/>
                <w:sz w:val="24"/>
                <w:szCs w:val="24"/>
                <w:lang w:eastAsia="en-US" w:bidi="kn-IN"/>
              </w:rPr>
              <w:t>менее</w:t>
            </w:r>
            <w:proofErr w:type="gramEnd"/>
            <w:r w:rsidRPr="000A4D50">
              <w:rPr>
                <w:rFonts w:ascii="Times New Roman" w:hAnsi="Times New Roman"/>
                <w:sz w:val="24"/>
                <w:szCs w:val="24"/>
                <w:lang w:eastAsia="en-US" w:bidi="kn-IN"/>
              </w:rPr>
              <w:t xml:space="preserve"> 10%</w:t>
            </w:r>
          </w:p>
        </w:tc>
      </w:tr>
      <w:tr w:rsidR="005C199B" w:rsidRPr="00145B66" w14:paraId="5CA1AB59" w14:textId="77777777" w:rsidTr="00094F6F">
        <w:trPr>
          <w:trHeight w:val="340"/>
          <w:jc w:val="center"/>
        </w:trPr>
        <w:tc>
          <w:tcPr>
            <w:tcW w:w="7654" w:type="dxa"/>
            <w:tcBorders>
              <w:bottom w:val="single" w:sz="4" w:space="0" w:color="auto"/>
            </w:tcBorders>
            <w:shd w:val="clear" w:color="auto" w:fill="auto"/>
            <w:vAlign w:val="center"/>
            <w:hideMark/>
          </w:tcPr>
          <w:p w14:paraId="7FB8862D" w14:textId="77777777" w:rsidR="005C199B" w:rsidRPr="000A4D50" w:rsidRDefault="005C199B" w:rsidP="00094F6F">
            <w:pPr>
              <w:widowControl w:val="0"/>
              <w:tabs>
                <w:tab w:val="left" w:pos="567"/>
              </w:tabs>
              <w:spacing w:after="0" w:line="240" w:lineRule="auto"/>
              <w:rPr>
                <w:rFonts w:ascii="Times New Roman" w:hAnsi="Times New Roman"/>
                <w:sz w:val="24"/>
                <w:szCs w:val="24"/>
                <w:lang w:eastAsia="en-US" w:bidi="kn-IN"/>
              </w:rPr>
            </w:pPr>
            <w:r w:rsidRPr="000A4D50">
              <w:rPr>
                <w:rFonts w:ascii="Times New Roman" w:hAnsi="Times New Roman"/>
                <w:bCs/>
                <w:sz w:val="24"/>
                <w:szCs w:val="24"/>
                <w:lang w:eastAsia="en-US" w:bidi="kn-IN"/>
              </w:rPr>
              <w:t xml:space="preserve">Удельный вес </w:t>
            </w:r>
            <w:proofErr w:type="spellStart"/>
            <w:r w:rsidRPr="000A4D50">
              <w:rPr>
                <w:rFonts w:ascii="Times New Roman" w:hAnsi="Times New Roman"/>
                <w:bCs/>
                <w:sz w:val="24"/>
                <w:szCs w:val="24"/>
                <w:lang w:eastAsia="en-US" w:bidi="kn-IN"/>
              </w:rPr>
              <w:t>лактозонегативных</w:t>
            </w:r>
            <w:proofErr w:type="spellEnd"/>
            <w:r w:rsidRPr="000A4D50">
              <w:rPr>
                <w:rFonts w:ascii="Times New Roman" w:hAnsi="Times New Roman"/>
                <w:bCs/>
                <w:sz w:val="24"/>
                <w:szCs w:val="24"/>
                <w:lang w:eastAsia="en-US" w:bidi="kn-IN"/>
              </w:rPr>
              <w:t xml:space="preserve"> E.coli от общего количества E.coli %</w:t>
            </w:r>
          </w:p>
        </w:tc>
        <w:tc>
          <w:tcPr>
            <w:tcW w:w="1814" w:type="dxa"/>
            <w:tcBorders>
              <w:bottom w:val="single" w:sz="4" w:space="0" w:color="auto"/>
            </w:tcBorders>
            <w:shd w:val="clear" w:color="auto" w:fill="auto"/>
            <w:vAlign w:val="center"/>
            <w:hideMark/>
          </w:tcPr>
          <w:p w14:paraId="65006EA5"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proofErr w:type="gramStart"/>
            <w:r w:rsidRPr="000A4D50">
              <w:rPr>
                <w:rFonts w:ascii="Times New Roman" w:hAnsi="Times New Roman"/>
                <w:sz w:val="24"/>
                <w:szCs w:val="24"/>
                <w:lang w:eastAsia="en-US" w:bidi="kn-IN"/>
              </w:rPr>
              <w:t>менее</w:t>
            </w:r>
            <w:proofErr w:type="gramEnd"/>
            <w:r w:rsidRPr="000A4D50">
              <w:rPr>
                <w:rFonts w:ascii="Times New Roman" w:hAnsi="Times New Roman"/>
                <w:sz w:val="24"/>
                <w:szCs w:val="24"/>
                <w:lang w:eastAsia="en-US" w:bidi="kn-IN"/>
              </w:rPr>
              <w:t xml:space="preserve"> 5%</w:t>
            </w:r>
          </w:p>
        </w:tc>
      </w:tr>
      <w:tr w:rsidR="005C199B" w:rsidRPr="00145B66" w14:paraId="0E5D8759" w14:textId="77777777" w:rsidTr="00094F6F">
        <w:trPr>
          <w:trHeight w:val="340"/>
          <w:jc w:val="center"/>
        </w:trPr>
        <w:tc>
          <w:tcPr>
            <w:tcW w:w="7654" w:type="dxa"/>
            <w:tcBorders>
              <w:bottom w:val="nil"/>
            </w:tcBorders>
            <w:shd w:val="clear" w:color="auto" w:fill="auto"/>
            <w:vAlign w:val="center"/>
            <w:hideMark/>
          </w:tcPr>
          <w:p w14:paraId="41375564" w14:textId="77777777" w:rsidR="005C199B" w:rsidRPr="000A4D50" w:rsidRDefault="005C199B" w:rsidP="00094F6F">
            <w:pPr>
              <w:widowControl w:val="0"/>
              <w:tabs>
                <w:tab w:val="left" w:pos="567"/>
              </w:tabs>
              <w:spacing w:after="0" w:line="240" w:lineRule="auto"/>
              <w:rPr>
                <w:rFonts w:ascii="Times New Roman" w:hAnsi="Times New Roman"/>
                <w:sz w:val="24"/>
                <w:szCs w:val="24"/>
                <w:lang w:eastAsia="en-US" w:bidi="kn-IN"/>
              </w:rPr>
            </w:pPr>
            <w:r w:rsidRPr="000A4D50">
              <w:rPr>
                <w:rFonts w:ascii="Times New Roman" w:hAnsi="Times New Roman"/>
                <w:bCs/>
                <w:sz w:val="24"/>
                <w:szCs w:val="24"/>
                <w:lang w:eastAsia="en-US" w:bidi="kn-IN"/>
              </w:rPr>
              <w:t>E.coli с гемолитической активностью</w:t>
            </w:r>
          </w:p>
        </w:tc>
        <w:tc>
          <w:tcPr>
            <w:tcW w:w="1814" w:type="dxa"/>
            <w:tcBorders>
              <w:bottom w:val="nil"/>
            </w:tcBorders>
            <w:shd w:val="clear" w:color="auto" w:fill="auto"/>
            <w:vAlign w:val="center"/>
            <w:hideMark/>
          </w:tcPr>
          <w:p w14:paraId="02D3B1ED"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proofErr w:type="gramStart"/>
            <w:r w:rsidRPr="000A4D50">
              <w:rPr>
                <w:rFonts w:ascii="Times New Roman" w:hAnsi="Times New Roman"/>
                <w:sz w:val="24"/>
                <w:szCs w:val="24"/>
                <w:lang w:eastAsia="en-US" w:bidi="kn-IN"/>
              </w:rPr>
              <w:t>отсутствие</w:t>
            </w:r>
            <w:proofErr w:type="gramEnd"/>
          </w:p>
        </w:tc>
      </w:tr>
      <w:tr w:rsidR="005C199B" w:rsidRPr="00145B66" w14:paraId="5436BA45" w14:textId="77777777" w:rsidTr="00094F6F">
        <w:trPr>
          <w:trHeight w:val="340"/>
          <w:jc w:val="center"/>
        </w:trPr>
        <w:tc>
          <w:tcPr>
            <w:tcW w:w="7654" w:type="dxa"/>
            <w:tcBorders>
              <w:top w:val="single" w:sz="4" w:space="0" w:color="auto"/>
            </w:tcBorders>
            <w:shd w:val="clear" w:color="auto" w:fill="auto"/>
            <w:vAlign w:val="center"/>
            <w:hideMark/>
          </w:tcPr>
          <w:p w14:paraId="351E284B" w14:textId="77777777" w:rsidR="005C199B" w:rsidRPr="000A4D50" w:rsidRDefault="005C199B" w:rsidP="00094F6F">
            <w:pPr>
              <w:widowControl w:val="0"/>
              <w:tabs>
                <w:tab w:val="left" w:pos="567"/>
              </w:tabs>
              <w:spacing w:after="0" w:line="240" w:lineRule="auto"/>
              <w:rPr>
                <w:rFonts w:ascii="Times New Roman" w:hAnsi="Times New Roman"/>
                <w:bCs/>
                <w:sz w:val="24"/>
                <w:szCs w:val="24"/>
                <w:lang w:eastAsia="en-US" w:bidi="kn-IN"/>
              </w:rPr>
            </w:pPr>
            <w:r w:rsidRPr="000A4D50">
              <w:rPr>
                <w:rFonts w:ascii="Times New Roman" w:hAnsi="Times New Roman"/>
                <w:bCs/>
                <w:sz w:val="24"/>
                <w:szCs w:val="24"/>
                <w:lang w:eastAsia="en-US" w:bidi="kn-IN"/>
              </w:rPr>
              <w:t>Бактерии рода Proteus</w:t>
            </w:r>
          </w:p>
        </w:tc>
        <w:tc>
          <w:tcPr>
            <w:tcW w:w="1814" w:type="dxa"/>
            <w:tcBorders>
              <w:top w:val="single" w:sz="4" w:space="0" w:color="auto"/>
            </w:tcBorders>
            <w:shd w:val="clear" w:color="auto" w:fill="auto"/>
            <w:vAlign w:val="center"/>
            <w:hideMark/>
          </w:tcPr>
          <w:p w14:paraId="60FC903F"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proofErr w:type="gramStart"/>
            <w:r w:rsidRPr="000A4D50">
              <w:rPr>
                <w:rFonts w:ascii="Times New Roman" w:hAnsi="Times New Roman"/>
                <w:sz w:val="24"/>
                <w:szCs w:val="24"/>
                <w:lang w:eastAsia="en-US" w:bidi="kn-IN"/>
              </w:rPr>
              <w:t>менее</w:t>
            </w:r>
            <w:proofErr w:type="gramEnd"/>
            <w:r w:rsidRPr="000A4D50">
              <w:rPr>
                <w:rFonts w:ascii="Times New Roman" w:hAnsi="Times New Roman"/>
                <w:sz w:val="24"/>
                <w:szCs w:val="24"/>
                <w:lang w:eastAsia="en-US" w:bidi="kn-IN"/>
              </w:rPr>
              <w:t xml:space="preserve"> 10</w:t>
            </w:r>
            <w:r w:rsidRPr="000A4D50">
              <w:rPr>
                <w:rFonts w:ascii="Times New Roman" w:hAnsi="Times New Roman"/>
                <w:sz w:val="24"/>
                <w:szCs w:val="24"/>
                <w:vertAlign w:val="superscript"/>
                <w:lang w:eastAsia="en-US" w:bidi="kn-IN"/>
              </w:rPr>
              <w:t>4</w:t>
            </w:r>
          </w:p>
        </w:tc>
      </w:tr>
      <w:tr w:rsidR="005C199B" w:rsidRPr="00145B66" w14:paraId="4FED7699" w14:textId="77777777" w:rsidTr="00094F6F">
        <w:trPr>
          <w:trHeight w:val="340"/>
          <w:jc w:val="center"/>
        </w:trPr>
        <w:tc>
          <w:tcPr>
            <w:tcW w:w="7654" w:type="dxa"/>
            <w:shd w:val="clear" w:color="auto" w:fill="auto"/>
            <w:vAlign w:val="center"/>
            <w:hideMark/>
          </w:tcPr>
          <w:p w14:paraId="5294CCCC" w14:textId="77777777" w:rsidR="005C199B" w:rsidRPr="000A4D50" w:rsidRDefault="005C199B" w:rsidP="00094F6F">
            <w:pPr>
              <w:widowControl w:val="0"/>
              <w:tabs>
                <w:tab w:val="left" w:pos="567"/>
              </w:tabs>
              <w:spacing w:after="0" w:line="240" w:lineRule="auto"/>
              <w:rPr>
                <w:rFonts w:ascii="Times New Roman" w:hAnsi="Times New Roman"/>
                <w:bCs/>
                <w:sz w:val="24"/>
                <w:szCs w:val="24"/>
                <w:lang w:eastAsia="en-US" w:bidi="kn-IN"/>
              </w:rPr>
            </w:pPr>
            <w:r w:rsidRPr="000A4D50">
              <w:rPr>
                <w:rFonts w:ascii="Times New Roman" w:hAnsi="Times New Roman"/>
                <w:bCs/>
                <w:sz w:val="24"/>
                <w:szCs w:val="24"/>
                <w:lang w:eastAsia="en-US" w:bidi="kn-IN"/>
              </w:rPr>
              <w:t>Другие условно-патогенные энтеробактерии</w:t>
            </w:r>
          </w:p>
        </w:tc>
        <w:tc>
          <w:tcPr>
            <w:tcW w:w="1814" w:type="dxa"/>
            <w:shd w:val="clear" w:color="auto" w:fill="auto"/>
            <w:vAlign w:val="center"/>
            <w:hideMark/>
          </w:tcPr>
          <w:p w14:paraId="31817EE2"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proofErr w:type="gramStart"/>
            <w:r w:rsidRPr="000A4D50">
              <w:rPr>
                <w:rFonts w:ascii="Times New Roman" w:hAnsi="Times New Roman"/>
                <w:sz w:val="24"/>
                <w:szCs w:val="24"/>
                <w:lang w:eastAsia="en-US" w:bidi="kn-IN"/>
              </w:rPr>
              <w:t>менее</w:t>
            </w:r>
            <w:proofErr w:type="gramEnd"/>
            <w:r w:rsidRPr="000A4D50">
              <w:rPr>
                <w:rFonts w:ascii="Times New Roman" w:hAnsi="Times New Roman"/>
                <w:sz w:val="24"/>
                <w:szCs w:val="24"/>
                <w:lang w:eastAsia="en-US" w:bidi="kn-IN"/>
              </w:rPr>
              <w:t xml:space="preserve"> 10</w:t>
            </w:r>
            <w:r w:rsidRPr="000A4D50">
              <w:rPr>
                <w:rFonts w:ascii="Times New Roman" w:hAnsi="Times New Roman"/>
                <w:sz w:val="24"/>
                <w:szCs w:val="24"/>
                <w:vertAlign w:val="superscript"/>
                <w:lang w:eastAsia="en-US" w:bidi="kn-IN"/>
              </w:rPr>
              <w:t>4</w:t>
            </w:r>
          </w:p>
        </w:tc>
      </w:tr>
      <w:tr w:rsidR="005C199B" w:rsidRPr="00145B66" w14:paraId="46A14570" w14:textId="77777777" w:rsidTr="00094F6F">
        <w:trPr>
          <w:trHeight w:val="340"/>
          <w:jc w:val="center"/>
        </w:trPr>
        <w:tc>
          <w:tcPr>
            <w:tcW w:w="7654" w:type="dxa"/>
            <w:shd w:val="clear" w:color="auto" w:fill="auto"/>
            <w:vAlign w:val="center"/>
            <w:hideMark/>
          </w:tcPr>
          <w:p w14:paraId="63EBA4E5" w14:textId="77777777" w:rsidR="005C199B" w:rsidRPr="000A4D50" w:rsidRDefault="005C199B" w:rsidP="00094F6F">
            <w:pPr>
              <w:widowControl w:val="0"/>
              <w:tabs>
                <w:tab w:val="left" w:pos="567"/>
              </w:tabs>
              <w:spacing w:after="0" w:line="240" w:lineRule="auto"/>
              <w:rPr>
                <w:rFonts w:ascii="Times New Roman" w:hAnsi="Times New Roman"/>
                <w:bCs/>
                <w:sz w:val="24"/>
                <w:szCs w:val="24"/>
                <w:lang w:eastAsia="en-US" w:bidi="kn-IN"/>
              </w:rPr>
            </w:pPr>
            <w:r w:rsidRPr="000A4D50">
              <w:rPr>
                <w:rFonts w:ascii="Times New Roman" w:hAnsi="Times New Roman"/>
                <w:bCs/>
                <w:sz w:val="24"/>
                <w:szCs w:val="24"/>
                <w:lang w:eastAsia="en-US" w:bidi="kn-IN"/>
              </w:rPr>
              <w:t>Бактерии рода Staphylococcus</w:t>
            </w:r>
          </w:p>
        </w:tc>
        <w:tc>
          <w:tcPr>
            <w:tcW w:w="1814" w:type="dxa"/>
            <w:shd w:val="clear" w:color="auto" w:fill="auto"/>
            <w:vAlign w:val="center"/>
            <w:hideMark/>
          </w:tcPr>
          <w:p w14:paraId="6221D2CF"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proofErr w:type="gramStart"/>
            <w:r w:rsidRPr="000A4D50">
              <w:rPr>
                <w:rFonts w:ascii="Times New Roman" w:hAnsi="Times New Roman"/>
                <w:sz w:val="24"/>
                <w:szCs w:val="24"/>
                <w:lang w:eastAsia="en-US" w:bidi="kn-IN"/>
              </w:rPr>
              <w:t>менее</w:t>
            </w:r>
            <w:proofErr w:type="gramEnd"/>
            <w:r w:rsidRPr="000A4D50">
              <w:rPr>
                <w:rFonts w:ascii="Times New Roman" w:hAnsi="Times New Roman"/>
                <w:sz w:val="24"/>
                <w:szCs w:val="24"/>
                <w:lang w:eastAsia="en-US" w:bidi="kn-IN"/>
              </w:rPr>
              <w:t xml:space="preserve"> 10</w:t>
            </w:r>
            <w:r w:rsidRPr="000A4D50">
              <w:rPr>
                <w:rFonts w:ascii="Times New Roman" w:hAnsi="Times New Roman"/>
                <w:sz w:val="24"/>
                <w:szCs w:val="24"/>
                <w:vertAlign w:val="superscript"/>
                <w:lang w:eastAsia="en-US" w:bidi="kn-IN"/>
              </w:rPr>
              <w:t>4</w:t>
            </w:r>
          </w:p>
        </w:tc>
      </w:tr>
      <w:tr w:rsidR="005C199B" w:rsidRPr="00145B66" w14:paraId="4C9B95A5" w14:textId="77777777" w:rsidTr="00094F6F">
        <w:trPr>
          <w:trHeight w:val="340"/>
          <w:jc w:val="center"/>
        </w:trPr>
        <w:tc>
          <w:tcPr>
            <w:tcW w:w="7654" w:type="dxa"/>
            <w:tcBorders>
              <w:bottom w:val="nil"/>
            </w:tcBorders>
            <w:shd w:val="clear" w:color="auto" w:fill="auto"/>
            <w:vAlign w:val="center"/>
            <w:hideMark/>
          </w:tcPr>
          <w:p w14:paraId="33F1A54B" w14:textId="77777777" w:rsidR="005C199B" w:rsidRPr="000A4D50" w:rsidRDefault="005C199B" w:rsidP="00094F6F">
            <w:pPr>
              <w:widowControl w:val="0"/>
              <w:tabs>
                <w:tab w:val="left" w:pos="567"/>
              </w:tabs>
              <w:spacing w:after="0" w:line="240" w:lineRule="auto"/>
              <w:rPr>
                <w:rFonts w:ascii="Times New Roman" w:hAnsi="Times New Roman"/>
                <w:bCs/>
                <w:sz w:val="24"/>
                <w:szCs w:val="24"/>
                <w:lang w:eastAsia="en-US" w:bidi="kn-IN"/>
              </w:rPr>
            </w:pPr>
            <w:r w:rsidRPr="000A4D50">
              <w:rPr>
                <w:rFonts w:ascii="Times New Roman" w:hAnsi="Times New Roman"/>
                <w:bCs/>
                <w:sz w:val="24"/>
                <w:szCs w:val="24"/>
                <w:lang w:eastAsia="en-US" w:bidi="kn-IN"/>
              </w:rPr>
              <w:t>Staphylococcus aureus</w:t>
            </w:r>
          </w:p>
        </w:tc>
        <w:tc>
          <w:tcPr>
            <w:tcW w:w="1814" w:type="dxa"/>
            <w:tcBorders>
              <w:bottom w:val="nil"/>
            </w:tcBorders>
            <w:shd w:val="clear" w:color="auto" w:fill="auto"/>
            <w:vAlign w:val="center"/>
            <w:hideMark/>
          </w:tcPr>
          <w:p w14:paraId="585EEC49"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proofErr w:type="gramStart"/>
            <w:r w:rsidRPr="000A4D50">
              <w:rPr>
                <w:rFonts w:ascii="Times New Roman" w:hAnsi="Times New Roman"/>
                <w:sz w:val="24"/>
                <w:szCs w:val="24"/>
                <w:lang w:eastAsia="en-US" w:bidi="kn-IN"/>
              </w:rPr>
              <w:t>отсутствие</w:t>
            </w:r>
            <w:proofErr w:type="gramEnd"/>
          </w:p>
        </w:tc>
      </w:tr>
      <w:tr w:rsidR="005C199B" w:rsidRPr="00145B66" w14:paraId="04D2A4C4" w14:textId="77777777" w:rsidTr="00094F6F">
        <w:trPr>
          <w:trHeight w:val="340"/>
          <w:jc w:val="center"/>
        </w:trPr>
        <w:tc>
          <w:tcPr>
            <w:tcW w:w="7654" w:type="dxa"/>
            <w:tcBorders>
              <w:top w:val="single" w:sz="4" w:space="0" w:color="auto"/>
            </w:tcBorders>
            <w:shd w:val="clear" w:color="auto" w:fill="auto"/>
            <w:vAlign w:val="center"/>
            <w:hideMark/>
          </w:tcPr>
          <w:p w14:paraId="07C8AEB7" w14:textId="77777777" w:rsidR="005C199B" w:rsidRPr="000A4D50" w:rsidRDefault="005C199B" w:rsidP="00094F6F">
            <w:pPr>
              <w:widowControl w:val="0"/>
              <w:tabs>
                <w:tab w:val="left" w:pos="567"/>
              </w:tabs>
              <w:spacing w:after="0" w:line="240" w:lineRule="auto"/>
              <w:rPr>
                <w:rFonts w:ascii="Times New Roman" w:hAnsi="Times New Roman"/>
                <w:bCs/>
                <w:sz w:val="24"/>
                <w:szCs w:val="24"/>
                <w:lang w:eastAsia="en-US" w:bidi="kn-IN"/>
              </w:rPr>
            </w:pPr>
            <w:r w:rsidRPr="000A4D50">
              <w:rPr>
                <w:rFonts w:ascii="Times New Roman" w:hAnsi="Times New Roman"/>
                <w:bCs/>
                <w:sz w:val="24"/>
                <w:szCs w:val="24"/>
                <w:lang w:eastAsia="en-US" w:bidi="kn-IN"/>
              </w:rPr>
              <w:t>Бактерии рода Enterococcus</w:t>
            </w:r>
          </w:p>
        </w:tc>
        <w:tc>
          <w:tcPr>
            <w:tcW w:w="1814" w:type="dxa"/>
            <w:tcBorders>
              <w:top w:val="single" w:sz="4" w:space="0" w:color="auto"/>
            </w:tcBorders>
            <w:shd w:val="clear" w:color="auto" w:fill="auto"/>
            <w:vAlign w:val="center"/>
            <w:hideMark/>
          </w:tcPr>
          <w:p w14:paraId="38E358CE"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vertAlign w:val="superscript"/>
                <w:lang w:eastAsia="en-US" w:bidi="kn-IN"/>
              </w:rPr>
            </w:pPr>
            <w:r w:rsidRPr="000A4D50">
              <w:rPr>
                <w:rFonts w:ascii="Times New Roman" w:hAnsi="Times New Roman"/>
                <w:sz w:val="24"/>
                <w:szCs w:val="24"/>
                <w:lang w:eastAsia="en-US" w:bidi="kn-IN"/>
              </w:rPr>
              <w:t>10</w:t>
            </w:r>
            <w:r w:rsidRPr="000A4D50">
              <w:rPr>
                <w:rFonts w:ascii="Times New Roman" w:hAnsi="Times New Roman"/>
                <w:sz w:val="24"/>
                <w:szCs w:val="24"/>
                <w:vertAlign w:val="superscript"/>
                <w:lang w:eastAsia="en-US" w:bidi="kn-IN"/>
              </w:rPr>
              <w:t>5</w:t>
            </w:r>
            <w:r w:rsidRPr="000A4D50">
              <w:rPr>
                <w:rFonts w:ascii="Times New Roman" w:hAnsi="Times New Roman"/>
                <w:sz w:val="24"/>
                <w:szCs w:val="24"/>
                <w:lang w:eastAsia="en-US" w:bidi="kn-IN"/>
              </w:rPr>
              <w:t>-10</w:t>
            </w:r>
            <w:r w:rsidRPr="000A4D50">
              <w:rPr>
                <w:rFonts w:ascii="Times New Roman" w:hAnsi="Times New Roman"/>
                <w:sz w:val="24"/>
                <w:szCs w:val="24"/>
                <w:vertAlign w:val="superscript"/>
                <w:lang w:eastAsia="en-US" w:bidi="kn-IN"/>
              </w:rPr>
              <w:t>8</w:t>
            </w:r>
          </w:p>
        </w:tc>
      </w:tr>
      <w:tr w:rsidR="005C199B" w:rsidRPr="00145B66" w14:paraId="368306BD" w14:textId="77777777" w:rsidTr="00094F6F">
        <w:trPr>
          <w:trHeight w:val="340"/>
          <w:jc w:val="center"/>
        </w:trPr>
        <w:tc>
          <w:tcPr>
            <w:tcW w:w="7654" w:type="dxa"/>
            <w:shd w:val="clear" w:color="auto" w:fill="auto"/>
            <w:vAlign w:val="center"/>
            <w:hideMark/>
          </w:tcPr>
          <w:p w14:paraId="2007A316" w14:textId="77777777" w:rsidR="005C199B" w:rsidRPr="000A4D50" w:rsidRDefault="005C199B" w:rsidP="00094F6F">
            <w:pPr>
              <w:widowControl w:val="0"/>
              <w:tabs>
                <w:tab w:val="left" w:pos="567"/>
              </w:tabs>
              <w:spacing w:after="0" w:line="240" w:lineRule="auto"/>
              <w:rPr>
                <w:rFonts w:ascii="Times New Roman" w:hAnsi="Times New Roman"/>
                <w:bCs/>
                <w:sz w:val="24"/>
                <w:szCs w:val="24"/>
                <w:lang w:eastAsia="en-US" w:bidi="kn-IN"/>
              </w:rPr>
            </w:pPr>
            <w:r w:rsidRPr="000A4D50">
              <w:rPr>
                <w:rFonts w:ascii="Times New Roman" w:hAnsi="Times New Roman"/>
                <w:bCs/>
                <w:sz w:val="24"/>
                <w:szCs w:val="24"/>
                <w:lang w:eastAsia="en-US" w:bidi="kn-IN"/>
              </w:rPr>
              <w:t>Гемолитические кокки</w:t>
            </w:r>
          </w:p>
        </w:tc>
        <w:tc>
          <w:tcPr>
            <w:tcW w:w="1814" w:type="dxa"/>
            <w:shd w:val="clear" w:color="auto" w:fill="auto"/>
            <w:vAlign w:val="center"/>
            <w:hideMark/>
          </w:tcPr>
          <w:p w14:paraId="60083917"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proofErr w:type="gramStart"/>
            <w:r w:rsidRPr="000A4D50">
              <w:rPr>
                <w:rFonts w:ascii="Times New Roman" w:hAnsi="Times New Roman"/>
                <w:sz w:val="24"/>
                <w:szCs w:val="24"/>
                <w:lang w:eastAsia="en-US" w:bidi="kn-IN"/>
              </w:rPr>
              <w:t>отсутствие</w:t>
            </w:r>
            <w:proofErr w:type="gramEnd"/>
          </w:p>
        </w:tc>
      </w:tr>
      <w:tr w:rsidR="005C199B" w:rsidRPr="00145B66" w14:paraId="07F08096" w14:textId="77777777" w:rsidTr="00094F6F">
        <w:trPr>
          <w:trHeight w:val="340"/>
          <w:jc w:val="center"/>
        </w:trPr>
        <w:tc>
          <w:tcPr>
            <w:tcW w:w="7654" w:type="dxa"/>
            <w:shd w:val="clear" w:color="auto" w:fill="auto"/>
            <w:vAlign w:val="center"/>
            <w:hideMark/>
          </w:tcPr>
          <w:p w14:paraId="5BA66344" w14:textId="77777777" w:rsidR="005C199B" w:rsidRPr="000A4D50" w:rsidRDefault="005C199B" w:rsidP="00094F6F">
            <w:pPr>
              <w:widowControl w:val="0"/>
              <w:tabs>
                <w:tab w:val="left" w:pos="567"/>
              </w:tabs>
              <w:spacing w:after="0" w:line="240" w:lineRule="auto"/>
              <w:rPr>
                <w:rFonts w:ascii="Times New Roman" w:hAnsi="Times New Roman"/>
                <w:bCs/>
                <w:sz w:val="24"/>
                <w:szCs w:val="24"/>
                <w:lang w:eastAsia="en-US" w:bidi="kn-IN"/>
              </w:rPr>
            </w:pPr>
            <w:r w:rsidRPr="000A4D50">
              <w:rPr>
                <w:rFonts w:ascii="Times New Roman" w:hAnsi="Times New Roman"/>
                <w:bCs/>
                <w:sz w:val="24"/>
                <w:szCs w:val="24"/>
                <w:lang w:eastAsia="en-US" w:bidi="kn-IN"/>
              </w:rPr>
              <w:t>Грибы рода Candida</w:t>
            </w:r>
          </w:p>
        </w:tc>
        <w:tc>
          <w:tcPr>
            <w:tcW w:w="1814" w:type="dxa"/>
            <w:shd w:val="clear" w:color="auto" w:fill="auto"/>
            <w:vAlign w:val="center"/>
            <w:hideMark/>
          </w:tcPr>
          <w:p w14:paraId="193B030B"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r w:rsidRPr="000A4D50">
              <w:rPr>
                <w:rFonts w:ascii="Times New Roman" w:hAnsi="Times New Roman"/>
                <w:sz w:val="24"/>
                <w:szCs w:val="24"/>
                <w:lang w:eastAsia="en-US" w:bidi="kn-IN"/>
              </w:rPr>
              <w:t>10</w:t>
            </w:r>
            <w:r w:rsidRPr="000A4D50">
              <w:rPr>
                <w:rFonts w:ascii="Times New Roman" w:hAnsi="Times New Roman"/>
                <w:sz w:val="24"/>
                <w:szCs w:val="24"/>
                <w:vertAlign w:val="superscript"/>
                <w:lang w:eastAsia="en-US" w:bidi="kn-IN"/>
              </w:rPr>
              <w:t>5</w:t>
            </w:r>
          </w:p>
        </w:tc>
      </w:tr>
      <w:tr w:rsidR="005C199B" w:rsidRPr="00145B66" w14:paraId="7A90518E" w14:textId="77777777" w:rsidTr="00094F6F">
        <w:trPr>
          <w:trHeight w:val="340"/>
          <w:jc w:val="center"/>
        </w:trPr>
        <w:tc>
          <w:tcPr>
            <w:tcW w:w="7654" w:type="dxa"/>
            <w:shd w:val="clear" w:color="auto" w:fill="auto"/>
            <w:vAlign w:val="center"/>
            <w:hideMark/>
          </w:tcPr>
          <w:p w14:paraId="3081A7D3" w14:textId="77777777" w:rsidR="005C199B" w:rsidRPr="000A4D50" w:rsidRDefault="005C199B" w:rsidP="00094F6F">
            <w:pPr>
              <w:widowControl w:val="0"/>
              <w:tabs>
                <w:tab w:val="left" w:pos="567"/>
              </w:tabs>
              <w:spacing w:after="0" w:line="240" w:lineRule="auto"/>
              <w:rPr>
                <w:rFonts w:ascii="Times New Roman" w:hAnsi="Times New Roman"/>
                <w:bCs/>
                <w:sz w:val="24"/>
                <w:szCs w:val="24"/>
                <w:lang w:eastAsia="en-US" w:bidi="kn-IN"/>
              </w:rPr>
            </w:pPr>
            <w:r w:rsidRPr="000A4D50">
              <w:rPr>
                <w:rFonts w:ascii="Times New Roman" w:hAnsi="Times New Roman"/>
                <w:bCs/>
                <w:sz w:val="24"/>
                <w:szCs w:val="24"/>
                <w:lang w:eastAsia="en-US" w:bidi="kn-IN"/>
              </w:rPr>
              <w:t xml:space="preserve">Бактерии рода </w:t>
            </w:r>
            <w:proofErr w:type="spellStart"/>
            <w:r w:rsidRPr="000A4D50">
              <w:rPr>
                <w:rFonts w:ascii="Times New Roman" w:hAnsi="Times New Roman"/>
                <w:bCs/>
                <w:sz w:val="24"/>
                <w:szCs w:val="24"/>
                <w:lang w:eastAsia="en-US" w:bidi="kn-IN"/>
              </w:rPr>
              <w:t>Clostridium</w:t>
            </w:r>
            <w:proofErr w:type="spellEnd"/>
          </w:p>
        </w:tc>
        <w:tc>
          <w:tcPr>
            <w:tcW w:w="1814" w:type="dxa"/>
            <w:shd w:val="clear" w:color="auto" w:fill="auto"/>
            <w:vAlign w:val="center"/>
            <w:hideMark/>
          </w:tcPr>
          <w:p w14:paraId="79101F5E"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r w:rsidRPr="000A4D50">
              <w:rPr>
                <w:rFonts w:ascii="Times New Roman" w:hAnsi="Times New Roman"/>
                <w:sz w:val="24"/>
                <w:szCs w:val="24"/>
                <w:lang w:eastAsia="en-US" w:bidi="kn-IN"/>
              </w:rPr>
              <w:t>10</w:t>
            </w:r>
            <w:r w:rsidRPr="000A4D50">
              <w:rPr>
                <w:rFonts w:ascii="Times New Roman" w:hAnsi="Times New Roman"/>
                <w:sz w:val="24"/>
                <w:szCs w:val="24"/>
                <w:vertAlign w:val="superscript"/>
                <w:lang w:eastAsia="en-US" w:bidi="kn-IN"/>
              </w:rPr>
              <w:t>5</w:t>
            </w:r>
          </w:p>
        </w:tc>
      </w:tr>
      <w:tr w:rsidR="005C199B" w:rsidRPr="00145B66" w14:paraId="7543FF07" w14:textId="77777777" w:rsidTr="00094F6F">
        <w:trPr>
          <w:trHeight w:val="340"/>
          <w:jc w:val="center"/>
        </w:trPr>
        <w:tc>
          <w:tcPr>
            <w:tcW w:w="7654" w:type="dxa"/>
            <w:shd w:val="clear" w:color="auto" w:fill="auto"/>
            <w:vAlign w:val="center"/>
            <w:hideMark/>
          </w:tcPr>
          <w:p w14:paraId="0D95B0E5" w14:textId="77777777" w:rsidR="005C199B" w:rsidRPr="000A4D50" w:rsidRDefault="005C199B" w:rsidP="00094F6F">
            <w:pPr>
              <w:widowControl w:val="0"/>
              <w:tabs>
                <w:tab w:val="left" w:pos="567"/>
              </w:tabs>
              <w:spacing w:after="0" w:line="240" w:lineRule="auto"/>
              <w:rPr>
                <w:rFonts w:ascii="Times New Roman" w:hAnsi="Times New Roman"/>
                <w:bCs/>
                <w:sz w:val="24"/>
                <w:szCs w:val="24"/>
                <w:lang w:eastAsia="en-US" w:bidi="kn-IN"/>
              </w:rPr>
            </w:pPr>
            <w:r w:rsidRPr="000A4D50">
              <w:rPr>
                <w:rFonts w:ascii="Times New Roman" w:hAnsi="Times New Roman"/>
                <w:bCs/>
                <w:sz w:val="24"/>
                <w:szCs w:val="24"/>
                <w:lang w:eastAsia="en-US" w:bidi="kn-IN"/>
              </w:rPr>
              <w:t>НГОБ (</w:t>
            </w:r>
            <w:proofErr w:type="spellStart"/>
            <w:r w:rsidRPr="000A4D50">
              <w:rPr>
                <w:rFonts w:ascii="Times New Roman" w:hAnsi="Times New Roman"/>
                <w:bCs/>
                <w:sz w:val="24"/>
                <w:szCs w:val="24"/>
                <w:lang w:eastAsia="en-US" w:bidi="kn-IN"/>
              </w:rPr>
              <w:t>неферментирующие</w:t>
            </w:r>
            <w:proofErr w:type="spellEnd"/>
            <w:r w:rsidRPr="000A4D50">
              <w:rPr>
                <w:rFonts w:ascii="Times New Roman" w:hAnsi="Times New Roman"/>
                <w:bCs/>
                <w:sz w:val="24"/>
                <w:szCs w:val="24"/>
                <w:lang w:eastAsia="en-US" w:bidi="kn-IN"/>
              </w:rPr>
              <w:t xml:space="preserve"> грамотрицательные бактерии)</w:t>
            </w:r>
          </w:p>
        </w:tc>
        <w:tc>
          <w:tcPr>
            <w:tcW w:w="1814" w:type="dxa"/>
            <w:shd w:val="clear" w:color="auto" w:fill="auto"/>
            <w:vAlign w:val="center"/>
            <w:hideMark/>
          </w:tcPr>
          <w:p w14:paraId="42B001DB" w14:textId="77777777" w:rsidR="005C199B" w:rsidRPr="000A4D50" w:rsidRDefault="005C199B" w:rsidP="00094F6F">
            <w:pPr>
              <w:widowControl w:val="0"/>
              <w:tabs>
                <w:tab w:val="left" w:pos="567"/>
              </w:tabs>
              <w:spacing w:after="0" w:line="240" w:lineRule="auto"/>
              <w:jc w:val="center"/>
              <w:rPr>
                <w:rFonts w:ascii="Times New Roman" w:hAnsi="Times New Roman"/>
                <w:sz w:val="24"/>
                <w:szCs w:val="24"/>
                <w:lang w:eastAsia="en-US" w:bidi="kn-IN"/>
              </w:rPr>
            </w:pPr>
            <w:proofErr w:type="gramStart"/>
            <w:r w:rsidRPr="000A4D50">
              <w:rPr>
                <w:rFonts w:ascii="Times New Roman" w:hAnsi="Times New Roman"/>
                <w:sz w:val="24"/>
                <w:szCs w:val="24"/>
                <w:lang w:eastAsia="en-US" w:bidi="kn-IN"/>
              </w:rPr>
              <w:t>менее</w:t>
            </w:r>
            <w:proofErr w:type="gramEnd"/>
            <w:r w:rsidRPr="000A4D50">
              <w:rPr>
                <w:rFonts w:ascii="Times New Roman" w:hAnsi="Times New Roman"/>
                <w:sz w:val="24"/>
                <w:szCs w:val="24"/>
                <w:lang w:eastAsia="en-US" w:bidi="kn-IN"/>
              </w:rPr>
              <w:t xml:space="preserve"> 10</w:t>
            </w:r>
            <w:r w:rsidRPr="000A4D50">
              <w:rPr>
                <w:rFonts w:ascii="Times New Roman" w:hAnsi="Times New Roman"/>
                <w:sz w:val="24"/>
                <w:szCs w:val="24"/>
                <w:vertAlign w:val="superscript"/>
                <w:lang w:eastAsia="en-US" w:bidi="kn-IN"/>
              </w:rPr>
              <w:t>4</w:t>
            </w:r>
          </w:p>
        </w:tc>
      </w:tr>
    </w:tbl>
    <w:p w14:paraId="4C9BB2E4" w14:textId="77777777" w:rsidR="005C199B" w:rsidRPr="00145B66" w:rsidRDefault="005C199B" w:rsidP="005C199B">
      <w:pPr>
        <w:widowControl w:val="0"/>
        <w:spacing w:after="0" w:line="240" w:lineRule="auto"/>
        <w:ind w:firstLine="567"/>
        <w:jc w:val="both"/>
        <w:rPr>
          <w:rFonts w:ascii="Times New Roman" w:hAnsi="Times New Roman"/>
          <w:sz w:val="28"/>
          <w:szCs w:val="28"/>
          <w:lang w:val="kk-KZ" w:eastAsia="en-US"/>
        </w:rPr>
      </w:pPr>
    </w:p>
    <w:p w14:paraId="0C2ABEB5" w14:textId="77777777" w:rsidR="005C199B" w:rsidRDefault="005C199B" w:rsidP="005C199B">
      <w:pPr>
        <w:widowControl w:val="0"/>
        <w:spacing w:after="0" w:line="240" w:lineRule="auto"/>
        <w:ind w:firstLine="567"/>
        <w:jc w:val="both"/>
        <w:rPr>
          <w:rFonts w:ascii="Times New Roman" w:hAnsi="Times New Roman"/>
          <w:sz w:val="28"/>
          <w:szCs w:val="28"/>
          <w:lang w:val="kk-KZ" w:eastAsia="en-US"/>
        </w:rPr>
      </w:pPr>
    </w:p>
    <w:p w14:paraId="5EE2CC1E" w14:textId="77777777" w:rsidR="005C199B" w:rsidRPr="00521A0C" w:rsidRDefault="005C199B" w:rsidP="005C199B">
      <w:pPr>
        <w:widowControl w:val="0"/>
        <w:spacing w:after="0" w:line="240" w:lineRule="auto"/>
        <w:ind w:firstLine="567"/>
        <w:jc w:val="both"/>
        <w:rPr>
          <w:rFonts w:ascii="Times New Roman" w:hAnsi="Times New Roman"/>
          <w:sz w:val="28"/>
          <w:szCs w:val="28"/>
        </w:rPr>
      </w:pPr>
      <w:r w:rsidRPr="00521A0C">
        <w:rPr>
          <w:rFonts w:ascii="Times New Roman" w:hAnsi="Times New Roman"/>
          <w:sz w:val="28"/>
          <w:szCs w:val="28"/>
          <w:lang w:val="kk-KZ" w:eastAsia="en-US"/>
        </w:rPr>
        <w:t xml:space="preserve">Микроскопические исследование кала </w:t>
      </w:r>
      <w:r w:rsidRPr="00521A0C">
        <w:rPr>
          <w:rFonts w:ascii="Times New Roman" w:hAnsi="Times New Roman"/>
          <w:sz w:val="28"/>
          <w:szCs w:val="28"/>
          <w:lang w:eastAsia="en-US"/>
        </w:rPr>
        <w:t>(</w:t>
      </w:r>
      <w:proofErr w:type="spellStart"/>
      <w:r w:rsidRPr="00521A0C">
        <w:rPr>
          <w:rFonts w:ascii="Times New Roman" w:hAnsi="Times New Roman"/>
          <w:sz w:val="28"/>
          <w:szCs w:val="28"/>
          <w:lang w:eastAsia="en-US"/>
        </w:rPr>
        <w:t>копрограмма</w:t>
      </w:r>
      <w:proofErr w:type="spellEnd"/>
      <w:r w:rsidRPr="00521A0C">
        <w:rPr>
          <w:rFonts w:ascii="Times New Roman" w:hAnsi="Times New Roman"/>
          <w:sz w:val="28"/>
          <w:szCs w:val="28"/>
          <w:lang w:eastAsia="en-US"/>
        </w:rPr>
        <w:t xml:space="preserve">): материал-нативные фекалий в стерильном контейнере, доставленные в лабораторию в день сбора. </w:t>
      </w:r>
    </w:p>
    <w:p w14:paraId="3DBD74BD" w14:textId="77777777" w:rsidR="005C199B" w:rsidRPr="00521A0C"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i/>
          <w:sz w:val="28"/>
          <w:szCs w:val="28"/>
        </w:rPr>
      </w:pPr>
      <w:r w:rsidRPr="00521A0C">
        <w:rPr>
          <w:rFonts w:ascii="Times New Roman" w:hAnsi="Times New Roman"/>
          <w:i/>
          <w:sz w:val="28"/>
          <w:szCs w:val="28"/>
        </w:rPr>
        <w:t>Лабораторные методы диагностики</w:t>
      </w:r>
    </w:p>
    <w:p w14:paraId="28344855" w14:textId="77777777" w:rsidR="005C199B" w:rsidRPr="00521A0C"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bCs/>
          <w:sz w:val="28"/>
          <w:szCs w:val="28"/>
        </w:rPr>
      </w:pPr>
      <w:r w:rsidRPr="00521A0C">
        <w:rPr>
          <w:rFonts w:ascii="Times New Roman" w:hAnsi="Times New Roman"/>
          <w:bCs/>
          <w:sz w:val="28"/>
          <w:szCs w:val="28"/>
        </w:rPr>
        <w:t xml:space="preserve">В сыворотке крови больных определялся уровень натрия, калия, хлоридов, кальция, магния и фосфора каждые 3 месяца в течение первого года после хирургического лечения рака ободочной кишки. Референсные значениями натрия – 136–145 ммоль/л, калия – 3,5-5,1 ммоль/л, хлора – 98-111 ммоль/л, общего кальция – 2,2-2,55 ммоль/л, магния – 0,85-1,15 ммоль/л, фосфора – 0,90-1,32 ммоль/л. </w:t>
      </w:r>
    </w:p>
    <w:p w14:paraId="78C7BE44" w14:textId="77777777" w:rsidR="005C199B" w:rsidRPr="00E964C4"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bCs/>
          <w:sz w:val="28"/>
          <w:szCs w:val="28"/>
        </w:rPr>
      </w:pPr>
      <w:r w:rsidRPr="00521A0C">
        <w:rPr>
          <w:rFonts w:ascii="Times New Roman" w:hAnsi="Times New Roman"/>
          <w:bCs/>
          <w:sz w:val="28"/>
          <w:szCs w:val="28"/>
        </w:rPr>
        <w:lastRenderedPageBreak/>
        <w:t xml:space="preserve">Уровень электролита меньше нижнего </w:t>
      </w:r>
      <w:proofErr w:type="spellStart"/>
      <w:r w:rsidRPr="00521A0C">
        <w:rPr>
          <w:rFonts w:ascii="Times New Roman" w:hAnsi="Times New Roman"/>
          <w:bCs/>
          <w:sz w:val="28"/>
          <w:szCs w:val="28"/>
        </w:rPr>
        <w:t>референсного</w:t>
      </w:r>
      <w:proofErr w:type="spellEnd"/>
      <w:r w:rsidRPr="00521A0C">
        <w:rPr>
          <w:rFonts w:ascii="Times New Roman" w:hAnsi="Times New Roman"/>
          <w:bCs/>
          <w:sz w:val="28"/>
          <w:szCs w:val="28"/>
        </w:rPr>
        <w:t xml:space="preserve"> значения расценивался как </w:t>
      </w:r>
      <w:proofErr w:type="spellStart"/>
      <w:r w:rsidRPr="00521A0C">
        <w:rPr>
          <w:rFonts w:ascii="Times New Roman" w:hAnsi="Times New Roman"/>
          <w:bCs/>
          <w:sz w:val="28"/>
          <w:szCs w:val="28"/>
        </w:rPr>
        <w:t>гипоэлектролитемия</w:t>
      </w:r>
      <w:proofErr w:type="spellEnd"/>
      <w:r w:rsidRPr="00521A0C">
        <w:rPr>
          <w:rFonts w:ascii="Times New Roman" w:hAnsi="Times New Roman"/>
          <w:bCs/>
          <w:sz w:val="28"/>
          <w:szCs w:val="28"/>
        </w:rPr>
        <w:t xml:space="preserve">, уровень электролита выше верхнего </w:t>
      </w:r>
      <w:proofErr w:type="spellStart"/>
      <w:r w:rsidRPr="00521A0C">
        <w:rPr>
          <w:rFonts w:ascii="Times New Roman" w:hAnsi="Times New Roman"/>
          <w:bCs/>
          <w:sz w:val="28"/>
          <w:szCs w:val="28"/>
        </w:rPr>
        <w:t>референсного</w:t>
      </w:r>
      <w:proofErr w:type="spellEnd"/>
      <w:r w:rsidRPr="00521A0C">
        <w:rPr>
          <w:rFonts w:ascii="Times New Roman" w:hAnsi="Times New Roman"/>
          <w:bCs/>
          <w:sz w:val="28"/>
          <w:szCs w:val="28"/>
        </w:rPr>
        <w:t xml:space="preserve"> значения расценивался как </w:t>
      </w:r>
      <w:proofErr w:type="spellStart"/>
      <w:r w:rsidRPr="00521A0C">
        <w:rPr>
          <w:rFonts w:ascii="Times New Roman" w:hAnsi="Times New Roman"/>
          <w:bCs/>
          <w:sz w:val="28"/>
          <w:szCs w:val="28"/>
        </w:rPr>
        <w:t>гиперэлектролитемия</w:t>
      </w:r>
      <w:proofErr w:type="spellEnd"/>
      <w:r w:rsidRPr="00521A0C">
        <w:rPr>
          <w:rFonts w:ascii="Times New Roman" w:hAnsi="Times New Roman"/>
          <w:bCs/>
          <w:sz w:val="28"/>
          <w:szCs w:val="28"/>
        </w:rPr>
        <w:t>. «Электролитными нарушениями» обозначалось отклонение от нормы одного или нескольких электролитов в течение 1 года реабилитационного периода. Расчет частоты электролитных нарушений производился методом деления количества электролитных нарушений на количество больных, которым был проведен анализ электролитов. Согласно</w:t>
      </w:r>
      <w:r w:rsidRPr="00521A0C">
        <w:rPr>
          <w:rFonts w:ascii="Times New Roman" w:hAnsi="Times New Roman"/>
        </w:rPr>
        <w:t xml:space="preserve"> </w:t>
      </w:r>
      <w:r w:rsidRPr="00521A0C">
        <w:rPr>
          <w:rFonts w:ascii="Times New Roman" w:hAnsi="Times New Roman"/>
          <w:bCs/>
          <w:sz w:val="28"/>
          <w:szCs w:val="28"/>
          <w:lang w:val="en-US"/>
        </w:rPr>
        <w:t>National</w:t>
      </w:r>
      <w:r w:rsidRPr="00521A0C">
        <w:rPr>
          <w:rFonts w:ascii="Times New Roman" w:hAnsi="Times New Roman"/>
          <w:bCs/>
          <w:sz w:val="28"/>
          <w:szCs w:val="28"/>
        </w:rPr>
        <w:t xml:space="preserve"> </w:t>
      </w:r>
      <w:r w:rsidRPr="00521A0C">
        <w:rPr>
          <w:rFonts w:ascii="Times New Roman" w:hAnsi="Times New Roman"/>
          <w:bCs/>
          <w:sz w:val="28"/>
          <w:szCs w:val="28"/>
          <w:lang w:val="en-US"/>
        </w:rPr>
        <w:t>Cancer</w:t>
      </w:r>
      <w:r w:rsidRPr="00521A0C">
        <w:rPr>
          <w:rFonts w:ascii="Times New Roman" w:hAnsi="Times New Roman"/>
          <w:bCs/>
          <w:sz w:val="28"/>
          <w:szCs w:val="28"/>
        </w:rPr>
        <w:t xml:space="preserve"> </w:t>
      </w:r>
      <w:r w:rsidRPr="00521A0C">
        <w:rPr>
          <w:rFonts w:ascii="Times New Roman" w:hAnsi="Times New Roman"/>
          <w:bCs/>
          <w:sz w:val="28"/>
          <w:szCs w:val="28"/>
          <w:lang w:val="en-US"/>
        </w:rPr>
        <w:t>Institute</w:t>
      </w:r>
      <w:r w:rsidRPr="00521A0C">
        <w:rPr>
          <w:rFonts w:ascii="Times New Roman" w:hAnsi="Times New Roman"/>
          <w:bCs/>
          <w:sz w:val="28"/>
          <w:szCs w:val="28"/>
        </w:rPr>
        <w:t xml:space="preserve"> </w:t>
      </w:r>
      <w:r w:rsidRPr="00521A0C">
        <w:rPr>
          <w:rFonts w:ascii="Times New Roman" w:hAnsi="Times New Roman"/>
          <w:bCs/>
          <w:sz w:val="28"/>
          <w:szCs w:val="28"/>
          <w:lang w:val="en-US"/>
        </w:rPr>
        <w:t>Common</w:t>
      </w:r>
      <w:r w:rsidRPr="00521A0C">
        <w:rPr>
          <w:rFonts w:ascii="Times New Roman" w:hAnsi="Times New Roman"/>
          <w:bCs/>
          <w:sz w:val="28"/>
          <w:szCs w:val="28"/>
        </w:rPr>
        <w:t xml:space="preserve"> </w:t>
      </w:r>
      <w:r w:rsidRPr="00521A0C">
        <w:rPr>
          <w:rFonts w:ascii="Times New Roman" w:hAnsi="Times New Roman"/>
          <w:bCs/>
          <w:sz w:val="28"/>
          <w:szCs w:val="28"/>
          <w:lang w:val="en-US"/>
        </w:rPr>
        <w:t>Terminology</w:t>
      </w:r>
      <w:r w:rsidRPr="00521A0C">
        <w:rPr>
          <w:rFonts w:ascii="Times New Roman" w:hAnsi="Times New Roman"/>
          <w:bCs/>
          <w:sz w:val="28"/>
          <w:szCs w:val="28"/>
        </w:rPr>
        <w:t xml:space="preserve"> </w:t>
      </w:r>
      <w:r w:rsidRPr="00521A0C">
        <w:rPr>
          <w:rFonts w:ascii="Times New Roman" w:hAnsi="Times New Roman"/>
          <w:bCs/>
          <w:sz w:val="28"/>
          <w:szCs w:val="28"/>
          <w:lang w:val="en-US"/>
        </w:rPr>
        <w:t>Criteria</w:t>
      </w:r>
      <w:r w:rsidRPr="00521A0C">
        <w:rPr>
          <w:rFonts w:ascii="Times New Roman" w:hAnsi="Times New Roman"/>
          <w:bCs/>
          <w:sz w:val="28"/>
          <w:szCs w:val="28"/>
        </w:rPr>
        <w:t xml:space="preserve"> </w:t>
      </w:r>
      <w:r w:rsidRPr="00521A0C">
        <w:rPr>
          <w:rFonts w:ascii="Times New Roman" w:hAnsi="Times New Roman"/>
          <w:bCs/>
          <w:sz w:val="28"/>
          <w:szCs w:val="28"/>
          <w:lang w:val="en-US"/>
        </w:rPr>
        <w:t>for</w:t>
      </w:r>
      <w:r w:rsidRPr="00521A0C">
        <w:rPr>
          <w:rFonts w:ascii="Times New Roman" w:hAnsi="Times New Roman"/>
          <w:bCs/>
          <w:sz w:val="28"/>
          <w:szCs w:val="28"/>
        </w:rPr>
        <w:t xml:space="preserve"> </w:t>
      </w:r>
      <w:r w:rsidRPr="00521A0C">
        <w:rPr>
          <w:rFonts w:ascii="Times New Roman" w:hAnsi="Times New Roman"/>
          <w:bCs/>
          <w:sz w:val="28"/>
          <w:szCs w:val="28"/>
          <w:lang w:val="en-US"/>
        </w:rPr>
        <w:t>Adverse</w:t>
      </w:r>
      <w:r w:rsidRPr="00521A0C">
        <w:rPr>
          <w:rFonts w:ascii="Times New Roman" w:hAnsi="Times New Roman"/>
          <w:bCs/>
          <w:sz w:val="28"/>
          <w:szCs w:val="28"/>
        </w:rPr>
        <w:t xml:space="preserve"> </w:t>
      </w:r>
      <w:r w:rsidRPr="00521A0C">
        <w:rPr>
          <w:rFonts w:ascii="Times New Roman" w:hAnsi="Times New Roman"/>
          <w:bCs/>
          <w:sz w:val="28"/>
          <w:szCs w:val="28"/>
          <w:lang w:val="en-US"/>
        </w:rPr>
        <w:t>Events</w:t>
      </w:r>
      <w:r w:rsidRPr="00521A0C">
        <w:rPr>
          <w:rFonts w:ascii="Times New Roman" w:hAnsi="Times New Roman"/>
          <w:bCs/>
          <w:sz w:val="28"/>
          <w:szCs w:val="28"/>
        </w:rPr>
        <w:t xml:space="preserve">, степень тяжести электролитных нарушений оценивалась от 1 до 4 </w:t>
      </w:r>
      <w:r w:rsidRPr="00521A0C">
        <w:rPr>
          <w:rFonts w:ascii="Times New Roman" w:hAnsi="Times New Roman"/>
          <w:bCs/>
          <w:sz w:val="28"/>
          <w:szCs w:val="28"/>
          <w:lang w:val="en-US"/>
        </w:rPr>
        <w:fldChar w:fldCharType="begin"/>
      </w:r>
      <w:r w:rsidRPr="00521A0C">
        <w:rPr>
          <w:rFonts w:ascii="Times New Roman" w:hAnsi="Times New Roman"/>
          <w:bCs/>
          <w:sz w:val="28"/>
          <w:szCs w:val="28"/>
        </w:rPr>
        <w:instrText xml:space="preserve"> </w:instrText>
      </w:r>
      <w:r w:rsidRPr="00521A0C">
        <w:rPr>
          <w:rFonts w:ascii="Times New Roman" w:hAnsi="Times New Roman"/>
          <w:bCs/>
          <w:sz w:val="28"/>
          <w:szCs w:val="28"/>
          <w:lang w:val="en-US"/>
        </w:rPr>
        <w:instrText>ADDIN</w:instrText>
      </w:r>
      <w:r w:rsidRPr="00521A0C">
        <w:rPr>
          <w:rFonts w:ascii="Times New Roman" w:hAnsi="Times New Roman"/>
          <w:bCs/>
          <w:sz w:val="28"/>
          <w:szCs w:val="28"/>
        </w:rPr>
        <w:instrText xml:space="preserve"> </w:instrText>
      </w:r>
      <w:r w:rsidRPr="00521A0C">
        <w:rPr>
          <w:rFonts w:ascii="Times New Roman" w:hAnsi="Times New Roman"/>
          <w:bCs/>
          <w:sz w:val="28"/>
          <w:szCs w:val="28"/>
          <w:lang w:val="en-US"/>
        </w:rPr>
        <w:instrText>ZOTERO</w:instrText>
      </w:r>
      <w:r w:rsidRPr="00521A0C">
        <w:rPr>
          <w:rFonts w:ascii="Times New Roman" w:hAnsi="Times New Roman"/>
          <w:bCs/>
          <w:sz w:val="28"/>
          <w:szCs w:val="28"/>
        </w:rPr>
        <w:instrText>_</w:instrText>
      </w:r>
      <w:r w:rsidRPr="00521A0C">
        <w:rPr>
          <w:rFonts w:ascii="Times New Roman" w:hAnsi="Times New Roman"/>
          <w:bCs/>
          <w:sz w:val="28"/>
          <w:szCs w:val="28"/>
          <w:lang w:val="en-US"/>
        </w:rPr>
        <w:instrText>ITEM</w:instrText>
      </w:r>
      <w:r w:rsidRPr="00521A0C">
        <w:rPr>
          <w:rFonts w:ascii="Times New Roman" w:hAnsi="Times New Roman"/>
          <w:bCs/>
          <w:sz w:val="28"/>
          <w:szCs w:val="28"/>
        </w:rPr>
        <w:instrText xml:space="preserve"> </w:instrText>
      </w:r>
      <w:r w:rsidRPr="00521A0C">
        <w:rPr>
          <w:rFonts w:ascii="Times New Roman" w:hAnsi="Times New Roman"/>
          <w:bCs/>
          <w:sz w:val="28"/>
          <w:szCs w:val="28"/>
          <w:lang w:val="en-US"/>
        </w:rPr>
        <w:instrText>CSL</w:instrText>
      </w:r>
      <w:r w:rsidRPr="00521A0C">
        <w:rPr>
          <w:rFonts w:ascii="Times New Roman" w:hAnsi="Times New Roman"/>
          <w:bCs/>
          <w:sz w:val="28"/>
          <w:szCs w:val="28"/>
        </w:rPr>
        <w:instrText>_</w:instrText>
      </w:r>
      <w:r w:rsidRPr="00521A0C">
        <w:rPr>
          <w:rFonts w:ascii="Times New Roman" w:hAnsi="Times New Roman"/>
          <w:bCs/>
          <w:sz w:val="28"/>
          <w:szCs w:val="28"/>
          <w:lang w:val="en-US"/>
        </w:rPr>
        <w:instrText>CITATION</w:instrText>
      </w:r>
      <w:r w:rsidRPr="00521A0C">
        <w:rPr>
          <w:rFonts w:ascii="Times New Roman" w:hAnsi="Times New Roman"/>
          <w:bCs/>
          <w:sz w:val="28"/>
          <w:szCs w:val="28"/>
        </w:rPr>
        <w:instrText xml:space="preserve"> {"</w:instrText>
      </w:r>
      <w:r w:rsidRPr="00521A0C">
        <w:rPr>
          <w:rFonts w:ascii="Times New Roman" w:hAnsi="Times New Roman"/>
          <w:bCs/>
          <w:sz w:val="28"/>
          <w:szCs w:val="28"/>
          <w:lang w:val="en-US"/>
        </w:rPr>
        <w:instrText>citationID</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a</w:instrText>
      </w:r>
      <w:r w:rsidRPr="00521A0C">
        <w:rPr>
          <w:rFonts w:ascii="Times New Roman" w:hAnsi="Times New Roman"/>
          <w:bCs/>
          <w:sz w:val="28"/>
          <w:szCs w:val="28"/>
        </w:rPr>
        <w:instrText>217</w:instrText>
      </w:r>
      <w:r w:rsidRPr="00521A0C">
        <w:rPr>
          <w:rFonts w:ascii="Times New Roman" w:hAnsi="Times New Roman"/>
          <w:bCs/>
          <w:sz w:val="28"/>
          <w:szCs w:val="28"/>
          <w:lang w:val="en-US"/>
        </w:rPr>
        <w:instrText>f</w:instrText>
      </w:r>
      <w:r w:rsidRPr="00521A0C">
        <w:rPr>
          <w:rFonts w:ascii="Times New Roman" w:hAnsi="Times New Roman"/>
          <w:bCs/>
          <w:sz w:val="28"/>
          <w:szCs w:val="28"/>
        </w:rPr>
        <w:instrText>3</w:instrText>
      </w:r>
      <w:r w:rsidRPr="00521A0C">
        <w:rPr>
          <w:rFonts w:ascii="Times New Roman" w:hAnsi="Times New Roman"/>
          <w:bCs/>
          <w:sz w:val="28"/>
          <w:szCs w:val="28"/>
          <w:lang w:val="en-US"/>
        </w:rPr>
        <w:instrText>gajk</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properties</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formattedCitation</w:instrText>
      </w:r>
      <w:r w:rsidRPr="00521A0C">
        <w:rPr>
          <w:rFonts w:ascii="Times New Roman" w:hAnsi="Times New Roman"/>
          <w:bCs/>
          <w:sz w:val="28"/>
          <w:szCs w:val="28"/>
        </w:rPr>
        <w:instrText>":"[215]","</w:instrText>
      </w:r>
      <w:r w:rsidRPr="00521A0C">
        <w:rPr>
          <w:rFonts w:ascii="Times New Roman" w:hAnsi="Times New Roman"/>
          <w:bCs/>
          <w:sz w:val="28"/>
          <w:szCs w:val="28"/>
          <w:lang w:val="en-US"/>
        </w:rPr>
        <w:instrText>plainCitation</w:instrText>
      </w:r>
      <w:r w:rsidRPr="00521A0C">
        <w:rPr>
          <w:rFonts w:ascii="Times New Roman" w:hAnsi="Times New Roman"/>
          <w:bCs/>
          <w:sz w:val="28"/>
          <w:szCs w:val="28"/>
        </w:rPr>
        <w:instrText>":"[215]","</w:instrText>
      </w:r>
      <w:r w:rsidRPr="00521A0C">
        <w:rPr>
          <w:rFonts w:ascii="Times New Roman" w:hAnsi="Times New Roman"/>
          <w:bCs/>
          <w:sz w:val="28"/>
          <w:szCs w:val="28"/>
          <w:lang w:val="en-US"/>
        </w:rPr>
        <w:instrText>noteIndex</w:instrText>
      </w:r>
      <w:r w:rsidRPr="00521A0C">
        <w:rPr>
          <w:rFonts w:ascii="Times New Roman" w:hAnsi="Times New Roman"/>
          <w:bCs/>
          <w:sz w:val="28"/>
          <w:szCs w:val="28"/>
        </w:rPr>
        <w:instrText>":0},"</w:instrText>
      </w:r>
      <w:r w:rsidRPr="00521A0C">
        <w:rPr>
          <w:rFonts w:ascii="Times New Roman" w:hAnsi="Times New Roman"/>
          <w:bCs/>
          <w:sz w:val="28"/>
          <w:szCs w:val="28"/>
          <w:lang w:val="en-US"/>
        </w:rPr>
        <w:instrText>citationItems</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id</w:instrText>
      </w:r>
      <w:r w:rsidRPr="00521A0C">
        <w:rPr>
          <w:rFonts w:ascii="Times New Roman" w:hAnsi="Times New Roman"/>
          <w:bCs/>
          <w:sz w:val="28"/>
          <w:szCs w:val="28"/>
        </w:rPr>
        <w:instrText>":74,"</w:instrText>
      </w:r>
      <w:r w:rsidRPr="00521A0C">
        <w:rPr>
          <w:rFonts w:ascii="Times New Roman" w:hAnsi="Times New Roman"/>
          <w:bCs/>
          <w:sz w:val="28"/>
          <w:szCs w:val="28"/>
          <w:lang w:val="en-US"/>
        </w:rPr>
        <w:instrText>uris</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http</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zotero</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org</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users</w:instrText>
      </w:r>
      <w:r w:rsidRPr="00521A0C">
        <w:rPr>
          <w:rFonts w:ascii="Times New Roman" w:hAnsi="Times New Roman"/>
          <w:bCs/>
          <w:sz w:val="28"/>
          <w:szCs w:val="28"/>
        </w:rPr>
        <w:instrText>/7388323/</w:instrText>
      </w:r>
      <w:r w:rsidRPr="00521A0C">
        <w:rPr>
          <w:rFonts w:ascii="Times New Roman" w:hAnsi="Times New Roman"/>
          <w:bCs/>
          <w:sz w:val="28"/>
          <w:szCs w:val="28"/>
          <w:lang w:val="en-US"/>
        </w:rPr>
        <w:instrText>items</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PSE</w:instrText>
      </w:r>
      <w:r w:rsidRPr="00521A0C">
        <w:rPr>
          <w:rFonts w:ascii="Times New Roman" w:hAnsi="Times New Roman"/>
          <w:bCs/>
          <w:sz w:val="28"/>
          <w:szCs w:val="28"/>
        </w:rPr>
        <w:instrText>7</w:instrText>
      </w:r>
      <w:r w:rsidRPr="00521A0C">
        <w:rPr>
          <w:rFonts w:ascii="Times New Roman" w:hAnsi="Times New Roman"/>
          <w:bCs/>
          <w:sz w:val="28"/>
          <w:szCs w:val="28"/>
          <w:lang w:val="en-US"/>
        </w:rPr>
        <w:instrText>MLS</w:instrText>
      </w:r>
      <w:r w:rsidRPr="00521A0C">
        <w:rPr>
          <w:rFonts w:ascii="Times New Roman" w:hAnsi="Times New Roman"/>
          <w:bCs/>
          <w:sz w:val="28"/>
          <w:szCs w:val="28"/>
        </w:rPr>
        <w:instrText>5"],"</w:instrText>
      </w:r>
      <w:r w:rsidRPr="00521A0C">
        <w:rPr>
          <w:rFonts w:ascii="Times New Roman" w:hAnsi="Times New Roman"/>
          <w:bCs/>
          <w:sz w:val="28"/>
          <w:szCs w:val="28"/>
          <w:lang w:val="en-US"/>
        </w:rPr>
        <w:instrText>uri</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http</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zotero</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org</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users</w:instrText>
      </w:r>
      <w:r w:rsidRPr="00521A0C">
        <w:rPr>
          <w:rFonts w:ascii="Times New Roman" w:hAnsi="Times New Roman"/>
          <w:bCs/>
          <w:sz w:val="28"/>
          <w:szCs w:val="28"/>
        </w:rPr>
        <w:instrText>/7388323/</w:instrText>
      </w:r>
      <w:r w:rsidRPr="00521A0C">
        <w:rPr>
          <w:rFonts w:ascii="Times New Roman" w:hAnsi="Times New Roman"/>
          <w:bCs/>
          <w:sz w:val="28"/>
          <w:szCs w:val="28"/>
          <w:lang w:val="en-US"/>
        </w:rPr>
        <w:instrText>items</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PSE</w:instrText>
      </w:r>
      <w:r w:rsidRPr="00521A0C">
        <w:rPr>
          <w:rFonts w:ascii="Times New Roman" w:hAnsi="Times New Roman"/>
          <w:bCs/>
          <w:sz w:val="28"/>
          <w:szCs w:val="28"/>
        </w:rPr>
        <w:instrText>7</w:instrText>
      </w:r>
      <w:r w:rsidRPr="00521A0C">
        <w:rPr>
          <w:rFonts w:ascii="Times New Roman" w:hAnsi="Times New Roman"/>
          <w:bCs/>
          <w:sz w:val="28"/>
          <w:szCs w:val="28"/>
          <w:lang w:val="en-US"/>
        </w:rPr>
        <w:instrText>MLS</w:instrText>
      </w:r>
      <w:r w:rsidRPr="00521A0C">
        <w:rPr>
          <w:rFonts w:ascii="Times New Roman" w:hAnsi="Times New Roman"/>
          <w:bCs/>
          <w:sz w:val="28"/>
          <w:szCs w:val="28"/>
        </w:rPr>
        <w:instrText>5"],"</w:instrText>
      </w:r>
      <w:r w:rsidRPr="00521A0C">
        <w:rPr>
          <w:rFonts w:ascii="Times New Roman" w:hAnsi="Times New Roman"/>
          <w:bCs/>
          <w:sz w:val="28"/>
          <w:szCs w:val="28"/>
          <w:lang w:val="en-US"/>
        </w:rPr>
        <w:instrText>itemData</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id</w:instrText>
      </w:r>
      <w:r w:rsidRPr="00521A0C">
        <w:rPr>
          <w:rFonts w:ascii="Times New Roman" w:hAnsi="Times New Roman"/>
          <w:bCs/>
          <w:sz w:val="28"/>
          <w:szCs w:val="28"/>
        </w:rPr>
        <w:instrText>":74,"</w:instrText>
      </w:r>
      <w:r w:rsidRPr="00521A0C">
        <w:rPr>
          <w:rFonts w:ascii="Times New Roman" w:hAnsi="Times New Roman"/>
          <w:bCs/>
          <w:sz w:val="28"/>
          <w:szCs w:val="28"/>
          <w:lang w:val="en-US"/>
        </w:rPr>
        <w:instrText>type</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article</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journal</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language</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en</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page</w:instrText>
      </w:r>
      <w:r w:rsidRPr="00521A0C">
        <w:rPr>
          <w:rFonts w:ascii="Times New Roman" w:hAnsi="Times New Roman"/>
          <w:bCs/>
          <w:sz w:val="28"/>
          <w:szCs w:val="28"/>
        </w:rPr>
        <w:instrText>":"147","</w:instrText>
      </w:r>
      <w:r w:rsidRPr="00521A0C">
        <w:rPr>
          <w:rFonts w:ascii="Times New Roman" w:hAnsi="Times New Roman"/>
          <w:bCs/>
          <w:sz w:val="28"/>
          <w:szCs w:val="28"/>
          <w:lang w:val="en-US"/>
        </w:rPr>
        <w:instrText>source</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Zotero</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title</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Common</w:instrText>
      </w:r>
      <w:r w:rsidRPr="00521A0C">
        <w:rPr>
          <w:rFonts w:ascii="Times New Roman" w:hAnsi="Times New Roman"/>
          <w:bCs/>
          <w:sz w:val="28"/>
          <w:szCs w:val="28"/>
        </w:rPr>
        <w:instrText xml:space="preserve"> </w:instrText>
      </w:r>
      <w:r w:rsidRPr="00521A0C">
        <w:rPr>
          <w:rFonts w:ascii="Times New Roman" w:hAnsi="Times New Roman"/>
          <w:bCs/>
          <w:sz w:val="28"/>
          <w:szCs w:val="28"/>
          <w:lang w:val="en-US"/>
        </w:rPr>
        <w:instrText>Terminology</w:instrText>
      </w:r>
      <w:r w:rsidRPr="00521A0C">
        <w:rPr>
          <w:rFonts w:ascii="Times New Roman" w:hAnsi="Times New Roman"/>
          <w:bCs/>
          <w:sz w:val="28"/>
          <w:szCs w:val="28"/>
        </w:rPr>
        <w:instrText xml:space="preserve"> </w:instrText>
      </w:r>
      <w:r w:rsidRPr="00521A0C">
        <w:rPr>
          <w:rFonts w:ascii="Times New Roman" w:hAnsi="Times New Roman"/>
          <w:bCs/>
          <w:sz w:val="28"/>
          <w:szCs w:val="28"/>
          <w:lang w:val="en-US"/>
        </w:rPr>
        <w:instrText>Criteria</w:instrText>
      </w:r>
      <w:r w:rsidRPr="00521A0C">
        <w:rPr>
          <w:rFonts w:ascii="Times New Roman" w:hAnsi="Times New Roman"/>
          <w:bCs/>
          <w:sz w:val="28"/>
          <w:szCs w:val="28"/>
        </w:rPr>
        <w:instrText xml:space="preserve"> </w:instrText>
      </w:r>
      <w:r w:rsidRPr="00521A0C">
        <w:rPr>
          <w:rFonts w:ascii="Times New Roman" w:hAnsi="Times New Roman"/>
          <w:bCs/>
          <w:sz w:val="28"/>
          <w:szCs w:val="28"/>
          <w:lang w:val="en-US"/>
        </w:rPr>
        <w:instrText>for</w:instrText>
      </w:r>
      <w:r w:rsidRPr="00521A0C">
        <w:rPr>
          <w:rFonts w:ascii="Times New Roman" w:hAnsi="Times New Roman"/>
          <w:bCs/>
          <w:sz w:val="28"/>
          <w:szCs w:val="28"/>
        </w:rPr>
        <w:instrText xml:space="preserve"> </w:instrText>
      </w:r>
      <w:r w:rsidRPr="00521A0C">
        <w:rPr>
          <w:rFonts w:ascii="Times New Roman" w:hAnsi="Times New Roman"/>
          <w:bCs/>
          <w:sz w:val="28"/>
          <w:szCs w:val="28"/>
          <w:lang w:val="en-US"/>
        </w:rPr>
        <w:instrText>Adverse</w:instrText>
      </w:r>
      <w:r w:rsidRPr="00521A0C">
        <w:rPr>
          <w:rFonts w:ascii="Times New Roman" w:hAnsi="Times New Roman"/>
          <w:bCs/>
          <w:sz w:val="28"/>
          <w:szCs w:val="28"/>
        </w:rPr>
        <w:instrText xml:space="preserve"> </w:instrText>
      </w:r>
      <w:r w:rsidRPr="00521A0C">
        <w:rPr>
          <w:rFonts w:ascii="Times New Roman" w:hAnsi="Times New Roman"/>
          <w:bCs/>
          <w:sz w:val="28"/>
          <w:szCs w:val="28"/>
          <w:lang w:val="en-US"/>
        </w:rPr>
        <w:instrText>Events</w:instrText>
      </w:r>
      <w:r w:rsidRPr="00521A0C">
        <w:rPr>
          <w:rFonts w:ascii="Times New Roman" w:hAnsi="Times New Roman"/>
          <w:bCs/>
          <w:sz w:val="28"/>
          <w:szCs w:val="28"/>
        </w:rPr>
        <w:instrText xml:space="preserve"> (</w:instrText>
      </w:r>
      <w:r w:rsidRPr="00521A0C">
        <w:rPr>
          <w:rFonts w:ascii="Times New Roman" w:hAnsi="Times New Roman"/>
          <w:bCs/>
          <w:sz w:val="28"/>
          <w:szCs w:val="28"/>
          <w:lang w:val="en-US"/>
        </w:rPr>
        <w:instrText>CTCAE</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issued</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date</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parts</w:instrText>
      </w:r>
      <w:r w:rsidRPr="00521A0C">
        <w:rPr>
          <w:rFonts w:ascii="Times New Roman" w:hAnsi="Times New Roman"/>
          <w:bCs/>
          <w:sz w:val="28"/>
          <w:szCs w:val="28"/>
        </w:rPr>
        <w:instrText>":[["2017"]]}}}],"</w:instrText>
      </w:r>
      <w:r w:rsidRPr="00521A0C">
        <w:rPr>
          <w:rFonts w:ascii="Times New Roman" w:hAnsi="Times New Roman"/>
          <w:bCs/>
          <w:sz w:val="28"/>
          <w:szCs w:val="28"/>
          <w:lang w:val="en-US"/>
        </w:rPr>
        <w:instrText>schema</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https</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github</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com</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citation</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style</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language</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schema</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raw</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master</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csl</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citation</w:instrText>
      </w:r>
      <w:r w:rsidRPr="00521A0C">
        <w:rPr>
          <w:rFonts w:ascii="Times New Roman" w:hAnsi="Times New Roman"/>
          <w:bCs/>
          <w:sz w:val="28"/>
          <w:szCs w:val="28"/>
        </w:rPr>
        <w:instrText>.</w:instrText>
      </w:r>
      <w:r w:rsidRPr="00521A0C">
        <w:rPr>
          <w:rFonts w:ascii="Times New Roman" w:hAnsi="Times New Roman"/>
          <w:bCs/>
          <w:sz w:val="28"/>
          <w:szCs w:val="28"/>
          <w:lang w:val="en-US"/>
        </w:rPr>
        <w:instrText>json</w:instrText>
      </w:r>
      <w:r w:rsidRPr="00521A0C">
        <w:rPr>
          <w:rFonts w:ascii="Times New Roman" w:hAnsi="Times New Roman"/>
          <w:bCs/>
          <w:sz w:val="28"/>
          <w:szCs w:val="28"/>
        </w:rPr>
        <w:instrText xml:space="preserve">"} </w:instrText>
      </w:r>
      <w:r w:rsidRPr="00521A0C">
        <w:rPr>
          <w:rFonts w:ascii="Times New Roman" w:hAnsi="Times New Roman"/>
          <w:bCs/>
          <w:sz w:val="28"/>
          <w:szCs w:val="28"/>
          <w:lang w:val="en-US"/>
        </w:rPr>
        <w:fldChar w:fldCharType="separate"/>
      </w:r>
      <w:r w:rsidRPr="00521A0C">
        <w:rPr>
          <w:rFonts w:ascii="Times New Roman" w:hAnsi="Times New Roman"/>
          <w:sz w:val="28"/>
          <w:szCs w:val="24"/>
        </w:rPr>
        <w:t>[236]</w:t>
      </w:r>
      <w:r w:rsidRPr="00521A0C">
        <w:rPr>
          <w:rFonts w:ascii="Times New Roman" w:hAnsi="Times New Roman"/>
          <w:bCs/>
          <w:sz w:val="28"/>
          <w:szCs w:val="28"/>
          <w:lang w:val="en-US"/>
        </w:rPr>
        <w:fldChar w:fldCharType="end"/>
      </w:r>
      <w:r w:rsidRPr="00521A0C">
        <w:rPr>
          <w:rFonts w:ascii="Times New Roman" w:hAnsi="Times New Roman"/>
          <w:bCs/>
          <w:sz w:val="28"/>
          <w:szCs w:val="28"/>
        </w:rPr>
        <w:t xml:space="preserve"> (таблица </w:t>
      </w:r>
      <w:r w:rsidRPr="00E964C4">
        <w:rPr>
          <w:rFonts w:ascii="Times New Roman" w:hAnsi="Times New Roman"/>
          <w:bCs/>
          <w:sz w:val="28"/>
          <w:szCs w:val="28"/>
        </w:rPr>
        <w:t>8</w:t>
      </w:r>
      <w:r w:rsidRPr="00521A0C">
        <w:rPr>
          <w:rFonts w:ascii="Times New Roman" w:hAnsi="Times New Roman"/>
          <w:bCs/>
          <w:sz w:val="28"/>
          <w:szCs w:val="28"/>
        </w:rPr>
        <w:t>).</w:t>
      </w:r>
    </w:p>
    <w:p w14:paraId="21DB2B4B" w14:textId="77777777" w:rsidR="005C199B" w:rsidRPr="00521A0C"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bCs/>
          <w:sz w:val="28"/>
          <w:szCs w:val="28"/>
        </w:rPr>
      </w:pPr>
    </w:p>
    <w:p w14:paraId="7018A7FF" w14:textId="77777777" w:rsidR="005C199B" w:rsidRPr="00145B66" w:rsidRDefault="005C199B" w:rsidP="005C199B">
      <w:pPr>
        <w:widowControl w:val="0"/>
        <w:tabs>
          <w:tab w:val="left" w:pos="567"/>
          <w:tab w:val="left" w:pos="851"/>
        </w:tabs>
        <w:spacing w:after="0" w:line="240" w:lineRule="auto"/>
        <w:jc w:val="both"/>
        <w:rPr>
          <w:rFonts w:ascii="Times New Roman" w:hAnsi="Times New Roman"/>
          <w:bCs/>
          <w:sz w:val="28"/>
          <w:szCs w:val="28"/>
        </w:rPr>
      </w:pPr>
      <w:r w:rsidRPr="00145B66">
        <w:rPr>
          <w:rFonts w:ascii="Times New Roman" w:hAnsi="Times New Roman"/>
          <w:bCs/>
          <w:sz w:val="28"/>
          <w:szCs w:val="28"/>
        </w:rPr>
        <w:t xml:space="preserve">Таблица </w:t>
      </w:r>
      <w:r w:rsidRPr="00E964C4">
        <w:rPr>
          <w:rFonts w:ascii="Times New Roman" w:hAnsi="Times New Roman"/>
          <w:bCs/>
          <w:sz w:val="28"/>
          <w:szCs w:val="28"/>
        </w:rPr>
        <w:t>8</w:t>
      </w:r>
      <w:r w:rsidRPr="00145B66">
        <w:rPr>
          <w:rFonts w:ascii="Times New Roman" w:hAnsi="Times New Roman"/>
          <w:bCs/>
          <w:sz w:val="28"/>
          <w:szCs w:val="28"/>
        </w:rPr>
        <w:t xml:space="preserve"> – Классификация степени тяжести электролитных нарушений</w:t>
      </w:r>
    </w:p>
    <w:p w14:paraId="7CF1D3F9" w14:textId="77777777" w:rsidR="005C199B" w:rsidRPr="00480D87" w:rsidRDefault="005C199B" w:rsidP="005C199B">
      <w:pPr>
        <w:widowControl w:val="0"/>
        <w:tabs>
          <w:tab w:val="left" w:pos="567"/>
          <w:tab w:val="left" w:pos="851"/>
        </w:tabs>
        <w:spacing w:after="0" w:line="240" w:lineRule="auto"/>
        <w:jc w:val="right"/>
        <w:rPr>
          <w:rFonts w:ascii="Times New Roman" w:hAnsi="Times New Roman"/>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8"/>
        <w:gridCol w:w="1531"/>
        <w:gridCol w:w="1531"/>
        <w:gridCol w:w="1531"/>
        <w:gridCol w:w="1531"/>
      </w:tblGrid>
      <w:tr w:rsidR="005C199B" w:rsidRPr="000A4D50" w14:paraId="71F55AF0" w14:textId="77777777" w:rsidTr="00094F6F">
        <w:trPr>
          <w:trHeight w:val="340"/>
          <w:jc w:val="center"/>
        </w:trPr>
        <w:tc>
          <w:tcPr>
            <w:tcW w:w="2948" w:type="dxa"/>
            <w:vMerge w:val="restart"/>
            <w:shd w:val="clear" w:color="auto" w:fill="auto"/>
            <w:vAlign w:val="center"/>
          </w:tcPr>
          <w:p w14:paraId="645DFEDA"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Электролитные нарушения</w:t>
            </w:r>
          </w:p>
        </w:tc>
        <w:tc>
          <w:tcPr>
            <w:tcW w:w="6124" w:type="dxa"/>
            <w:gridSpan w:val="4"/>
            <w:shd w:val="clear" w:color="auto" w:fill="auto"/>
            <w:vAlign w:val="center"/>
          </w:tcPr>
          <w:p w14:paraId="0506D3BB"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proofErr w:type="gramStart"/>
            <w:r w:rsidRPr="000A4D50">
              <w:rPr>
                <w:rFonts w:ascii="Times New Roman" w:hAnsi="Times New Roman"/>
                <w:bCs/>
                <w:sz w:val="24"/>
                <w:szCs w:val="24"/>
              </w:rPr>
              <w:t>ммоль</w:t>
            </w:r>
            <w:proofErr w:type="gramEnd"/>
            <w:r w:rsidRPr="000A4D50">
              <w:rPr>
                <w:rFonts w:ascii="Times New Roman" w:hAnsi="Times New Roman"/>
                <w:bCs/>
                <w:sz w:val="24"/>
                <w:szCs w:val="24"/>
              </w:rPr>
              <w:t>/л</w:t>
            </w:r>
          </w:p>
        </w:tc>
      </w:tr>
      <w:tr w:rsidR="005C199B" w:rsidRPr="000A4D50" w14:paraId="60675AF1" w14:textId="77777777" w:rsidTr="00094F6F">
        <w:trPr>
          <w:trHeight w:val="340"/>
          <w:jc w:val="center"/>
        </w:trPr>
        <w:tc>
          <w:tcPr>
            <w:tcW w:w="2948" w:type="dxa"/>
            <w:vMerge/>
            <w:shd w:val="clear" w:color="auto" w:fill="auto"/>
            <w:vAlign w:val="center"/>
          </w:tcPr>
          <w:p w14:paraId="6CAE9741" w14:textId="77777777" w:rsidR="005C199B" w:rsidRPr="000A4D50" w:rsidRDefault="005C199B" w:rsidP="00094F6F">
            <w:pPr>
              <w:widowControl w:val="0"/>
              <w:tabs>
                <w:tab w:val="left" w:pos="567"/>
                <w:tab w:val="left" w:pos="851"/>
              </w:tabs>
              <w:spacing w:after="0" w:line="240" w:lineRule="auto"/>
              <w:rPr>
                <w:rFonts w:ascii="Times New Roman" w:hAnsi="Times New Roman"/>
                <w:bCs/>
                <w:sz w:val="24"/>
                <w:szCs w:val="24"/>
              </w:rPr>
            </w:pPr>
          </w:p>
        </w:tc>
        <w:tc>
          <w:tcPr>
            <w:tcW w:w="1531" w:type="dxa"/>
            <w:shd w:val="clear" w:color="auto" w:fill="auto"/>
            <w:vAlign w:val="center"/>
          </w:tcPr>
          <w:p w14:paraId="00ED9260"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 степень</w:t>
            </w:r>
          </w:p>
        </w:tc>
        <w:tc>
          <w:tcPr>
            <w:tcW w:w="1531" w:type="dxa"/>
            <w:shd w:val="clear" w:color="auto" w:fill="auto"/>
            <w:vAlign w:val="center"/>
          </w:tcPr>
          <w:p w14:paraId="351526CC"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2 степень</w:t>
            </w:r>
          </w:p>
        </w:tc>
        <w:tc>
          <w:tcPr>
            <w:tcW w:w="1531" w:type="dxa"/>
            <w:shd w:val="clear" w:color="auto" w:fill="auto"/>
            <w:vAlign w:val="center"/>
          </w:tcPr>
          <w:p w14:paraId="077E2340"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3 степень</w:t>
            </w:r>
          </w:p>
        </w:tc>
        <w:tc>
          <w:tcPr>
            <w:tcW w:w="1531" w:type="dxa"/>
            <w:shd w:val="clear" w:color="auto" w:fill="auto"/>
            <w:vAlign w:val="center"/>
          </w:tcPr>
          <w:p w14:paraId="0D1B03A4"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4 степень</w:t>
            </w:r>
          </w:p>
        </w:tc>
      </w:tr>
      <w:tr w:rsidR="005C199B" w:rsidRPr="000A4D50" w14:paraId="270FDCE4" w14:textId="77777777" w:rsidTr="00094F6F">
        <w:trPr>
          <w:trHeight w:val="340"/>
          <w:jc w:val="center"/>
        </w:trPr>
        <w:tc>
          <w:tcPr>
            <w:tcW w:w="2948" w:type="dxa"/>
            <w:shd w:val="clear" w:color="auto" w:fill="auto"/>
            <w:vAlign w:val="center"/>
          </w:tcPr>
          <w:p w14:paraId="7818C61F" w14:textId="77777777" w:rsidR="005C199B" w:rsidRPr="000A4D50" w:rsidRDefault="005C199B" w:rsidP="00094F6F">
            <w:pPr>
              <w:widowControl w:val="0"/>
              <w:tabs>
                <w:tab w:val="left" w:pos="567"/>
                <w:tab w:val="left" w:pos="851"/>
              </w:tabs>
              <w:spacing w:after="0" w:line="240" w:lineRule="auto"/>
              <w:rPr>
                <w:rFonts w:ascii="Times New Roman" w:hAnsi="Times New Roman"/>
                <w:bCs/>
                <w:sz w:val="24"/>
                <w:szCs w:val="24"/>
              </w:rPr>
            </w:pPr>
            <w:proofErr w:type="spellStart"/>
            <w:r w:rsidRPr="000A4D50">
              <w:rPr>
                <w:rFonts w:ascii="Times New Roman" w:hAnsi="Times New Roman"/>
                <w:bCs/>
                <w:sz w:val="24"/>
                <w:szCs w:val="24"/>
              </w:rPr>
              <w:t>Гипонатриемия</w:t>
            </w:r>
            <w:proofErr w:type="spellEnd"/>
          </w:p>
        </w:tc>
        <w:tc>
          <w:tcPr>
            <w:tcW w:w="1531" w:type="dxa"/>
            <w:shd w:val="clear" w:color="auto" w:fill="auto"/>
            <w:vAlign w:val="center"/>
          </w:tcPr>
          <w:p w14:paraId="69759170"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130-137</w:t>
            </w:r>
          </w:p>
        </w:tc>
        <w:tc>
          <w:tcPr>
            <w:tcW w:w="1531" w:type="dxa"/>
            <w:shd w:val="clear" w:color="auto" w:fill="auto"/>
            <w:vAlign w:val="center"/>
          </w:tcPr>
          <w:p w14:paraId="5E597165"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125-129</w:t>
            </w:r>
          </w:p>
        </w:tc>
        <w:tc>
          <w:tcPr>
            <w:tcW w:w="1531" w:type="dxa"/>
            <w:shd w:val="clear" w:color="auto" w:fill="auto"/>
            <w:vAlign w:val="center"/>
          </w:tcPr>
          <w:p w14:paraId="28600543"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120-124</w:t>
            </w:r>
          </w:p>
        </w:tc>
        <w:tc>
          <w:tcPr>
            <w:tcW w:w="1531" w:type="dxa"/>
            <w:shd w:val="clear" w:color="auto" w:fill="auto"/>
            <w:vAlign w:val="center"/>
          </w:tcPr>
          <w:p w14:paraId="06B69F74"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˂120</w:t>
            </w:r>
          </w:p>
        </w:tc>
      </w:tr>
      <w:tr w:rsidR="005C199B" w:rsidRPr="000A4D50" w14:paraId="245AC25F" w14:textId="77777777" w:rsidTr="00094F6F">
        <w:trPr>
          <w:trHeight w:val="340"/>
          <w:jc w:val="center"/>
        </w:trPr>
        <w:tc>
          <w:tcPr>
            <w:tcW w:w="2948" w:type="dxa"/>
            <w:tcBorders>
              <w:bottom w:val="single" w:sz="4" w:space="0" w:color="auto"/>
            </w:tcBorders>
            <w:shd w:val="clear" w:color="auto" w:fill="auto"/>
            <w:vAlign w:val="center"/>
          </w:tcPr>
          <w:p w14:paraId="2699CFB3" w14:textId="77777777" w:rsidR="005C199B" w:rsidRPr="000A4D50" w:rsidRDefault="005C199B" w:rsidP="00094F6F">
            <w:pPr>
              <w:widowControl w:val="0"/>
              <w:tabs>
                <w:tab w:val="left" w:pos="567"/>
                <w:tab w:val="left" w:pos="851"/>
              </w:tabs>
              <w:spacing w:after="0" w:line="240" w:lineRule="auto"/>
              <w:rPr>
                <w:rFonts w:ascii="Times New Roman" w:hAnsi="Times New Roman"/>
                <w:bCs/>
                <w:sz w:val="24"/>
                <w:szCs w:val="24"/>
              </w:rPr>
            </w:pPr>
            <w:proofErr w:type="spellStart"/>
            <w:r w:rsidRPr="000A4D50">
              <w:rPr>
                <w:rFonts w:ascii="Times New Roman" w:hAnsi="Times New Roman"/>
                <w:bCs/>
                <w:sz w:val="24"/>
                <w:szCs w:val="24"/>
              </w:rPr>
              <w:t>Гипернатриемия</w:t>
            </w:r>
            <w:proofErr w:type="spellEnd"/>
          </w:p>
        </w:tc>
        <w:tc>
          <w:tcPr>
            <w:tcW w:w="1531" w:type="dxa"/>
            <w:tcBorders>
              <w:bottom w:val="single" w:sz="4" w:space="0" w:color="auto"/>
            </w:tcBorders>
            <w:shd w:val="clear" w:color="auto" w:fill="auto"/>
            <w:vAlign w:val="center"/>
          </w:tcPr>
          <w:p w14:paraId="75C1DAB1"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147-149</w:t>
            </w:r>
          </w:p>
        </w:tc>
        <w:tc>
          <w:tcPr>
            <w:tcW w:w="1531" w:type="dxa"/>
            <w:tcBorders>
              <w:bottom w:val="single" w:sz="4" w:space="0" w:color="auto"/>
            </w:tcBorders>
            <w:shd w:val="clear" w:color="auto" w:fill="auto"/>
            <w:vAlign w:val="center"/>
          </w:tcPr>
          <w:p w14:paraId="28EFC23F"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150-154</w:t>
            </w:r>
          </w:p>
        </w:tc>
        <w:tc>
          <w:tcPr>
            <w:tcW w:w="1531" w:type="dxa"/>
            <w:tcBorders>
              <w:bottom w:val="single" w:sz="4" w:space="0" w:color="auto"/>
            </w:tcBorders>
            <w:shd w:val="clear" w:color="auto" w:fill="auto"/>
            <w:vAlign w:val="center"/>
          </w:tcPr>
          <w:p w14:paraId="10FBADCD"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155-160</w:t>
            </w:r>
          </w:p>
        </w:tc>
        <w:tc>
          <w:tcPr>
            <w:tcW w:w="1531" w:type="dxa"/>
            <w:tcBorders>
              <w:bottom w:val="single" w:sz="4" w:space="0" w:color="auto"/>
            </w:tcBorders>
            <w:shd w:val="clear" w:color="auto" w:fill="auto"/>
            <w:vAlign w:val="center"/>
          </w:tcPr>
          <w:p w14:paraId="22474CD1"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˃160</w:t>
            </w:r>
          </w:p>
        </w:tc>
      </w:tr>
      <w:tr w:rsidR="005C199B" w:rsidRPr="000A4D50" w14:paraId="55FDBF44" w14:textId="77777777" w:rsidTr="00094F6F">
        <w:trPr>
          <w:trHeight w:val="340"/>
          <w:jc w:val="center"/>
        </w:trPr>
        <w:tc>
          <w:tcPr>
            <w:tcW w:w="2948" w:type="dxa"/>
            <w:tcBorders>
              <w:bottom w:val="nil"/>
            </w:tcBorders>
            <w:shd w:val="clear" w:color="auto" w:fill="auto"/>
            <w:vAlign w:val="center"/>
          </w:tcPr>
          <w:p w14:paraId="48DF8530" w14:textId="77777777" w:rsidR="005C199B" w:rsidRPr="000A4D50" w:rsidRDefault="005C199B" w:rsidP="00094F6F">
            <w:pPr>
              <w:widowControl w:val="0"/>
              <w:tabs>
                <w:tab w:val="left" w:pos="567"/>
                <w:tab w:val="left" w:pos="851"/>
              </w:tabs>
              <w:spacing w:after="0" w:line="240" w:lineRule="auto"/>
              <w:rPr>
                <w:rFonts w:ascii="Times New Roman" w:hAnsi="Times New Roman"/>
                <w:bCs/>
                <w:sz w:val="24"/>
                <w:szCs w:val="24"/>
              </w:rPr>
            </w:pPr>
            <w:proofErr w:type="spellStart"/>
            <w:r w:rsidRPr="000A4D50">
              <w:rPr>
                <w:rFonts w:ascii="Times New Roman" w:hAnsi="Times New Roman"/>
                <w:bCs/>
                <w:sz w:val="24"/>
                <w:szCs w:val="24"/>
              </w:rPr>
              <w:t>Гипокалиемия</w:t>
            </w:r>
            <w:proofErr w:type="spellEnd"/>
          </w:p>
        </w:tc>
        <w:tc>
          <w:tcPr>
            <w:tcW w:w="1531" w:type="dxa"/>
            <w:tcBorders>
              <w:bottom w:val="nil"/>
            </w:tcBorders>
            <w:shd w:val="clear" w:color="auto" w:fill="auto"/>
            <w:vAlign w:val="center"/>
          </w:tcPr>
          <w:p w14:paraId="420551A3"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3,0-3,5</w:t>
            </w:r>
          </w:p>
        </w:tc>
        <w:tc>
          <w:tcPr>
            <w:tcW w:w="1531" w:type="dxa"/>
            <w:tcBorders>
              <w:bottom w:val="nil"/>
            </w:tcBorders>
            <w:shd w:val="clear" w:color="auto" w:fill="auto"/>
            <w:vAlign w:val="center"/>
          </w:tcPr>
          <w:p w14:paraId="6119B3D4"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w:t>
            </w:r>
          </w:p>
        </w:tc>
        <w:tc>
          <w:tcPr>
            <w:tcW w:w="1531" w:type="dxa"/>
            <w:tcBorders>
              <w:bottom w:val="nil"/>
            </w:tcBorders>
            <w:shd w:val="clear" w:color="auto" w:fill="auto"/>
            <w:vAlign w:val="center"/>
          </w:tcPr>
          <w:p w14:paraId="3214AF26"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2,5-2,9</w:t>
            </w:r>
          </w:p>
        </w:tc>
        <w:tc>
          <w:tcPr>
            <w:tcW w:w="1531" w:type="dxa"/>
            <w:tcBorders>
              <w:bottom w:val="nil"/>
            </w:tcBorders>
            <w:shd w:val="clear" w:color="auto" w:fill="auto"/>
            <w:vAlign w:val="center"/>
          </w:tcPr>
          <w:p w14:paraId="5E900431"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˂2,5</w:t>
            </w:r>
          </w:p>
        </w:tc>
      </w:tr>
      <w:tr w:rsidR="005C199B" w:rsidRPr="000A4D50" w14:paraId="128B2686" w14:textId="77777777" w:rsidTr="00094F6F">
        <w:trPr>
          <w:trHeight w:val="340"/>
          <w:jc w:val="center"/>
        </w:trPr>
        <w:tc>
          <w:tcPr>
            <w:tcW w:w="2948" w:type="dxa"/>
            <w:tcBorders>
              <w:bottom w:val="single" w:sz="4" w:space="0" w:color="auto"/>
            </w:tcBorders>
            <w:shd w:val="clear" w:color="auto" w:fill="auto"/>
            <w:vAlign w:val="center"/>
          </w:tcPr>
          <w:p w14:paraId="029F6A06" w14:textId="77777777" w:rsidR="005C199B" w:rsidRPr="000A4D50" w:rsidRDefault="005C199B" w:rsidP="00094F6F">
            <w:pPr>
              <w:widowControl w:val="0"/>
              <w:tabs>
                <w:tab w:val="left" w:pos="567"/>
                <w:tab w:val="left" w:pos="851"/>
              </w:tabs>
              <w:spacing w:after="0" w:line="240" w:lineRule="auto"/>
              <w:rPr>
                <w:rFonts w:ascii="Times New Roman" w:hAnsi="Times New Roman"/>
                <w:bCs/>
                <w:sz w:val="24"/>
                <w:szCs w:val="24"/>
              </w:rPr>
            </w:pPr>
            <w:proofErr w:type="spellStart"/>
            <w:r w:rsidRPr="000A4D50">
              <w:rPr>
                <w:rFonts w:ascii="Times New Roman" w:hAnsi="Times New Roman"/>
                <w:bCs/>
                <w:sz w:val="24"/>
                <w:szCs w:val="24"/>
              </w:rPr>
              <w:t>Гиперкалиемия</w:t>
            </w:r>
            <w:proofErr w:type="spellEnd"/>
          </w:p>
        </w:tc>
        <w:tc>
          <w:tcPr>
            <w:tcW w:w="1531" w:type="dxa"/>
            <w:tcBorders>
              <w:bottom w:val="single" w:sz="4" w:space="0" w:color="auto"/>
            </w:tcBorders>
            <w:shd w:val="clear" w:color="auto" w:fill="auto"/>
            <w:vAlign w:val="center"/>
          </w:tcPr>
          <w:p w14:paraId="38B3253F"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4,5-5,4</w:t>
            </w:r>
          </w:p>
        </w:tc>
        <w:tc>
          <w:tcPr>
            <w:tcW w:w="1531" w:type="dxa"/>
            <w:tcBorders>
              <w:bottom w:val="single" w:sz="4" w:space="0" w:color="auto"/>
            </w:tcBorders>
            <w:shd w:val="clear" w:color="auto" w:fill="auto"/>
            <w:vAlign w:val="center"/>
          </w:tcPr>
          <w:p w14:paraId="4BA8BD27"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5,5-5,9</w:t>
            </w:r>
          </w:p>
        </w:tc>
        <w:tc>
          <w:tcPr>
            <w:tcW w:w="1531" w:type="dxa"/>
            <w:tcBorders>
              <w:bottom w:val="single" w:sz="4" w:space="0" w:color="auto"/>
            </w:tcBorders>
            <w:shd w:val="clear" w:color="auto" w:fill="auto"/>
            <w:vAlign w:val="center"/>
          </w:tcPr>
          <w:p w14:paraId="236D54CA"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6,0-7,0</w:t>
            </w:r>
          </w:p>
        </w:tc>
        <w:tc>
          <w:tcPr>
            <w:tcW w:w="1531" w:type="dxa"/>
            <w:tcBorders>
              <w:bottom w:val="single" w:sz="4" w:space="0" w:color="auto"/>
            </w:tcBorders>
            <w:shd w:val="clear" w:color="auto" w:fill="auto"/>
            <w:vAlign w:val="center"/>
          </w:tcPr>
          <w:p w14:paraId="345A9822"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˃7,0</w:t>
            </w:r>
          </w:p>
        </w:tc>
      </w:tr>
      <w:tr w:rsidR="005C199B" w:rsidRPr="000A4D50" w14:paraId="64749980" w14:textId="77777777" w:rsidTr="00094F6F">
        <w:trPr>
          <w:trHeight w:val="340"/>
          <w:jc w:val="center"/>
        </w:trPr>
        <w:tc>
          <w:tcPr>
            <w:tcW w:w="2948" w:type="dxa"/>
            <w:tcBorders>
              <w:top w:val="single" w:sz="4" w:space="0" w:color="auto"/>
              <w:bottom w:val="nil"/>
            </w:tcBorders>
            <w:shd w:val="clear" w:color="auto" w:fill="auto"/>
            <w:vAlign w:val="center"/>
          </w:tcPr>
          <w:p w14:paraId="7F5191CE" w14:textId="77777777" w:rsidR="005C199B" w:rsidRPr="000A4D50" w:rsidRDefault="005C199B" w:rsidP="00094F6F">
            <w:pPr>
              <w:widowControl w:val="0"/>
              <w:tabs>
                <w:tab w:val="left" w:pos="567"/>
                <w:tab w:val="left" w:pos="851"/>
              </w:tabs>
              <w:spacing w:after="0" w:line="240" w:lineRule="auto"/>
              <w:rPr>
                <w:rFonts w:ascii="Times New Roman" w:hAnsi="Times New Roman"/>
                <w:bCs/>
                <w:sz w:val="24"/>
                <w:szCs w:val="24"/>
              </w:rPr>
            </w:pPr>
            <w:proofErr w:type="spellStart"/>
            <w:r w:rsidRPr="000A4D50">
              <w:rPr>
                <w:rFonts w:ascii="Times New Roman" w:hAnsi="Times New Roman"/>
                <w:bCs/>
                <w:sz w:val="24"/>
                <w:szCs w:val="24"/>
              </w:rPr>
              <w:t>Гипохлоремия</w:t>
            </w:r>
            <w:proofErr w:type="spellEnd"/>
          </w:p>
        </w:tc>
        <w:tc>
          <w:tcPr>
            <w:tcW w:w="1531" w:type="dxa"/>
            <w:tcBorders>
              <w:top w:val="single" w:sz="4" w:space="0" w:color="auto"/>
              <w:bottom w:val="nil"/>
            </w:tcBorders>
            <w:shd w:val="clear" w:color="auto" w:fill="auto"/>
            <w:vAlign w:val="center"/>
          </w:tcPr>
          <w:p w14:paraId="775395B3"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95-99</w:t>
            </w:r>
          </w:p>
        </w:tc>
        <w:tc>
          <w:tcPr>
            <w:tcW w:w="1531" w:type="dxa"/>
            <w:tcBorders>
              <w:top w:val="single" w:sz="4" w:space="0" w:color="auto"/>
              <w:bottom w:val="nil"/>
            </w:tcBorders>
            <w:shd w:val="clear" w:color="auto" w:fill="auto"/>
            <w:vAlign w:val="center"/>
          </w:tcPr>
          <w:p w14:paraId="5CA2FC9F"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90-94</w:t>
            </w:r>
          </w:p>
        </w:tc>
        <w:tc>
          <w:tcPr>
            <w:tcW w:w="1531" w:type="dxa"/>
            <w:tcBorders>
              <w:top w:val="single" w:sz="4" w:space="0" w:color="auto"/>
              <w:bottom w:val="nil"/>
            </w:tcBorders>
            <w:shd w:val="clear" w:color="auto" w:fill="auto"/>
            <w:vAlign w:val="center"/>
          </w:tcPr>
          <w:p w14:paraId="73C23EB1"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85-89</w:t>
            </w:r>
          </w:p>
        </w:tc>
        <w:tc>
          <w:tcPr>
            <w:tcW w:w="1531" w:type="dxa"/>
            <w:tcBorders>
              <w:top w:val="single" w:sz="4" w:space="0" w:color="auto"/>
              <w:bottom w:val="nil"/>
            </w:tcBorders>
            <w:shd w:val="clear" w:color="auto" w:fill="auto"/>
            <w:vAlign w:val="center"/>
          </w:tcPr>
          <w:p w14:paraId="7DEC11D2"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˂84</w:t>
            </w:r>
          </w:p>
        </w:tc>
      </w:tr>
      <w:tr w:rsidR="005C199B" w:rsidRPr="000A4D50" w14:paraId="7F91BBBD" w14:textId="77777777" w:rsidTr="00094F6F">
        <w:trPr>
          <w:trHeight w:val="340"/>
          <w:jc w:val="center"/>
        </w:trPr>
        <w:tc>
          <w:tcPr>
            <w:tcW w:w="2948" w:type="dxa"/>
            <w:shd w:val="clear" w:color="auto" w:fill="auto"/>
            <w:vAlign w:val="center"/>
          </w:tcPr>
          <w:p w14:paraId="6831B936" w14:textId="77777777" w:rsidR="005C199B" w:rsidRPr="000A4D50" w:rsidRDefault="005C199B" w:rsidP="00094F6F">
            <w:pPr>
              <w:widowControl w:val="0"/>
              <w:tabs>
                <w:tab w:val="left" w:pos="567"/>
                <w:tab w:val="left" w:pos="851"/>
              </w:tabs>
              <w:spacing w:after="0" w:line="240" w:lineRule="auto"/>
              <w:rPr>
                <w:rFonts w:ascii="Times New Roman" w:hAnsi="Times New Roman"/>
                <w:bCs/>
                <w:sz w:val="24"/>
                <w:szCs w:val="24"/>
              </w:rPr>
            </w:pPr>
            <w:proofErr w:type="spellStart"/>
            <w:r w:rsidRPr="000A4D50">
              <w:rPr>
                <w:rFonts w:ascii="Times New Roman" w:hAnsi="Times New Roman"/>
                <w:bCs/>
                <w:sz w:val="24"/>
                <w:szCs w:val="24"/>
              </w:rPr>
              <w:t>Гиперхлоремия</w:t>
            </w:r>
            <w:proofErr w:type="spellEnd"/>
          </w:p>
        </w:tc>
        <w:tc>
          <w:tcPr>
            <w:tcW w:w="1531" w:type="dxa"/>
            <w:shd w:val="clear" w:color="auto" w:fill="auto"/>
            <w:vAlign w:val="center"/>
          </w:tcPr>
          <w:p w14:paraId="569B342B"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110-114</w:t>
            </w:r>
          </w:p>
        </w:tc>
        <w:tc>
          <w:tcPr>
            <w:tcW w:w="1531" w:type="dxa"/>
            <w:shd w:val="clear" w:color="auto" w:fill="auto"/>
            <w:vAlign w:val="center"/>
          </w:tcPr>
          <w:p w14:paraId="1B2D3083"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115-119</w:t>
            </w:r>
          </w:p>
        </w:tc>
        <w:tc>
          <w:tcPr>
            <w:tcW w:w="1531" w:type="dxa"/>
            <w:shd w:val="clear" w:color="auto" w:fill="auto"/>
            <w:vAlign w:val="center"/>
          </w:tcPr>
          <w:p w14:paraId="2FAAD1BB"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120-125</w:t>
            </w:r>
          </w:p>
        </w:tc>
        <w:tc>
          <w:tcPr>
            <w:tcW w:w="1531" w:type="dxa"/>
            <w:shd w:val="clear" w:color="auto" w:fill="auto"/>
            <w:vAlign w:val="center"/>
          </w:tcPr>
          <w:p w14:paraId="473CB8FE"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˃125</w:t>
            </w:r>
          </w:p>
        </w:tc>
      </w:tr>
      <w:tr w:rsidR="005C199B" w:rsidRPr="000A4D50" w14:paraId="2C977731" w14:textId="77777777" w:rsidTr="00094F6F">
        <w:trPr>
          <w:trHeight w:val="340"/>
          <w:jc w:val="center"/>
        </w:trPr>
        <w:tc>
          <w:tcPr>
            <w:tcW w:w="2948" w:type="dxa"/>
            <w:shd w:val="clear" w:color="auto" w:fill="auto"/>
            <w:vAlign w:val="center"/>
          </w:tcPr>
          <w:p w14:paraId="14DC4F34" w14:textId="77777777" w:rsidR="005C199B" w:rsidRPr="000A4D50" w:rsidRDefault="005C199B" w:rsidP="00094F6F">
            <w:pPr>
              <w:widowControl w:val="0"/>
              <w:tabs>
                <w:tab w:val="left" w:pos="567"/>
                <w:tab w:val="left" w:pos="851"/>
              </w:tabs>
              <w:spacing w:after="0" w:line="240" w:lineRule="auto"/>
              <w:rPr>
                <w:rFonts w:ascii="Times New Roman" w:hAnsi="Times New Roman"/>
                <w:bCs/>
                <w:sz w:val="24"/>
                <w:szCs w:val="24"/>
              </w:rPr>
            </w:pPr>
            <w:proofErr w:type="spellStart"/>
            <w:r w:rsidRPr="000A4D50">
              <w:rPr>
                <w:rFonts w:ascii="Times New Roman" w:hAnsi="Times New Roman"/>
                <w:bCs/>
                <w:sz w:val="24"/>
                <w:szCs w:val="24"/>
              </w:rPr>
              <w:t>Гипокальциемия</w:t>
            </w:r>
            <w:proofErr w:type="spellEnd"/>
          </w:p>
        </w:tc>
        <w:tc>
          <w:tcPr>
            <w:tcW w:w="1531" w:type="dxa"/>
            <w:shd w:val="clear" w:color="auto" w:fill="auto"/>
            <w:vAlign w:val="center"/>
          </w:tcPr>
          <w:p w14:paraId="62D73603"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2,0-2,15</w:t>
            </w:r>
          </w:p>
        </w:tc>
        <w:tc>
          <w:tcPr>
            <w:tcW w:w="1531" w:type="dxa"/>
            <w:shd w:val="clear" w:color="auto" w:fill="auto"/>
            <w:vAlign w:val="center"/>
          </w:tcPr>
          <w:p w14:paraId="753FECCD"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1,75-1,9</w:t>
            </w:r>
          </w:p>
        </w:tc>
        <w:tc>
          <w:tcPr>
            <w:tcW w:w="1531" w:type="dxa"/>
            <w:shd w:val="clear" w:color="auto" w:fill="auto"/>
            <w:vAlign w:val="center"/>
          </w:tcPr>
          <w:p w14:paraId="306C5AE7"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1,5-1,74</w:t>
            </w:r>
          </w:p>
        </w:tc>
        <w:tc>
          <w:tcPr>
            <w:tcW w:w="1531" w:type="dxa"/>
            <w:shd w:val="clear" w:color="auto" w:fill="auto"/>
            <w:vAlign w:val="center"/>
          </w:tcPr>
          <w:p w14:paraId="47E80F15"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˂1,5</w:t>
            </w:r>
          </w:p>
        </w:tc>
      </w:tr>
      <w:tr w:rsidR="005C199B" w:rsidRPr="000A4D50" w14:paraId="7611FFB1" w14:textId="77777777" w:rsidTr="00094F6F">
        <w:trPr>
          <w:trHeight w:val="340"/>
          <w:jc w:val="center"/>
        </w:trPr>
        <w:tc>
          <w:tcPr>
            <w:tcW w:w="2948" w:type="dxa"/>
            <w:tcBorders>
              <w:bottom w:val="single" w:sz="4" w:space="0" w:color="auto"/>
            </w:tcBorders>
            <w:shd w:val="clear" w:color="auto" w:fill="auto"/>
            <w:vAlign w:val="center"/>
          </w:tcPr>
          <w:p w14:paraId="49C44F1E" w14:textId="77777777" w:rsidR="005C199B" w:rsidRPr="000A4D50" w:rsidRDefault="005C199B" w:rsidP="00094F6F">
            <w:pPr>
              <w:widowControl w:val="0"/>
              <w:tabs>
                <w:tab w:val="left" w:pos="567"/>
                <w:tab w:val="left" w:pos="851"/>
              </w:tabs>
              <w:spacing w:after="0" w:line="240" w:lineRule="auto"/>
              <w:rPr>
                <w:rFonts w:ascii="Times New Roman" w:hAnsi="Times New Roman"/>
                <w:bCs/>
                <w:sz w:val="24"/>
                <w:szCs w:val="24"/>
              </w:rPr>
            </w:pPr>
            <w:proofErr w:type="spellStart"/>
            <w:r w:rsidRPr="000A4D50">
              <w:rPr>
                <w:rFonts w:ascii="Times New Roman" w:hAnsi="Times New Roman"/>
                <w:bCs/>
                <w:sz w:val="24"/>
                <w:szCs w:val="24"/>
              </w:rPr>
              <w:t>Гиперкальциемия</w:t>
            </w:r>
            <w:proofErr w:type="spellEnd"/>
          </w:p>
        </w:tc>
        <w:tc>
          <w:tcPr>
            <w:tcW w:w="1531" w:type="dxa"/>
            <w:tcBorders>
              <w:bottom w:val="single" w:sz="4" w:space="0" w:color="auto"/>
            </w:tcBorders>
            <w:shd w:val="clear" w:color="auto" w:fill="auto"/>
            <w:vAlign w:val="center"/>
          </w:tcPr>
          <w:p w14:paraId="0B1C1435"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2,55-2,9</w:t>
            </w:r>
          </w:p>
        </w:tc>
        <w:tc>
          <w:tcPr>
            <w:tcW w:w="1531" w:type="dxa"/>
            <w:tcBorders>
              <w:bottom w:val="single" w:sz="4" w:space="0" w:color="auto"/>
            </w:tcBorders>
            <w:shd w:val="clear" w:color="auto" w:fill="auto"/>
            <w:vAlign w:val="center"/>
          </w:tcPr>
          <w:p w14:paraId="4F3FF4B8"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3,0-3,1</w:t>
            </w:r>
          </w:p>
        </w:tc>
        <w:tc>
          <w:tcPr>
            <w:tcW w:w="1531" w:type="dxa"/>
            <w:tcBorders>
              <w:bottom w:val="single" w:sz="4" w:space="0" w:color="auto"/>
            </w:tcBorders>
            <w:shd w:val="clear" w:color="auto" w:fill="auto"/>
            <w:vAlign w:val="center"/>
          </w:tcPr>
          <w:p w14:paraId="639C0AE9"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3,2-3,4</w:t>
            </w:r>
          </w:p>
        </w:tc>
        <w:tc>
          <w:tcPr>
            <w:tcW w:w="1531" w:type="dxa"/>
            <w:tcBorders>
              <w:bottom w:val="single" w:sz="4" w:space="0" w:color="auto"/>
            </w:tcBorders>
            <w:shd w:val="clear" w:color="auto" w:fill="auto"/>
            <w:vAlign w:val="center"/>
          </w:tcPr>
          <w:p w14:paraId="745B8534"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˃3,4</w:t>
            </w:r>
          </w:p>
        </w:tc>
      </w:tr>
      <w:tr w:rsidR="005C199B" w:rsidRPr="000A4D50" w14:paraId="71CBA36B" w14:textId="77777777" w:rsidTr="00094F6F">
        <w:trPr>
          <w:trHeight w:val="340"/>
          <w:jc w:val="center"/>
        </w:trPr>
        <w:tc>
          <w:tcPr>
            <w:tcW w:w="2948" w:type="dxa"/>
            <w:tcBorders>
              <w:bottom w:val="single" w:sz="4" w:space="0" w:color="auto"/>
            </w:tcBorders>
            <w:shd w:val="clear" w:color="auto" w:fill="auto"/>
            <w:vAlign w:val="center"/>
          </w:tcPr>
          <w:p w14:paraId="2B8B2768" w14:textId="77777777" w:rsidR="005C199B" w:rsidRPr="000A4D50" w:rsidRDefault="005C199B" w:rsidP="00094F6F">
            <w:pPr>
              <w:widowControl w:val="0"/>
              <w:tabs>
                <w:tab w:val="left" w:pos="567"/>
                <w:tab w:val="left" w:pos="851"/>
              </w:tabs>
              <w:spacing w:after="0" w:line="240" w:lineRule="auto"/>
              <w:rPr>
                <w:rFonts w:ascii="Times New Roman" w:hAnsi="Times New Roman"/>
                <w:bCs/>
                <w:sz w:val="24"/>
                <w:szCs w:val="24"/>
              </w:rPr>
            </w:pPr>
            <w:proofErr w:type="spellStart"/>
            <w:r w:rsidRPr="000A4D50">
              <w:rPr>
                <w:rFonts w:ascii="Times New Roman" w:hAnsi="Times New Roman"/>
                <w:bCs/>
                <w:sz w:val="24"/>
                <w:szCs w:val="24"/>
              </w:rPr>
              <w:t>Гипомагнезиемия</w:t>
            </w:r>
            <w:proofErr w:type="spellEnd"/>
          </w:p>
        </w:tc>
        <w:tc>
          <w:tcPr>
            <w:tcW w:w="1531" w:type="dxa"/>
            <w:tcBorders>
              <w:bottom w:val="single" w:sz="4" w:space="0" w:color="auto"/>
            </w:tcBorders>
            <w:shd w:val="clear" w:color="auto" w:fill="auto"/>
            <w:vAlign w:val="center"/>
          </w:tcPr>
          <w:p w14:paraId="14738F3C"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0,5-0,69</w:t>
            </w:r>
          </w:p>
        </w:tc>
        <w:tc>
          <w:tcPr>
            <w:tcW w:w="1531" w:type="dxa"/>
            <w:tcBorders>
              <w:bottom w:val="single" w:sz="4" w:space="0" w:color="auto"/>
            </w:tcBorders>
            <w:shd w:val="clear" w:color="auto" w:fill="auto"/>
            <w:vAlign w:val="center"/>
          </w:tcPr>
          <w:p w14:paraId="304AAB18"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0,5-0,4</w:t>
            </w:r>
          </w:p>
        </w:tc>
        <w:tc>
          <w:tcPr>
            <w:tcW w:w="1531" w:type="dxa"/>
            <w:tcBorders>
              <w:bottom w:val="single" w:sz="4" w:space="0" w:color="auto"/>
            </w:tcBorders>
            <w:shd w:val="clear" w:color="auto" w:fill="auto"/>
            <w:vAlign w:val="center"/>
          </w:tcPr>
          <w:p w14:paraId="3B927755"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0,4-0,3</w:t>
            </w:r>
          </w:p>
        </w:tc>
        <w:tc>
          <w:tcPr>
            <w:tcW w:w="1531" w:type="dxa"/>
            <w:tcBorders>
              <w:bottom w:val="single" w:sz="4" w:space="0" w:color="auto"/>
            </w:tcBorders>
            <w:shd w:val="clear" w:color="auto" w:fill="auto"/>
            <w:vAlign w:val="center"/>
          </w:tcPr>
          <w:p w14:paraId="7CF8D9E2"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˂0,3</w:t>
            </w:r>
          </w:p>
        </w:tc>
      </w:tr>
      <w:tr w:rsidR="005C199B" w:rsidRPr="000A4D50" w14:paraId="7BC4E464" w14:textId="77777777" w:rsidTr="00094F6F">
        <w:trPr>
          <w:trHeight w:val="340"/>
          <w:jc w:val="center"/>
        </w:trPr>
        <w:tc>
          <w:tcPr>
            <w:tcW w:w="2948" w:type="dxa"/>
            <w:tcBorders>
              <w:top w:val="single" w:sz="4" w:space="0" w:color="auto"/>
            </w:tcBorders>
            <w:shd w:val="clear" w:color="auto" w:fill="auto"/>
            <w:vAlign w:val="center"/>
          </w:tcPr>
          <w:p w14:paraId="2C492480" w14:textId="77777777" w:rsidR="005C199B" w:rsidRPr="000A4D50" w:rsidRDefault="005C199B" w:rsidP="00094F6F">
            <w:pPr>
              <w:widowControl w:val="0"/>
              <w:tabs>
                <w:tab w:val="left" w:pos="567"/>
                <w:tab w:val="left" w:pos="851"/>
              </w:tabs>
              <w:spacing w:after="0" w:line="240" w:lineRule="auto"/>
              <w:rPr>
                <w:rFonts w:ascii="Times New Roman" w:hAnsi="Times New Roman"/>
                <w:bCs/>
                <w:sz w:val="24"/>
                <w:szCs w:val="24"/>
              </w:rPr>
            </w:pPr>
            <w:proofErr w:type="spellStart"/>
            <w:r w:rsidRPr="000A4D50">
              <w:rPr>
                <w:rFonts w:ascii="Times New Roman" w:hAnsi="Times New Roman"/>
                <w:bCs/>
                <w:sz w:val="24"/>
                <w:szCs w:val="24"/>
              </w:rPr>
              <w:t>Гипермагнезиемия</w:t>
            </w:r>
            <w:proofErr w:type="spellEnd"/>
          </w:p>
        </w:tc>
        <w:tc>
          <w:tcPr>
            <w:tcW w:w="1531" w:type="dxa"/>
            <w:tcBorders>
              <w:top w:val="single" w:sz="4" w:space="0" w:color="auto"/>
            </w:tcBorders>
            <w:shd w:val="clear" w:color="auto" w:fill="auto"/>
            <w:vAlign w:val="center"/>
          </w:tcPr>
          <w:p w14:paraId="0D0A1A3F"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1,04-1,23</w:t>
            </w:r>
          </w:p>
        </w:tc>
        <w:tc>
          <w:tcPr>
            <w:tcW w:w="1531" w:type="dxa"/>
            <w:tcBorders>
              <w:top w:val="single" w:sz="4" w:space="0" w:color="auto"/>
            </w:tcBorders>
            <w:shd w:val="clear" w:color="auto" w:fill="auto"/>
            <w:vAlign w:val="center"/>
          </w:tcPr>
          <w:p w14:paraId="579D8AE6"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w:t>
            </w:r>
          </w:p>
        </w:tc>
        <w:tc>
          <w:tcPr>
            <w:tcW w:w="1531" w:type="dxa"/>
            <w:tcBorders>
              <w:top w:val="single" w:sz="4" w:space="0" w:color="auto"/>
            </w:tcBorders>
            <w:shd w:val="clear" w:color="auto" w:fill="auto"/>
            <w:vAlign w:val="center"/>
          </w:tcPr>
          <w:p w14:paraId="51E6733E"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1,23-3,30</w:t>
            </w:r>
          </w:p>
        </w:tc>
        <w:tc>
          <w:tcPr>
            <w:tcW w:w="1531" w:type="dxa"/>
            <w:tcBorders>
              <w:top w:val="single" w:sz="4" w:space="0" w:color="auto"/>
            </w:tcBorders>
            <w:shd w:val="clear" w:color="auto" w:fill="auto"/>
            <w:vAlign w:val="center"/>
          </w:tcPr>
          <w:p w14:paraId="10DFFBA0"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˃3,30</w:t>
            </w:r>
          </w:p>
        </w:tc>
      </w:tr>
      <w:tr w:rsidR="005C199B" w:rsidRPr="000A4D50" w14:paraId="16FE51F6" w14:textId="77777777" w:rsidTr="00094F6F">
        <w:trPr>
          <w:trHeight w:val="340"/>
          <w:jc w:val="center"/>
        </w:trPr>
        <w:tc>
          <w:tcPr>
            <w:tcW w:w="2948" w:type="dxa"/>
            <w:shd w:val="clear" w:color="auto" w:fill="auto"/>
            <w:vAlign w:val="center"/>
          </w:tcPr>
          <w:p w14:paraId="4B7AC42B" w14:textId="77777777" w:rsidR="005C199B" w:rsidRPr="000A4D50" w:rsidRDefault="005C199B" w:rsidP="00094F6F">
            <w:pPr>
              <w:widowControl w:val="0"/>
              <w:tabs>
                <w:tab w:val="left" w:pos="567"/>
                <w:tab w:val="left" w:pos="851"/>
              </w:tabs>
              <w:spacing w:after="0" w:line="240" w:lineRule="auto"/>
              <w:rPr>
                <w:rFonts w:ascii="Times New Roman" w:hAnsi="Times New Roman"/>
                <w:bCs/>
                <w:sz w:val="24"/>
                <w:szCs w:val="24"/>
              </w:rPr>
            </w:pPr>
            <w:proofErr w:type="spellStart"/>
            <w:r w:rsidRPr="000A4D50">
              <w:rPr>
                <w:rFonts w:ascii="Times New Roman" w:hAnsi="Times New Roman"/>
                <w:bCs/>
                <w:sz w:val="24"/>
                <w:szCs w:val="24"/>
              </w:rPr>
              <w:t>Гипофосфатемия</w:t>
            </w:r>
            <w:proofErr w:type="spellEnd"/>
          </w:p>
        </w:tc>
        <w:tc>
          <w:tcPr>
            <w:tcW w:w="1531" w:type="dxa"/>
            <w:shd w:val="clear" w:color="auto" w:fill="auto"/>
            <w:vAlign w:val="center"/>
          </w:tcPr>
          <w:p w14:paraId="3FC47891"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0,8-0,9</w:t>
            </w:r>
          </w:p>
        </w:tc>
        <w:tc>
          <w:tcPr>
            <w:tcW w:w="1531" w:type="dxa"/>
            <w:shd w:val="clear" w:color="auto" w:fill="auto"/>
            <w:vAlign w:val="center"/>
          </w:tcPr>
          <w:p w14:paraId="6F522F6F"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0,6-0,79</w:t>
            </w:r>
          </w:p>
        </w:tc>
        <w:tc>
          <w:tcPr>
            <w:tcW w:w="1531" w:type="dxa"/>
            <w:shd w:val="clear" w:color="auto" w:fill="auto"/>
            <w:vAlign w:val="center"/>
          </w:tcPr>
          <w:p w14:paraId="3EF2B095"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0,4-0,59</w:t>
            </w:r>
          </w:p>
        </w:tc>
        <w:tc>
          <w:tcPr>
            <w:tcW w:w="1531" w:type="dxa"/>
            <w:shd w:val="clear" w:color="auto" w:fill="auto"/>
            <w:vAlign w:val="center"/>
          </w:tcPr>
          <w:p w14:paraId="7F6D1652"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˂0,4</w:t>
            </w:r>
          </w:p>
        </w:tc>
      </w:tr>
      <w:tr w:rsidR="005C199B" w:rsidRPr="000A4D50" w14:paraId="45E444AB" w14:textId="77777777" w:rsidTr="00094F6F">
        <w:trPr>
          <w:trHeight w:val="340"/>
          <w:jc w:val="center"/>
        </w:trPr>
        <w:tc>
          <w:tcPr>
            <w:tcW w:w="2948" w:type="dxa"/>
            <w:shd w:val="clear" w:color="auto" w:fill="auto"/>
            <w:vAlign w:val="center"/>
          </w:tcPr>
          <w:p w14:paraId="359AFBBF" w14:textId="77777777" w:rsidR="005C199B" w:rsidRPr="000A4D50" w:rsidRDefault="005C199B" w:rsidP="00094F6F">
            <w:pPr>
              <w:widowControl w:val="0"/>
              <w:tabs>
                <w:tab w:val="left" w:pos="567"/>
                <w:tab w:val="left" w:pos="851"/>
              </w:tabs>
              <w:spacing w:after="0" w:line="240" w:lineRule="auto"/>
              <w:rPr>
                <w:rFonts w:ascii="Times New Roman" w:hAnsi="Times New Roman"/>
                <w:bCs/>
                <w:sz w:val="24"/>
                <w:szCs w:val="24"/>
              </w:rPr>
            </w:pPr>
            <w:proofErr w:type="spellStart"/>
            <w:r w:rsidRPr="000A4D50">
              <w:rPr>
                <w:rFonts w:ascii="Times New Roman" w:hAnsi="Times New Roman"/>
                <w:bCs/>
                <w:sz w:val="24"/>
                <w:szCs w:val="24"/>
              </w:rPr>
              <w:t>Гиперфосфатемия</w:t>
            </w:r>
            <w:proofErr w:type="spellEnd"/>
          </w:p>
        </w:tc>
        <w:tc>
          <w:tcPr>
            <w:tcW w:w="1531" w:type="dxa"/>
            <w:shd w:val="clear" w:color="auto" w:fill="auto"/>
            <w:vAlign w:val="center"/>
          </w:tcPr>
          <w:p w14:paraId="15B89CC4"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0,34-1,49</w:t>
            </w:r>
          </w:p>
        </w:tc>
        <w:tc>
          <w:tcPr>
            <w:tcW w:w="1531" w:type="dxa"/>
            <w:shd w:val="clear" w:color="auto" w:fill="auto"/>
            <w:vAlign w:val="center"/>
          </w:tcPr>
          <w:p w14:paraId="6662BE87"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1,50-1,59</w:t>
            </w:r>
          </w:p>
        </w:tc>
        <w:tc>
          <w:tcPr>
            <w:tcW w:w="1531" w:type="dxa"/>
            <w:shd w:val="clear" w:color="auto" w:fill="auto"/>
            <w:vAlign w:val="center"/>
          </w:tcPr>
          <w:p w14:paraId="75342B23"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1,60-1,80</w:t>
            </w:r>
          </w:p>
        </w:tc>
        <w:tc>
          <w:tcPr>
            <w:tcW w:w="1531" w:type="dxa"/>
            <w:shd w:val="clear" w:color="auto" w:fill="auto"/>
            <w:vAlign w:val="center"/>
          </w:tcPr>
          <w:p w14:paraId="6D67E5B5" w14:textId="77777777" w:rsidR="005C199B" w:rsidRPr="000A4D50" w:rsidRDefault="005C199B" w:rsidP="00094F6F">
            <w:pPr>
              <w:widowControl w:val="0"/>
              <w:tabs>
                <w:tab w:val="left" w:pos="567"/>
                <w:tab w:val="left" w:pos="851"/>
              </w:tabs>
              <w:spacing w:after="0" w:line="240" w:lineRule="auto"/>
              <w:jc w:val="center"/>
              <w:rPr>
                <w:rFonts w:ascii="Times New Roman" w:hAnsi="Times New Roman"/>
                <w:bCs/>
                <w:sz w:val="24"/>
                <w:szCs w:val="24"/>
              </w:rPr>
            </w:pPr>
            <w:r w:rsidRPr="000A4D50">
              <w:rPr>
                <w:rFonts w:ascii="Times New Roman" w:hAnsi="Times New Roman"/>
                <w:bCs/>
                <w:sz w:val="24"/>
                <w:szCs w:val="24"/>
              </w:rPr>
              <w:t>˃1,80</w:t>
            </w:r>
          </w:p>
        </w:tc>
      </w:tr>
    </w:tbl>
    <w:p w14:paraId="612B2DF5" w14:textId="77777777" w:rsidR="005C199B"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bCs/>
          <w:i/>
          <w:sz w:val="28"/>
          <w:szCs w:val="28"/>
        </w:rPr>
      </w:pPr>
    </w:p>
    <w:p w14:paraId="508F080A"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bCs/>
          <w:i/>
          <w:sz w:val="28"/>
          <w:szCs w:val="28"/>
        </w:rPr>
      </w:pPr>
    </w:p>
    <w:p w14:paraId="1A344106"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bCs/>
          <w:i/>
          <w:sz w:val="28"/>
          <w:szCs w:val="28"/>
        </w:rPr>
      </w:pPr>
      <w:r w:rsidRPr="00145B66">
        <w:rPr>
          <w:rFonts w:ascii="Times New Roman" w:hAnsi="Times New Roman"/>
          <w:bCs/>
          <w:i/>
          <w:sz w:val="28"/>
          <w:szCs w:val="28"/>
        </w:rPr>
        <w:t>Оценка качества жизни</w:t>
      </w:r>
    </w:p>
    <w:p w14:paraId="61AF5167" w14:textId="77777777" w:rsidR="005C199B"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45B66">
        <w:rPr>
          <w:rFonts w:ascii="Times New Roman" w:hAnsi="Times New Roman"/>
          <w:sz w:val="28"/>
          <w:szCs w:val="28"/>
        </w:rPr>
        <w:t>В соответствии с поставленными задачами пациентам проводилось комплексное обследование согласно протоколам диагностики и лечения рака ободочной кишки с оценкой КЖ посредством анкет-опросников, рекомендованными Европейской организацией по исследованию и лечению рака, группой оценки качества жизни [</w:t>
      </w:r>
      <w:r>
        <w:rPr>
          <w:rFonts w:ascii="Times New Roman" w:hAnsi="Times New Roman"/>
          <w:sz w:val="28"/>
          <w:szCs w:val="28"/>
        </w:rPr>
        <w:t xml:space="preserve">203, р. 168; 204, р. 983; 207, р. 659; 208, р. 1431; 209, р. 1; 210, р. </w:t>
      </w:r>
      <w:r w:rsidRPr="00CD3812">
        <w:rPr>
          <w:rFonts w:ascii="Times New Roman" w:hAnsi="Times New Roman"/>
          <w:sz w:val="28"/>
          <w:szCs w:val="28"/>
          <w:lang w:val="en-US"/>
        </w:rPr>
        <w:t>S</w:t>
      </w:r>
      <w:r w:rsidRPr="00FC0B04">
        <w:rPr>
          <w:rFonts w:ascii="Times New Roman" w:hAnsi="Times New Roman"/>
          <w:sz w:val="28"/>
          <w:szCs w:val="28"/>
        </w:rPr>
        <w:t>92</w:t>
      </w:r>
      <w:r w:rsidRPr="00145B66">
        <w:rPr>
          <w:rFonts w:ascii="Times New Roman" w:hAnsi="Times New Roman"/>
          <w:sz w:val="28"/>
          <w:szCs w:val="28"/>
        </w:rPr>
        <w:t>]. В работе были использованы данные анкетирования пациентов</w:t>
      </w:r>
      <w:r>
        <w:rPr>
          <w:rFonts w:ascii="Times New Roman" w:hAnsi="Times New Roman"/>
          <w:sz w:val="28"/>
          <w:szCs w:val="28"/>
        </w:rPr>
        <w:t>,</w:t>
      </w:r>
      <w:r w:rsidRPr="00145B66">
        <w:rPr>
          <w:rFonts w:ascii="Times New Roman" w:hAnsi="Times New Roman"/>
          <w:sz w:val="28"/>
          <w:szCs w:val="28"/>
        </w:rPr>
        <w:t xml:space="preserve"> выполненн</w:t>
      </w:r>
      <w:r>
        <w:rPr>
          <w:rFonts w:ascii="Times New Roman" w:hAnsi="Times New Roman"/>
          <w:sz w:val="28"/>
          <w:szCs w:val="28"/>
        </w:rPr>
        <w:t>ые</w:t>
      </w:r>
      <w:r w:rsidRPr="00145B66">
        <w:rPr>
          <w:rFonts w:ascii="Times New Roman" w:hAnsi="Times New Roman"/>
          <w:sz w:val="28"/>
          <w:szCs w:val="28"/>
        </w:rPr>
        <w:t xml:space="preserve"> с помощью официальных русскоязычных версий опросников EORTC QLQ-C30 Европейской организации исследования и лечения рака. Русскоязычная ве</w:t>
      </w:r>
      <w:r>
        <w:rPr>
          <w:rFonts w:ascii="Times New Roman" w:hAnsi="Times New Roman"/>
          <w:sz w:val="28"/>
          <w:szCs w:val="28"/>
        </w:rPr>
        <w:t xml:space="preserve">рсия опросника EORTC QLQ-C30 и </w:t>
      </w:r>
      <w:r w:rsidRPr="00145B66">
        <w:rPr>
          <w:rFonts w:ascii="Times New Roman" w:hAnsi="Times New Roman"/>
          <w:sz w:val="28"/>
          <w:szCs w:val="28"/>
        </w:rPr>
        <w:t xml:space="preserve">счетное руководство были получены по официальному запросу на сайте EORTC. Основная характеристика опросника EORTC QLQ-C30 дана в таблице </w:t>
      </w:r>
      <w:r w:rsidRPr="00E964C4">
        <w:rPr>
          <w:rFonts w:ascii="Times New Roman" w:hAnsi="Times New Roman"/>
          <w:sz w:val="28"/>
          <w:szCs w:val="28"/>
        </w:rPr>
        <w:t>9</w:t>
      </w:r>
      <w:r w:rsidRPr="00145B66">
        <w:rPr>
          <w:rFonts w:ascii="Times New Roman" w:hAnsi="Times New Roman"/>
          <w:sz w:val="28"/>
          <w:szCs w:val="28"/>
        </w:rPr>
        <w:t>.</w:t>
      </w:r>
    </w:p>
    <w:p w14:paraId="1DD2CE89" w14:textId="77777777" w:rsidR="005C199B" w:rsidRPr="00480D87"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45B66">
        <w:rPr>
          <w:rFonts w:ascii="Times New Roman" w:hAnsi="Times New Roman"/>
          <w:sz w:val="28"/>
          <w:szCs w:val="28"/>
        </w:rPr>
        <w:t>Анкеты заполнялись собственноручно самими пациентами каждые 3 месяца после операции в течение 1 года.</w:t>
      </w:r>
    </w:p>
    <w:p w14:paraId="3B4A29BF" w14:textId="77777777" w:rsidR="005C199B"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p>
    <w:p w14:paraId="27306545" w14:textId="77777777" w:rsidR="005C199B" w:rsidRPr="00145B66" w:rsidRDefault="005C199B" w:rsidP="005C199B">
      <w:pPr>
        <w:widowControl w:val="0"/>
        <w:tabs>
          <w:tab w:val="left" w:pos="0"/>
        </w:tabs>
        <w:spacing w:after="0" w:line="240" w:lineRule="auto"/>
        <w:jc w:val="both"/>
        <w:rPr>
          <w:rFonts w:ascii="Times New Roman" w:hAnsi="Times New Roman"/>
          <w:sz w:val="28"/>
          <w:szCs w:val="28"/>
        </w:rPr>
      </w:pPr>
      <w:r w:rsidRPr="00145B66">
        <w:rPr>
          <w:rFonts w:ascii="Times New Roman" w:hAnsi="Times New Roman"/>
          <w:sz w:val="28"/>
          <w:szCs w:val="28"/>
        </w:rPr>
        <w:lastRenderedPageBreak/>
        <w:t xml:space="preserve">Таблица </w:t>
      </w:r>
      <w:r w:rsidRPr="00E964C4">
        <w:rPr>
          <w:rFonts w:ascii="Times New Roman" w:hAnsi="Times New Roman"/>
          <w:sz w:val="28"/>
          <w:szCs w:val="28"/>
        </w:rPr>
        <w:t>9</w:t>
      </w:r>
      <w:r w:rsidRPr="00145B66">
        <w:rPr>
          <w:rFonts w:ascii="Times New Roman" w:hAnsi="Times New Roman"/>
          <w:sz w:val="28"/>
          <w:szCs w:val="28"/>
        </w:rPr>
        <w:t xml:space="preserve"> – Характеристика опросника EORTC QLQ-C30 по оценке качества жизни</w:t>
      </w:r>
    </w:p>
    <w:p w14:paraId="06A9DC97" w14:textId="77777777" w:rsidR="005C199B" w:rsidRPr="00E964C4" w:rsidRDefault="005C199B" w:rsidP="005C199B">
      <w:pPr>
        <w:widowControl w:val="0"/>
        <w:tabs>
          <w:tab w:val="left" w:pos="0"/>
        </w:tabs>
        <w:spacing w:after="0" w:line="240" w:lineRule="auto"/>
        <w:jc w:val="both"/>
        <w:rPr>
          <w:rFonts w:ascii="Times New Roman" w:hAnsi="Times New Roman"/>
          <w:sz w:val="28"/>
          <w:szCs w:val="28"/>
        </w:rPr>
      </w:pPr>
    </w:p>
    <w:tbl>
      <w:tblPr>
        <w:tblW w:w="9466" w:type="dxa"/>
        <w:jc w:val="center"/>
        <w:tblBorders>
          <w:top w:val="single" w:sz="2" w:space="0" w:color="000001"/>
          <w:left w:val="single" w:sz="2" w:space="0" w:color="000001"/>
          <w:bottom w:val="single" w:sz="2" w:space="0" w:color="000001"/>
          <w:insideH w:val="single" w:sz="2" w:space="0" w:color="000001"/>
        </w:tblBorders>
        <w:tblLayout w:type="fixed"/>
        <w:tblCellMar>
          <w:top w:w="55" w:type="dxa"/>
          <w:left w:w="30" w:type="dxa"/>
          <w:bottom w:w="55" w:type="dxa"/>
          <w:right w:w="55" w:type="dxa"/>
        </w:tblCellMar>
        <w:tblLook w:val="04A0" w:firstRow="1" w:lastRow="0" w:firstColumn="1" w:lastColumn="0" w:noHBand="0" w:noVBand="1"/>
      </w:tblPr>
      <w:tblGrid>
        <w:gridCol w:w="3699"/>
        <w:gridCol w:w="5767"/>
      </w:tblGrid>
      <w:tr w:rsidR="005C199B" w:rsidRPr="00145B66" w14:paraId="5809A6BC" w14:textId="77777777" w:rsidTr="00094F6F">
        <w:trPr>
          <w:trHeight w:val="340"/>
          <w:jc w:val="center"/>
        </w:trPr>
        <w:tc>
          <w:tcPr>
            <w:tcW w:w="3699" w:type="dxa"/>
            <w:tcBorders>
              <w:top w:val="single" w:sz="2" w:space="0" w:color="000001"/>
              <w:left w:val="single" w:sz="2" w:space="0" w:color="000001"/>
              <w:bottom w:val="single" w:sz="2" w:space="0" w:color="000001"/>
              <w:right w:val="nil"/>
            </w:tcBorders>
            <w:vAlign w:val="center"/>
            <w:hideMark/>
          </w:tcPr>
          <w:p w14:paraId="3D803C23" w14:textId="77777777" w:rsidR="005C199B" w:rsidRPr="001B654E" w:rsidRDefault="005C199B" w:rsidP="00094F6F">
            <w:pPr>
              <w:pStyle w:val="ad"/>
              <w:widowControl w:val="0"/>
              <w:suppressAutoHyphens w:val="0"/>
              <w:spacing w:line="240" w:lineRule="auto"/>
              <w:jc w:val="center"/>
              <w:rPr>
                <w:rFonts w:eastAsia="NSimSun"/>
                <w:bCs/>
                <w:lang w:eastAsia="en-US"/>
              </w:rPr>
            </w:pPr>
            <w:r w:rsidRPr="001B654E">
              <w:rPr>
                <w:rFonts w:eastAsia="NSimSun"/>
                <w:bCs/>
                <w:lang w:eastAsia="en-US"/>
              </w:rPr>
              <w:t>Характеристики</w:t>
            </w:r>
          </w:p>
        </w:tc>
        <w:tc>
          <w:tcPr>
            <w:tcW w:w="5767" w:type="dxa"/>
            <w:tcBorders>
              <w:top w:val="single" w:sz="2" w:space="0" w:color="000001"/>
              <w:left w:val="single" w:sz="2" w:space="0" w:color="000001"/>
              <w:bottom w:val="single" w:sz="2" w:space="0" w:color="000001"/>
              <w:right w:val="single" w:sz="2" w:space="0" w:color="000001"/>
            </w:tcBorders>
            <w:vAlign w:val="center"/>
            <w:hideMark/>
          </w:tcPr>
          <w:p w14:paraId="7B8FD5CA" w14:textId="77777777" w:rsidR="005C199B" w:rsidRPr="001B654E" w:rsidRDefault="005C199B" w:rsidP="00094F6F">
            <w:pPr>
              <w:pStyle w:val="ad"/>
              <w:widowControl w:val="0"/>
              <w:suppressAutoHyphens w:val="0"/>
              <w:spacing w:line="240" w:lineRule="auto"/>
              <w:jc w:val="center"/>
              <w:rPr>
                <w:bCs/>
                <w:lang w:val="en-US" w:eastAsia="en-US"/>
              </w:rPr>
            </w:pPr>
            <w:r w:rsidRPr="001B654E">
              <w:rPr>
                <w:bCs/>
                <w:lang w:eastAsia="en-US"/>
              </w:rPr>
              <w:t>EORTC</w:t>
            </w:r>
            <w:r>
              <w:rPr>
                <w:bCs/>
                <w:lang w:val="en-US" w:eastAsia="en-US"/>
              </w:rPr>
              <w:t xml:space="preserve"> </w:t>
            </w:r>
            <w:r w:rsidRPr="001B654E">
              <w:rPr>
                <w:bCs/>
                <w:lang w:eastAsia="en-US"/>
              </w:rPr>
              <w:t>QLQ</w:t>
            </w:r>
            <w:r w:rsidRPr="001B654E">
              <w:rPr>
                <w:bCs/>
                <w:lang w:val="en-US" w:eastAsia="en-US"/>
              </w:rPr>
              <w:t>-</w:t>
            </w:r>
            <w:r w:rsidRPr="001B654E">
              <w:rPr>
                <w:bCs/>
                <w:lang w:eastAsia="en-US"/>
              </w:rPr>
              <w:t>С30</w:t>
            </w:r>
          </w:p>
        </w:tc>
      </w:tr>
      <w:tr w:rsidR="005C199B" w:rsidRPr="00145B66" w14:paraId="6303B6D3" w14:textId="77777777" w:rsidTr="00094F6F">
        <w:trPr>
          <w:trHeight w:val="340"/>
          <w:jc w:val="center"/>
        </w:trPr>
        <w:tc>
          <w:tcPr>
            <w:tcW w:w="3699" w:type="dxa"/>
            <w:tcBorders>
              <w:top w:val="single" w:sz="2" w:space="0" w:color="000001"/>
              <w:left w:val="single" w:sz="2" w:space="0" w:color="000001"/>
              <w:bottom w:val="single" w:sz="2" w:space="0" w:color="000001"/>
              <w:right w:val="nil"/>
            </w:tcBorders>
            <w:vAlign w:val="center"/>
            <w:hideMark/>
          </w:tcPr>
          <w:p w14:paraId="054E59FC" w14:textId="77777777" w:rsidR="005C199B" w:rsidRPr="001B654E" w:rsidRDefault="005C199B" w:rsidP="00094F6F">
            <w:pPr>
              <w:pStyle w:val="ad"/>
              <w:widowControl w:val="0"/>
              <w:suppressAutoHyphens w:val="0"/>
              <w:spacing w:line="240" w:lineRule="auto"/>
              <w:rPr>
                <w:rFonts w:eastAsia="NSimSun"/>
                <w:lang w:eastAsia="en-US"/>
              </w:rPr>
            </w:pPr>
            <w:r w:rsidRPr="001B654E">
              <w:rPr>
                <w:rFonts w:eastAsia="NSimSun"/>
                <w:lang w:eastAsia="en-US"/>
              </w:rPr>
              <w:t>Категория пациентов</w:t>
            </w:r>
          </w:p>
        </w:tc>
        <w:tc>
          <w:tcPr>
            <w:tcW w:w="5767" w:type="dxa"/>
            <w:tcBorders>
              <w:top w:val="single" w:sz="2" w:space="0" w:color="000001"/>
              <w:left w:val="single" w:sz="2" w:space="0" w:color="000001"/>
              <w:bottom w:val="single" w:sz="2" w:space="0" w:color="000001"/>
              <w:right w:val="single" w:sz="2" w:space="0" w:color="000001"/>
            </w:tcBorders>
            <w:vAlign w:val="center"/>
            <w:hideMark/>
          </w:tcPr>
          <w:p w14:paraId="29DECA4D" w14:textId="77777777" w:rsidR="005C199B" w:rsidRPr="001B654E" w:rsidRDefault="005C199B" w:rsidP="00094F6F">
            <w:pPr>
              <w:pStyle w:val="ad"/>
              <w:widowControl w:val="0"/>
              <w:suppressAutoHyphens w:val="0"/>
              <w:spacing w:line="240" w:lineRule="auto"/>
              <w:rPr>
                <w:rFonts w:eastAsia="NSimSun"/>
                <w:lang w:eastAsia="en-US"/>
              </w:rPr>
            </w:pPr>
            <w:r w:rsidRPr="001B654E">
              <w:rPr>
                <w:rFonts w:eastAsia="NSimSun"/>
                <w:lang w:eastAsia="en-US"/>
              </w:rPr>
              <w:t>Больные после радикального хирургического лечения рака ободочной кишки</w:t>
            </w:r>
          </w:p>
        </w:tc>
      </w:tr>
      <w:tr w:rsidR="005C199B" w:rsidRPr="00145B66" w14:paraId="6E9BF01B" w14:textId="77777777" w:rsidTr="00094F6F">
        <w:trPr>
          <w:trHeight w:val="340"/>
          <w:jc w:val="center"/>
        </w:trPr>
        <w:tc>
          <w:tcPr>
            <w:tcW w:w="3699" w:type="dxa"/>
            <w:tcBorders>
              <w:top w:val="single" w:sz="2" w:space="0" w:color="000001"/>
              <w:left w:val="single" w:sz="2" w:space="0" w:color="000001"/>
              <w:bottom w:val="single" w:sz="2" w:space="0" w:color="000001"/>
              <w:right w:val="nil"/>
            </w:tcBorders>
            <w:vAlign w:val="center"/>
            <w:hideMark/>
          </w:tcPr>
          <w:p w14:paraId="2089A81A" w14:textId="77777777" w:rsidR="005C199B" w:rsidRPr="001B654E" w:rsidRDefault="005C199B" w:rsidP="00094F6F">
            <w:pPr>
              <w:pStyle w:val="ad"/>
              <w:widowControl w:val="0"/>
              <w:suppressAutoHyphens w:val="0"/>
              <w:spacing w:line="240" w:lineRule="auto"/>
              <w:rPr>
                <w:rFonts w:eastAsia="NSimSun"/>
                <w:lang w:eastAsia="en-US"/>
              </w:rPr>
            </w:pPr>
            <w:r w:rsidRPr="001B654E">
              <w:rPr>
                <w:rFonts w:eastAsia="NSimSun"/>
                <w:lang w:eastAsia="en-US"/>
              </w:rPr>
              <w:t>Количество вопросов</w:t>
            </w:r>
          </w:p>
        </w:tc>
        <w:tc>
          <w:tcPr>
            <w:tcW w:w="5767" w:type="dxa"/>
            <w:tcBorders>
              <w:top w:val="single" w:sz="2" w:space="0" w:color="000001"/>
              <w:left w:val="single" w:sz="2" w:space="0" w:color="000001"/>
              <w:bottom w:val="single" w:sz="2" w:space="0" w:color="000001"/>
              <w:right w:val="single" w:sz="2" w:space="0" w:color="000001"/>
            </w:tcBorders>
            <w:vAlign w:val="center"/>
            <w:hideMark/>
          </w:tcPr>
          <w:p w14:paraId="5C02B30D" w14:textId="77777777" w:rsidR="005C199B" w:rsidRPr="001B654E" w:rsidRDefault="005C199B" w:rsidP="00094F6F">
            <w:pPr>
              <w:pStyle w:val="ad"/>
              <w:widowControl w:val="0"/>
              <w:suppressAutoHyphens w:val="0"/>
              <w:spacing w:line="240" w:lineRule="auto"/>
              <w:rPr>
                <w:rFonts w:eastAsia="NSimSun"/>
                <w:lang w:val="en-US" w:eastAsia="en-US"/>
              </w:rPr>
            </w:pPr>
            <w:r w:rsidRPr="001B654E">
              <w:rPr>
                <w:rFonts w:eastAsia="NSimSun"/>
                <w:lang w:val="en-US" w:eastAsia="en-US"/>
              </w:rPr>
              <w:t>30</w:t>
            </w:r>
          </w:p>
        </w:tc>
      </w:tr>
      <w:tr w:rsidR="005C199B" w:rsidRPr="00145B66" w14:paraId="44C71A9D" w14:textId="77777777" w:rsidTr="00094F6F">
        <w:trPr>
          <w:trHeight w:val="340"/>
          <w:jc w:val="center"/>
        </w:trPr>
        <w:tc>
          <w:tcPr>
            <w:tcW w:w="3699" w:type="dxa"/>
            <w:tcBorders>
              <w:top w:val="single" w:sz="2" w:space="0" w:color="000001"/>
              <w:left w:val="single" w:sz="2" w:space="0" w:color="000001"/>
              <w:bottom w:val="nil"/>
              <w:right w:val="nil"/>
            </w:tcBorders>
            <w:vAlign w:val="center"/>
            <w:hideMark/>
          </w:tcPr>
          <w:p w14:paraId="6F573BB5" w14:textId="77777777" w:rsidR="005C199B" w:rsidRPr="001B654E" w:rsidRDefault="005C199B" w:rsidP="00094F6F">
            <w:pPr>
              <w:pStyle w:val="ad"/>
              <w:widowControl w:val="0"/>
              <w:suppressAutoHyphens w:val="0"/>
              <w:spacing w:line="240" w:lineRule="auto"/>
              <w:rPr>
                <w:rFonts w:eastAsia="NSimSun"/>
                <w:lang w:eastAsia="en-US"/>
              </w:rPr>
            </w:pPr>
            <w:r w:rsidRPr="001B654E">
              <w:rPr>
                <w:rFonts w:eastAsia="NSimSun"/>
                <w:lang w:eastAsia="en-US"/>
              </w:rPr>
              <w:t>Формат</w:t>
            </w:r>
          </w:p>
        </w:tc>
        <w:tc>
          <w:tcPr>
            <w:tcW w:w="5767" w:type="dxa"/>
            <w:tcBorders>
              <w:top w:val="single" w:sz="2" w:space="0" w:color="000001"/>
              <w:left w:val="single" w:sz="2" w:space="0" w:color="000001"/>
              <w:bottom w:val="nil"/>
              <w:right w:val="single" w:sz="2" w:space="0" w:color="000001"/>
            </w:tcBorders>
            <w:vAlign w:val="center"/>
            <w:hideMark/>
          </w:tcPr>
          <w:p w14:paraId="009A915C" w14:textId="77777777" w:rsidR="005C199B" w:rsidRPr="001B654E" w:rsidRDefault="005C199B" w:rsidP="00094F6F">
            <w:pPr>
              <w:pStyle w:val="ad"/>
              <w:widowControl w:val="0"/>
              <w:suppressAutoHyphens w:val="0"/>
              <w:spacing w:line="240" w:lineRule="auto"/>
              <w:rPr>
                <w:rFonts w:eastAsia="NSimSun"/>
                <w:lang w:eastAsia="en-US"/>
              </w:rPr>
            </w:pPr>
            <w:r w:rsidRPr="001B654E">
              <w:rPr>
                <w:rFonts w:eastAsia="NSimSun"/>
                <w:lang w:eastAsia="en-US"/>
              </w:rPr>
              <w:t>В формате вопросов</w:t>
            </w:r>
          </w:p>
        </w:tc>
      </w:tr>
      <w:tr w:rsidR="005C199B" w:rsidRPr="00145B66" w14:paraId="78469FF0" w14:textId="77777777" w:rsidTr="00094F6F">
        <w:trPr>
          <w:trHeight w:val="340"/>
          <w:jc w:val="center"/>
        </w:trPr>
        <w:tc>
          <w:tcPr>
            <w:tcW w:w="3699" w:type="dxa"/>
            <w:tcBorders>
              <w:top w:val="single" w:sz="4" w:space="0" w:color="auto"/>
              <w:left w:val="single" w:sz="2" w:space="0" w:color="000001"/>
              <w:bottom w:val="single" w:sz="2" w:space="0" w:color="000001"/>
              <w:right w:val="nil"/>
            </w:tcBorders>
            <w:vAlign w:val="center"/>
          </w:tcPr>
          <w:p w14:paraId="2554C89D" w14:textId="77777777" w:rsidR="005C199B" w:rsidRPr="001B654E" w:rsidRDefault="005C199B" w:rsidP="00094F6F">
            <w:pPr>
              <w:pStyle w:val="ad"/>
              <w:widowControl w:val="0"/>
              <w:suppressAutoHyphens w:val="0"/>
              <w:spacing w:line="240" w:lineRule="auto"/>
              <w:rPr>
                <w:rFonts w:eastAsia="NSimSun"/>
                <w:lang w:eastAsia="en-US"/>
              </w:rPr>
            </w:pPr>
            <w:r w:rsidRPr="001B654E">
              <w:rPr>
                <w:rFonts w:eastAsia="NSimSun"/>
                <w:lang w:eastAsia="en-US"/>
              </w:rPr>
              <w:t>Распределение вопросов в анкете</w:t>
            </w:r>
          </w:p>
        </w:tc>
        <w:tc>
          <w:tcPr>
            <w:tcW w:w="5767" w:type="dxa"/>
            <w:tcBorders>
              <w:top w:val="single" w:sz="4" w:space="0" w:color="auto"/>
              <w:left w:val="single" w:sz="2" w:space="0" w:color="000001"/>
              <w:bottom w:val="single" w:sz="2" w:space="0" w:color="000001"/>
              <w:right w:val="single" w:sz="2" w:space="0" w:color="000001"/>
            </w:tcBorders>
            <w:vAlign w:val="center"/>
            <w:hideMark/>
          </w:tcPr>
          <w:p w14:paraId="40A0EA3B" w14:textId="77777777" w:rsidR="005C199B" w:rsidRPr="001B654E" w:rsidRDefault="005C199B" w:rsidP="00094F6F">
            <w:pPr>
              <w:pStyle w:val="ad"/>
              <w:widowControl w:val="0"/>
              <w:suppressAutoHyphens w:val="0"/>
              <w:spacing w:line="240" w:lineRule="auto"/>
              <w:rPr>
                <w:rFonts w:eastAsia="NSimSun"/>
                <w:lang w:eastAsia="en-US"/>
              </w:rPr>
            </w:pPr>
            <w:r w:rsidRPr="001B654E">
              <w:rPr>
                <w:rFonts w:eastAsia="NSimSun"/>
                <w:lang w:eastAsia="en-US"/>
              </w:rPr>
              <w:t>Беспорядочное</w:t>
            </w:r>
          </w:p>
        </w:tc>
      </w:tr>
      <w:tr w:rsidR="005C199B" w:rsidRPr="00145B66" w14:paraId="236697A8" w14:textId="77777777" w:rsidTr="00094F6F">
        <w:trPr>
          <w:trHeight w:val="340"/>
          <w:jc w:val="center"/>
        </w:trPr>
        <w:tc>
          <w:tcPr>
            <w:tcW w:w="3699" w:type="dxa"/>
            <w:tcBorders>
              <w:top w:val="single" w:sz="2" w:space="0" w:color="000001"/>
              <w:left w:val="single" w:sz="2" w:space="0" w:color="000001"/>
              <w:bottom w:val="nil"/>
              <w:right w:val="nil"/>
            </w:tcBorders>
            <w:vAlign w:val="center"/>
            <w:hideMark/>
          </w:tcPr>
          <w:p w14:paraId="4872B778" w14:textId="77777777" w:rsidR="005C199B" w:rsidRPr="001B654E" w:rsidRDefault="005C199B" w:rsidP="00094F6F">
            <w:pPr>
              <w:pStyle w:val="ad"/>
              <w:widowControl w:val="0"/>
              <w:suppressAutoHyphens w:val="0"/>
              <w:spacing w:line="240" w:lineRule="auto"/>
              <w:rPr>
                <w:rFonts w:eastAsia="NSimSun"/>
                <w:lang w:eastAsia="en-US"/>
              </w:rPr>
            </w:pPr>
            <w:r w:rsidRPr="001B654E">
              <w:rPr>
                <w:rFonts w:eastAsia="NSimSun"/>
                <w:lang w:eastAsia="en-US"/>
              </w:rPr>
              <w:t>Шкалы</w:t>
            </w:r>
          </w:p>
        </w:tc>
        <w:tc>
          <w:tcPr>
            <w:tcW w:w="5767" w:type="dxa"/>
            <w:tcBorders>
              <w:top w:val="single" w:sz="2" w:space="0" w:color="000001"/>
              <w:left w:val="single" w:sz="2" w:space="0" w:color="000001"/>
              <w:bottom w:val="nil"/>
              <w:right w:val="single" w:sz="2" w:space="0" w:color="000001"/>
            </w:tcBorders>
            <w:vAlign w:val="center"/>
            <w:hideMark/>
          </w:tcPr>
          <w:p w14:paraId="73F5450A" w14:textId="77777777" w:rsidR="005C199B" w:rsidRPr="001B654E" w:rsidRDefault="005C199B" w:rsidP="00094F6F">
            <w:pPr>
              <w:pStyle w:val="ad"/>
              <w:widowControl w:val="0"/>
              <w:suppressAutoHyphens w:val="0"/>
              <w:spacing w:line="240" w:lineRule="auto"/>
              <w:rPr>
                <w:lang w:eastAsia="en-US"/>
              </w:rPr>
            </w:pPr>
            <w:r w:rsidRPr="001B654E">
              <w:rPr>
                <w:rFonts w:cs="Times New Roman"/>
                <w:shd w:val="clear" w:color="auto" w:fill="FFFFFF"/>
                <w:lang w:eastAsia="en-US"/>
              </w:rPr>
              <w:t xml:space="preserve">– </w:t>
            </w:r>
            <w:r w:rsidRPr="001B654E">
              <w:rPr>
                <w:shd w:val="clear" w:color="auto" w:fill="FFFFFF"/>
                <w:lang w:eastAsia="en-US"/>
              </w:rPr>
              <w:t xml:space="preserve">9 симптоматических </w:t>
            </w:r>
            <w:proofErr w:type="gramStart"/>
            <w:r w:rsidRPr="001B654E">
              <w:rPr>
                <w:shd w:val="clear" w:color="auto" w:fill="FFFFFF"/>
                <w:lang w:eastAsia="en-US"/>
              </w:rPr>
              <w:t>шкал</w:t>
            </w:r>
            <w:r w:rsidRPr="001B654E">
              <w:rPr>
                <w:shd w:val="clear" w:color="auto" w:fill="FFFFFF"/>
                <w:lang w:eastAsia="en-US"/>
              </w:rPr>
              <w:br/>
              <w:t>(</w:t>
            </w:r>
            <w:proofErr w:type="gramEnd"/>
            <w:r w:rsidRPr="001B654E">
              <w:rPr>
                <w:shd w:val="clear" w:color="auto" w:fill="FFFFFF"/>
                <w:lang w:eastAsia="en-US"/>
              </w:rPr>
              <w:t>слабость, тошнота/рвота, боль, нарушения сна, диспноэ, снижение аппетита, запор, диарея и финансовые трудности);</w:t>
            </w:r>
            <w:r w:rsidRPr="001B654E">
              <w:rPr>
                <w:lang w:eastAsia="en-US"/>
              </w:rPr>
              <w:t xml:space="preserve"> </w:t>
            </w:r>
          </w:p>
        </w:tc>
      </w:tr>
      <w:tr w:rsidR="005C199B" w:rsidRPr="00145B66" w14:paraId="42DBD665" w14:textId="77777777" w:rsidTr="00094F6F">
        <w:trPr>
          <w:trHeight w:val="340"/>
          <w:jc w:val="center"/>
        </w:trPr>
        <w:tc>
          <w:tcPr>
            <w:tcW w:w="3699" w:type="dxa"/>
            <w:tcBorders>
              <w:top w:val="single" w:sz="4" w:space="0" w:color="auto"/>
              <w:left w:val="single" w:sz="2" w:space="0" w:color="000001"/>
              <w:bottom w:val="single" w:sz="4" w:space="0" w:color="auto"/>
              <w:right w:val="nil"/>
            </w:tcBorders>
            <w:tcMar>
              <w:top w:w="0" w:type="dxa"/>
              <w:bottom w:w="0" w:type="dxa"/>
            </w:tcMar>
            <w:vAlign w:val="center"/>
          </w:tcPr>
          <w:p w14:paraId="31D4C7CC" w14:textId="77777777" w:rsidR="005C199B" w:rsidRPr="001B654E" w:rsidRDefault="005C199B" w:rsidP="00094F6F">
            <w:pPr>
              <w:pStyle w:val="ad"/>
              <w:widowControl w:val="0"/>
              <w:suppressAutoHyphens w:val="0"/>
              <w:spacing w:line="240" w:lineRule="auto"/>
              <w:rPr>
                <w:rFonts w:eastAsia="NSimSun"/>
                <w:lang w:eastAsia="en-US"/>
              </w:rPr>
            </w:pPr>
          </w:p>
        </w:tc>
        <w:tc>
          <w:tcPr>
            <w:tcW w:w="5767" w:type="dxa"/>
            <w:tcBorders>
              <w:top w:val="single" w:sz="4" w:space="0" w:color="auto"/>
              <w:left w:val="single" w:sz="2" w:space="0" w:color="000001"/>
              <w:bottom w:val="single" w:sz="4" w:space="0" w:color="auto"/>
              <w:right w:val="single" w:sz="2" w:space="0" w:color="000001"/>
            </w:tcBorders>
            <w:tcMar>
              <w:top w:w="0" w:type="dxa"/>
              <w:bottom w:w="0" w:type="dxa"/>
            </w:tcMar>
            <w:vAlign w:val="center"/>
          </w:tcPr>
          <w:p w14:paraId="4B01A6B0" w14:textId="77777777" w:rsidR="005C199B" w:rsidRPr="001B654E" w:rsidRDefault="005C199B" w:rsidP="00094F6F">
            <w:pPr>
              <w:pStyle w:val="ad"/>
              <w:widowControl w:val="0"/>
              <w:suppressAutoHyphens w:val="0"/>
              <w:spacing w:line="240" w:lineRule="auto"/>
              <w:ind w:right="-50"/>
              <w:rPr>
                <w:lang w:eastAsia="en-US"/>
              </w:rPr>
            </w:pPr>
            <w:r w:rsidRPr="001B654E">
              <w:rPr>
                <w:rFonts w:cs="Times New Roman"/>
                <w:lang w:eastAsia="en-US"/>
              </w:rPr>
              <w:t>–</w:t>
            </w:r>
            <w:r w:rsidRPr="001B654E">
              <w:rPr>
                <w:lang w:eastAsia="en-US"/>
              </w:rPr>
              <w:t xml:space="preserve"> 5 функциональных </w:t>
            </w:r>
            <w:proofErr w:type="gramStart"/>
            <w:r w:rsidRPr="001B654E">
              <w:rPr>
                <w:lang w:eastAsia="en-US"/>
              </w:rPr>
              <w:t>шкал</w:t>
            </w:r>
            <w:r w:rsidRPr="001B654E">
              <w:rPr>
                <w:lang w:eastAsia="en-US"/>
              </w:rPr>
              <w:br/>
              <w:t>(</w:t>
            </w:r>
            <w:proofErr w:type="gramEnd"/>
            <w:r w:rsidRPr="001B654E">
              <w:rPr>
                <w:lang w:eastAsia="en-US"/>
              </w:rPr>
              <w:t>физическое функционирование, ролевое функционирование, эмоциональное функционирование, социальное функционирование, когнитивное восприятие);</w:t>
            </w:r>
          </w:p>
          <w:p w14:paraId="19649604" w14:textId="77777777" w:rsidR="005C199B" w:rsidRPr="001B654E" w:rsidRDefault="005C199B" w:rsidP="00094F6F">
            <w:pPr>
              <w:pStyle w:val="ad"/>
              <w:widowControl w:val="0"/>
              <w:suppressAutoHyphens w:val="0"/>
              <w:spacing w:line="240" w:lineRule="auto"/>
              <w:rPr>
                <w:rFonts w:eastAsia="NSimSun"/>
                <w:lang w:eastAsia="en-US"/>
              </w:rPr>
            </w:pPr>
            <w:r w:rsidRPr="001B654E">
              <w:rPr>
                <w:rFonts w:cs="Times New Roman"/>
                <w:lang w:eastAsia="en-US"/>
              </w:rPr>
              <w:t>–</w:t>
            </w:r>
            <w:r w:rsidRPr="001B654E">
              <w:rPr>
                <w:lang w:eastAsia="en-US"/>
              </w:rPr>
              <w:t xml:space="preserve"> статус общего здоровья</w:t>
            </w:r>
          </w:p>
        </w:tc>
      </w:tr>
      <w:tr w:rsidR="005C199B" w:rsidRPr="00145B66" w14:paraId="3F4B7476" w14:textId="77777777" w:rsidTr="00094F6F">
        <w:trPr>
          <w:trHeight w:val="340"/>
          <w:jc w:val="center"/>
        </w:trPr>
        <w:tc>
          <w:tcPr>
            <w:tcW w:w="3699" w:type="dxa"/>
            <w:tcBorders>
              <w:top w:val="single" w:sz="4" w:space="0" w:color="auto"/>
              <w:left w:val="single" w:sz="2" w:space="0" w:color="000001"/>
              <w:bottom w:val="single" w:sz="4" w:space="0" w:color="auto"/>
              <w:right w:val="nil"/>
            </w:tcBorders>
            <w:vAlign w:val="center"/>
            <w:hideMark/>
          </w:tcPr>
          <w:p w14:paraId="06BCAA5A" w14:textId="77777777" w:rsidR="005C199B" w:rsidRPr="001B654E" w:rsidRDefault="005C199B" w:rsidP="00094F6F">
            <w:pPr>
              <w:pStyle w:val="ad"/>
              <w:widowControl w:val="0"/>
              <w:suppressAutoHyphens w:val="0"/>
              <w:spacing w:line="240" w:lineRule="auto"/>
              <w:rPr>
                <w:rFonts w:eastAsia="NSimSun"/>
                <w:lang w:eastAsia="en-US"/>
              </w:rPr>
            </w:pPr>
            <w:r w:rsidRPr="001B654E">
              <w:rPr>
                <w:rFonts w:eastAsia="NSimSun"/>
                <w:lang w:eastAsia="en-US"/>
              </w:rPr>
              <w:t>Интерпретация результатов</w:t>
            </w:r>
          </w:p>
        </w:tc>
        <w:tc>
          <w:tcPr>
            <w:tcW w:w="5767" w:type="dxa"/>
            <w:tcBorders>
              <w:top w:val="single" w:sz="4" w:space="0" w:color="auto"/>
              <w:left w:val="single" w:sz="2" w:space="0" w:color="000001"/>
              <w:bottom w:val="single" w:sz="4" w:space="0" w:color="auto"/>
              <w:right w:val="single" w:sz="2" w:space="0" w:color="000001"/>
            </w:tcBorders>
            <w:vAlign w:val="center"/>
            <w:hideMark/>
          </w:tcPr>
          <w:p w14:paraId="0EDFE104" w14:textId="77777777" w:rsidR="005C199B" w:rsidRPr="001B654E" w:rsidRDefault="005C199B" w:rsidP="00094F6F">
            <w:pPr>
              <w:pStyle w:val="ad"/>
              <w:widowControl w:val="0"/>
              <w:suppressAutoHyphens w:val="0"/>
              <w:spacing w:line="240" w:lineRule="auto"/>
              <w:rPr>
                <w:rFonts w:eastAsia="NSimSun"/>
                <w:lang w:eastAsia="en-US"/>
              </w:rPr>
            </w:pPr>
            <w:r w:rsidRPr="001B654E">
              <w:rPr>
                <w:rFonts w:eastAsia="NSimSun"/>
                <w:lang w:eastAsia="en-US"/>
              </w:rPr>
              <w:t>Значения от 1 до 4 преобразуются в значения по шкале 0-100.</w:t>
            </w:r>
          </w:p>
          <w:p w14:paraId="3DC81146" w14:textId="77777777" w:rsidR="005C199B" w:rsidRPr="001B654E" w:rsidRDefault="005C199B" w:rsidP="00094F6F">
            <w:pPr>
              <w:pStyle w:val="ad"/>
              <w:widowControl w:val="0"/>
              <w:suppressAutoHyphens w:val="0"/>
              <w:spacing w:line="240" w:lineRule="auto"/>
              <w:rPr>
                <w:rFonts w:eastAsia="NSimSun"/>
                <w:lang w:eastAsia="en-US"/>
              </w:rPr>
            </w:pPr>
            <w:r w:rsidRPr="001B654E">
              <w:rPr>
                <w:rFonts w:eastAsia="NSimSun"/>
                <w:lang w:eastAsia="en-US"/>
              </w:rPr>
              <w:t>Высокие значения для функциональных шкал означает высокое КЖ, для шкал симптоматики – выраженное течение болезни</w:t>
            </w:r>
          </w:p>
        </w:tc>
      </w:tr>
    </w:tbl>
    <w:p w14:paraId="4CBF9807" w14:textId="77777777" w:rsidR="005C199B" w:rsidRDefault="005C199B" w:rsidP="005C199B">
      <w:pPr>
        <w:pStyle w:val="a7"/>
        <w:widowControl w:val="0"/>
        <w:ind w:left="0" w:firstLine="567"/>
        <w:rPr>
          <w:rFonts w:ascii="Times New Roman" w:hAnsi="Times New Roman"/>
          <w:sz w:val="28"/>
          <w:szCs w:val="28"/>
        </w:rPr>
      </w:pPr>
    </w:p>
    <w:p w14:paraId="6D38111E" w14:textId="77777777" w:rsidR="005C199B" w:rsidRPr="001B654E" w:rsidRDefault="005C199B" w:rsidP="005C199B">
      <w:pPr>
        <w:spacing w:after="0" w:line="240" w:lineRule="auto"/>
        <w:ind w:firstLine="567"/>
      </w:pPr>
    </w:p>
    <w:p w14:paraId="1AF59E2B" w14:textId="77777777" w:rsidR="005C199B" w:rsidRPr="003B2168" w:rsidRDefault="005C199B" w:rsidP="005C199B">
      <w:pPr>
        <w:pStyle w:val="a6"/>
        <w:widowControl w:val="0"/>
        <w:tabs>
          <w:tab w:val="left" w:pos="0"/>
        </w:tabs>
        <w:spacing w:after="0" w:line="240" w:lineRule="auto"/>
        <w:ind w:left="0" w:firstLine="567"/>
        <w:contextualSpacing w:val="0"/>
        <w:jc w:val="both"/>
        <w:rPr>
          <w:rFonts w:ascii="Times New Roman" w:hAnsi="Times New Roman"/>
          <w:bCs/>
          <w:sz w:val="28"/>
          <w:szCs w:val="28"/>
        </w:rPr>
      </w:pPr>
      <w:r w:rsidRPr="003B2168">
        <w:rPr>
          <w:rFonts w:ascii="Times New Roman" w:hAnsi="Times New Roman"/>
          <w:bCs/>
          <w:sz w:val="28"/>
          <w:szCs w:val="28"/>
        </w:rPr>
        <w:t xml:space="preserve">В соответствии с таблицей </w:t>
      </w:r>
      <w:r w:rsidRPr="00E964C4">
        <w:rPr>
          <w:rFonts w:ascii="Times New Roman" w:hAnsi="Times New Roman"/>
          <w:bCs/>
          <w:sz w:val="28"/>
          <w:szCs w:val="28"/>
        </w:rPr>
        <w:t>10</w:t>
      </w:r>
      <w:r w:rsidRPr="003B2168">
        <w:rPr>
          <w:rFonts w:ascii="Times New Roman" w:hAnsi="Times New Roman"/>
          <w:bCs/>
          <w:sz w:val="28"/>
          <w:szCs w:val="28"/>
        </w:rPr>
        <w:t xml:space="preserve"> проведен сбор информации о больном, составлен график визитов к врачу и диагностируемы</w:t>
      </w:r>
      <w:r w:rsidRPr="003B2168">
        <w:rPr>
          <w:rFonts w:ascii="Times New Roman" w:hAnsi="Times New Roman"/>
          <w:bCs/>
          <w:sz w:val="28"/>
          <w:szCs w:val="28"/>
          <w:lang w:val="kk-KZ"/>
        </w:rPr>
        <w:t>х</w:t>
      </w:r>
      <w:r w:rsidRPr="003B2168">
        <w:rPr>
          <w:rFonts w:ascii="Times New Roman" w:hAnsi="Times New Roman"/>
          <w:bCs/>
          <w:sz w:val="28"/>
          <w:szCs w:val="28"/>
        </w:rPr>
        <w:t xml:space="preserve"> показателей.</w:t>
      </w:r>
    </w:p>
    <w:p w14:paraId="5BC18B3F" w14:textId="77777777" w:rsidR="005C199B" w:rsidRPr="00145B66" w:rsidRDefault="005C199B" w:rsidP="005C199B">
      <w:pPr>
        <w:widowControl w:val="0"/>
        <w:tabs>
          <w:tab w:val="left" w:pos="0"/>
        </w:tabs>
        <w:spacing w:after="0" w:line="240" w:lineRule="auto"/>
        <w:ind w:firstLine="567"/>
        <w:jc w:val="both"/>
        <w:rPr>
          <w:rFonts w:ascii="Times New Roman" w:hAnsi="Times New Roman"/>
          <w:i/>
          <w:sz w:val="28"/>
          <w:szCs w:val="28"/>
        </w:rPr>
      </w:pPr>
      <w:r w:rsidRPr="00145B66">
        <w:rPr>
          <w:rFonts w:ascii="Times New Roman" w:hAnsi="Times New Roman"/>
          <w:i/>
          <w:sz w:val="28"/>
          <w:szCs w:val="28"/>
        </w:rPr>
        <w:t>Общая характеристика основных методов реабилитации</w:t>
      </w:r>
    </w:p>
    <w:p w14:paraId="2B07CF7F" w14:textId="77777777" w:rsidR="005C199B" w:rsidRPr="00145B66"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45B66">
        <w:rPr>
          <w:rFonts w:ascii="Times New Roman" w:hAnsi="Times New Roman"/>
          <w:sz w:val="28"/>
          <w:szCs w:val="28"/>
        </w:rPr>
        <w:t xml:space="preserve">Как этап реабилитации разработан комплекс мероприятий, направленный на устранение/уменьшение явлений </w:t>
      </w:r>
      <w:r>
        <w:rPr>
          <w:rFonts w:ascii="Times New Roman" w:hAnsi="Times New Roman"/>
          <w:sz w:val="28"/>
          <w:szCs w:val="28"/>
        </w:rPr>
        <w:t>функциональных осложнениях</w:t>
      </w:r>
      <w:r w:rsidRPr="00145B66">
        <w:rPr>
          <w:rFonts w:ascii="Times New Roman" w:hAnsi="Times New Roman"/>
          <w:sz w:val="28"/>
          <w:szCs w:val="28"/>
        </w:rPr>
        <w:t xml:space="preserve"> у больных после хирургического лечения рака ободочной кишки. </w:t>
      </w:r>
    </w:p>
    <w:p w14:paraId="65B00C48" w14:textId="77777777" w:rsidR="005C199B"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45B66">
        <w:rPr>
          <w:rFonts w:ascii="Times New Roman" w:hAnsi="Times New Roman"/>
          <w:sz w:val="28"/>
          <w:szCs w:val="28"/>
        </w:rPr>
        <w:t xml:space="preserve">Диета </w:t>
      </w:r>
      <w:r w:rsidRPr="00145B66">
        <w:rPr>
          <w:rFonts w:ascii="Times New Roman" w:hAnsi="Times New Roman"/>
          <w:sz w:val="28"/>
          <w:szCs w:val="28"/>
          <w:lang w:val="en-US"/>
        </w:rPr>
        <w:t>FODMAP</w:t>
      </w:r>
      <w:r w:rsidRPr="00145B66">
        <w:rPr>
          <w:rFonts w:ascii="Times New Roman" w:hAnsi="Times New Roman"/>
          <w:sz w:val="28"/>
          <w:szCs w:val="28"/>
          <w:lang w:val="kk-KZ"/>
        </w:rPr>
        <w:t xml:space="preserve"> (индивидуально составленная диета с исключением продуктов с содержанием </w:t>
      </w:r>
      <w:r w:rsidRPr="00145B66">
        <w:rPr>
          <w:rFonts w:ascii="Times New Roman" w:hAnsi="Times New Roman"/>
          <w:sz w:val="28"/>
          <w:szCs w:val="28"/>
        </w:rPr>
        <w:t>короткоцепочечных углеводов</w:t>
      </w:r>
      <w:r w:rsidRPr="00145B66">
        <w:rPr>
          <w:rFonts w:ascii="Times New Roman" w:hAnsi="Times New Roman"/>
          <w:sz w:val="28"/>
          <w:szCs w:val="28"/>
          <w:lang w:val="kk-KZ"/>
        </w:rPr>
        <w:t xml:space="preserve">). Диета составлялась на 6-8 недель с постепенным введением в меню продуктов с выскоим содержанием </w:t>
      </w:r>
      <w:r w:rsidRPr="00145B66">
        <w:rPr>
          <w:rFonts w:ascii="Times New Roman" w:hAnsi="Times New Roman"/>
          <w:sz w:val="28"/>
          <w:szCs w:val="28"/>
          <w:lang w:val="en-US"/>
        </w:rPr>
        <w:t>FODMAP</w:t>
      </w:r>
      <w:r>
        <w:rPr>
          <w:rFonts w:ascii="Times New Roman" w:hAnsi="Times New Roman"/>
          <w:sz w:val="28"/>
          <w:szCs w:val="28"/>
        </w:rPr>
        <w:t xml:space="preserve"> после купирования симптомов</w:t>
      </w:r>
      <w:r w:rsidRPr="00145B66">
        <w:rPr>
          <w:rFonts w:ascii="Times New Roman" w:hAnsi="Times New Roman"/>
          <w:sz w:val="28"/>
          <w:szCs w:val="28"/>
        </w:rPr>
        <w:t>.</w:t>
      </w:r>
      <w:r>
        <w:rPr>
          <w:rFonts w:ascii="Times New Roman" w:hAnsi="Times New Roman"/>
          <w:sz w:val="28"/>
          <w:szCs w:val="28"/>
        </w:rPr>
        <w:t xml:space="preserve"> Больным предоставлялись брошюры, где были указаны продукты с разрешенными порциями. Пример разрешенных продуктов питания указан в таблице </w:t>
      </w:r>
      <w:r w:rsidRPr="00E964C4">
        <w:rPr>
          <w:rFonts w:ascii="Times New Roman" w:hAnsi="Times New Roman"/>
          <w:sz w:val="28"/>
          <w:szCs w:val="28"/>
        </w:rPr>
        <w:t>11</w:t>
      </w:r>
      <w:r>
        <w:rPr>
          <w:rFonts w:ascii="Times New Roman" w:hAnsi="Times New Roman"/>
          <w:sz w:val="28"/>
          <w:szCs w:val="28"/>
        </w:rPr>
        <w:t>.</w:t>
      </w:r>
    </w:p>
    <w:p w14:paraId="2DD41B7F"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proofErr w:type="spellStart"/>
      <w:r w:rsidRPr="00145B66">
        <w:rPr>
          <w:rFonts w:ascii="Times New Roman" w:hAnsi="Times New Roman"/>
          <w:sz w:val="28"/>
          <w:szCs w:val="28"/>
        </w:rPr>
        <w:t>Регидратация</w:t>
      </w:r>
      <w:proofErr w:type="spellEnd"/>
      <w:r w:rsidRPr="00145B66">
        <w:rPr>
          <w:rFonts w:ascii="Times New Roman" w:hAnsi="Times New Roman"/>
          <w:sz w:val="28"/>
          <w:szCs w:val="28"/>
        </w:rPr>
        <w:t xml:space="preserve"> с восстановлением баланса электролитов с учетом степени и вида дегидратации (пероральное обильное питье </w:t>
      </w:r>
      <w:proofErr w:type="spellStart"/>
      <w:r w:rsidRPr="00145B66">
        <w:rPr>
          <w:rFonts w:ascii="Times New Roman" w:hAnsi="Times New Roman"/>
          <w:sz w:val="28"/>
          <w:szCs w:val="28"/>
        </w:rPr>
        <w:t>изо</w:t>
      </w:r>
      <w:r>
        <w:rPr>
          <w:rFonts w:ascii="Times New Roman" w:hAnsi="Times New Roman"/>
          <w:sz w:val="28"/>
          <w:szCs w:val="28"/>
        </w:rPr>
        <w:t>осмолярного</w:t>
      </w:r>
      <w:proofErr w:type="spellEnd"/>
      <w:r>
        <w:rPr>
          <w:rFonts w:ascii="Times New Roman" w:hAnsi="Times New Roman"/>
          <w:sz w:val="28"/>
          <w:szCs w:val="28"/>
        </w:rPr>
        <w:t xml:space="preserve"> раствора, раствора </w:t>
      </w:r>
      <w:proofErr w:type="spellStart"/>
      <w:r>
        <w:rPr>
          <w:rFonts w:ascii="Times New Roman" w:hAnsi="Times New Roman"/>
          <w:sz w:val="28"/>
          <w:szCs w:val="28"/>
        </w:rPr>
        <w:t>Р</w:t>
      </w:r>
      <w:r w:rsidRPr="00145B66">
        <w:rPr>
          <w:rFonts w:ascii="Times New Roman" w:hAnsi="Times New Roman"/>
          <w:sz w:val="28"/>
          <w:szCs w:val="28"/>
        </w:rPr>
        <w:t>егидрона</w:t>
      </w:r>
      <w:proofErr w:type="spellEnd"/>
      <w:r w:rsidRPr="00145B66">
        <w:rPr>
          <w:rFonts w:ascii="Times New Roman" w:hAnsi="Times New Roman"/>
          <w:sz w:val="28"/>
          <w:szCs w:val="28"/>
        </w:rPr>
        <w:t xml:space="preserve">, </w:t>
      </w:r>
      <w:proofErr w:type="spellStart"/>
      <w:r w:rsidRPr="00145B66">
        <w:rPr>
          <w:rFonts w:ascii="Times New Roman" w:hAnsi="Times New Roman"/>
          <w:sz w:val="28"/>
          <w:szCs w:val="28"/>
        </w:rPr>
        <w:t>Регид</w:t>
      </w:r>
      <w:proofErr w:type="spellEnd"/>
      <w:r w:rsidRPr="00145B66">
        <w:rPr>
          <w:rFonts w:ascii="Times New Roman" w:hAnsi="Times New Roman"/>
          <w:sz w:val="28"/>
          <w:szCs w:val="28"/>
        </w:rPr>
        <w:t xml:space="preserve"> К).</w:t>
      </w:r>
    </w:p>
    <w:p w14:paraId="3D2F9BD9" w14:textId="77777777" w:rsidR="005C199B"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lang w:val="kk-KZ"/>
        </w:rPr>
      </w:pPr>
      <w:r w:rsidRPr="00145B66">
        <w:rPr>
          <w:rFonts w:ascii="Times New Roman" w:hAnsi="Times New Roman"/>
          <w:sz w:val="28"/>
          <w:szCs w:val="28"/>
          <w:lang w:val="kk-KZ"/>
        </w:rPr>
        <w:t>Вяж</w:t>
      </w:r>
      <w:r>
        <w:rPr>
          <w:rFonts w:ascii="Times New Roman" w:hAnsi="Times New Roman"/>
          <w:sz w:val="28"/>
          <w:szCs w:val="28"/>
          <w:lang w:val="kk-KZ"/>
        </w:rPr>
        <w:t xml:space="preserve">ущие, </w:t>
      </w:r>
      <w:r w:rsidRPr="00145B66">
        <w:rPr>
          <w:rFonts w:ascii="Times New Roman" w:hAnsi="Times New Roman"/>
          <w:sz w:val="28"/>
          <w:szCs w:val="28"/>
          <w:lang w:val="kk-KZ"/>
        </w:rPr>
        <w:t>калоформирующие</w:t>
      </w:r>
      <w:r>
        <w:rPr>
          <w:rFonts w:ascii="Times New Roman" w:hAnsi="Times New Roman"/>
          <w:sz w:val="28"/>
          <w:szCs w:val="28"/>
          <w:lang w:val="kk-KZ"/>
        </w:rPr>
        <w:t>, адсорбирующие</w:t>
      </w:r>
      <w:r w:rsidRPr="00145B66">
        <w:rPr>
          <w:rFonts w:ascii="Times New Roman" w:hAnsi="Times New Roman"/>
          <w:sz w:val="28"/>
          <w:szCs w:val="28"/>
          <w:lang w:val="kk-KZ"/>
        </w:rPr>
        <w:t xml:space="preserve"> вещества</w:t>
      </w:r>
      <w:r>
        <w:rPr>
          <w:rFonts w:ascii="Times New Roman" w:hAnsi="Times New Roman"/>
          <w:sz w:val="28"/>
          <w:szCs w:val="28"/>
          <w:lang w:val="kk-KZ"/>
        </w:rPr>
        <w:t xml:space="preserve"> (с действующим веществом </w:t>
      </w:r>
      <w:proofErr w:type="spellStart"/>
      <w:r w:rsidRPr="004D4E34">
        <w:rPr>
          <w:rFonts w:ascii="Times New Roman" w:hAnsi="Times New Roman"/>
          <w:sz w:val="28"/>
          <w:szCs w:val="28"/>
          <w:shd w:val="clear" w:color="auto" w:fill="FFFFFF"/>
        </w:rPr>
        <w:t>полиметилсилоксана</w:t>
      </w:r>
      <w:proofErr w:type="spellEnd"/>
      <w:r w:rsidRPr="004D4E34">
        <w:rPr>
          <w:rFonts w:ascii="Times New Roman" w:hAnsi="Times New Roman"/>
          <w:sz w:val="28"/>
          <w:szCs w:val="28"/>
          <w:shd w:val="clear" w:color="auto" w:fill="FFFFFF"/>
        </w:rPr>
        <w:t xml:space="preserve"> </w:t>
      </w:r>
      <w:proofErr w:type="spellStart"/>
      <w:r w:rsidRPr="004D4E34">
        <w:rPr>
          <w:rFonts w:ascii="Times New Roman" w:hAnsi="Times New Roman"/>
          <w:sz w:val="28"/>
          <w:szCs w:val="28"/>
          <w:shd w:val="clear" w:color="auto" w:fill="FFFFFF"/>
        </w:rPr>
        <w:t>полигидрат</w:t>
      </w:r>
      <w:proofErr w:type="spellEnd"/>
      <w:r>
        <w:rPr>
          <w:rFonts w:ascii="Times New Roman" w:hAnsi="Times New Roman"/>
          <w:sz w:val="28"/>
          <w:szCs w:val="28"/>
          <w:lang w:val="kk-KZ"/>
        </w:rPr>
        <w:t>)</w:t>
      </w:r>
      <w:r w:rsidRPr="00145B66">
        <w:rPr>
          <w:rFonts w:ascii="Times New Roman" w:hAnsi="Times New Roman"/>
          <w:sz w:val="28"/>
          <w:szCs w:val="28"/>
          <w:lang w:val="kk-KZ"/>
        </w:rPr>
        <w:t>.</w:t>
      </w:r>
    </w:p>
    <w:p w14:paraId="667A9CF6"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p>
    <w:p w14:paraId="0BF2F48F" w14:textId="77777777" w:rsidR="00EF0466" w:rsidRDefault="00EF0466"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p>
    <w:p w14:paraId="08E46E00" w14:textId="67CF04AB" w:rsidR="005C199B" w:rsidRPr="00145B66"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145B66">
        <w:rPr>
          <w:rFonts w:ascii="Times New Roman" w:hAnsi="Times New Roman"/>
          <w:sz w:val="28"/>
          <w:szCs w:val="28"/>
        </w:rPr>
        <w:lastRenderedPageBreak/>
        <w:t xml:space="preserve">Таблица </w:t>
      </w:r>
      <w:r w:rsidRPr="00E964C4">
        <w:rPr>
          <w:rFonts w:ascii="Times New Roman" w:hAnsi="Times New Roman"/>
          <w:sz w:val="28"/>
          <w:szCs w:val="28"/>
        </w:rPr>
        <w:t>10</w:t>
      </w:r>
      <w:r w:rsidRPr="00145B66">
        <w:rPr>
          <w:rFonts w:ascii="Times New Roman" w:hAnsi="Times New Roman"/>
          <w:sz w:val="28"/>
          <w:szCs w:val="28"/>
        </w:rPr>
        <w:t xml:space="preserve"> – Программа наблюдения больных в реабилитационном периоде</w:t>
      </w:r>
    </w:p>
    <w:p w14:paraId="3E5CA74E" w14:textId="77777777" w:rsidR="005C199B" w:rsidRPr="003B2168"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tbl>
      <w:tblPr>
        <w:tblW w:w="9524" w:type="dxa"/>
        <w:jc w:val="center"/>
        <w:tblLayout w:type="fixed"/>
        <w:tblLook w:val="04A0" w:firstRow="1" w:lastRow="0" w:firstColumn="1" w:lastColumn="0" w:noHBand="0" w:noVBand="1"/>
      </w:tblPr>
      <w:tblGrid>
        <w:gridCol w:w="4989"/>
        <w:gridCol w:w="907"/>
        <w:gridCol w:w="907"/>
        <w:gridCol w:w="907"/>
        <w:gridCol w:w="907"/>
        <w:gridCol w:w="907"/>
      </w:tblGrid>
      <w:tr w:rsidR="005C199B" w:rsidRPr="001A096F" w14:paraId="7A4CC519" w14:textId="77777777" w:rsidTr="00094F6F">
        <w:trPr>
          <w:cantSplit/>
          <w:trHeight w:val="340"/>
          <w:jc w:val="center"/>
        </w:trPr>
        <w:tc>
          <w:tcPr>
            <w:tcW w:w="4989" w:type="dxa"/>
            <w:vMerge w:val="restart"/>
            <w:tcBorders>
              <w:top w:val="single" w:sz="4" w:space="0" w:color="auto"/>
              <w:left w:val="single" w:sz="4" w:space="0" w:color="auto"/>
              <w:bottom w:val="single" w:sz="4" w:space="0" w:color="auto"/>
              <w:right w:val="single" w:sz="4" w:space="0" w:color="auto"/>
            </w:tcBorders>
            <w:vAlign w:val="center"/>
            <w:hideMark/>
          </w:tcPr>
          <w:p w14:paraId="038B22BF"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Характеристика</w:t>
            </w:r>
          </w:p>
        </w:tc>
        <w:tc>
          <w:tcPr>
            <w:tcW w:w="4535" w:type="dxa"/>
            <w:gridSpan w:val="5"/>
            <w:tcBorders>
              <w:top w:val="single" w:sz="4" w:space="0" w:color="auto"/>
              <w:left w:val="single" w:sz="4" w:space="0" w:color="auto"/>
              <w:bottom w:val="single" w:sz="4" w:space="0" w:color="auto"/>
              <w:right w:val="single" w:sz="4" w:space="0" w:color="auto"/>
            </w:tcBorders>
            <w:vAlign w:val="center"/>
            <w:hideMark/>
          </w:tcPr>
          <w:p w14:paraId="0BC0B0D6"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График визитов</w:t>
            </w:r>
            <w:r>
              <w:rPr>
                <w:rFonts w:ascii="Times New Roman" w:hAnsi="Times New Roman"/>
                <w:sz w:val="24"/>
                <w:szCs w:val="24"/>
                <w:lang w:eastAsia="en-US"/>
              </w:rPr>
              <w:t xml:space="preserve"> </w:t>
            </w:r>
            <w:r w:rsidRPr="001A096F">
              <w:rPr>
                <w:rFonts w:ascii="Times New Roman" w:hAnsi="Times New Roman"/>
                <w:sz w:val="24"/>
                <w:szCs w:val="24"/>
                <w:lang w:eastAsia="en-US"/>
              </w:rPr>
              <w:t>после операции</w:t>
            </w:r>
            <w:r>
              <w:rPr>
                <w:rFonts w:ascii="Times New Roman" w:hAnsi="Times New Roman"/>
                <w:sz w:val="24"/>
                <w:szCs w:val="24"/>
                <w:lang w:eastAsia="en-US"/>
              </w:rPr>
              <w:t xml:space="preserve"> (месяц)</w:t>
            </w:r>
          </w:p>
        </w:tc>
      </w:tr>
      <w:tr w:rsidR="005C199B" w:rsidRPr="001A096F" w14:paraId="628FE3E1" w14:textId="77777777" w:rsidTr="00094F6F">
        <w:trPr>
          <w:cantSplit/>
          <w:trHeight w:val="340"/>
          <w:jc w:val="center"/>
        </w:trPr>
        <w:tc>
          <w:tcPr>
            <w:tcW w:w="4989" w:type="dxa"/>
            <w:vMerge/>
            <w:tcBorders>
              <w:top w:val="single" w:sz="4" w:space="0" w:color="auto"/>
              <w:left w:val="single" w:sz="4" w:space="0" w:color="auto"/>
              <w:bottom w:val="single" w:sz="4" w:space="0" w:color="auto"/>
              <w:right w:val="single" w:sz="4" w:space="0" w:color="auto"/>
            </w:tcBorders>
            <w:vAlign w:val="center"/>
            <w:hideMark/>
          </w:tcPr>
          <w:p w14:paraId="6E325B99"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p>
        </w:tc>
        <w:tc>
          <w:tcPr>
            <w:tcW w:w="907" w:type="dxa"/>
            <w:tcBorders>
              <w:top w:val="single" w:sz="4" w:space="0" w:color="auto"/>
              <w:left w:val="single" w:sz="4" w:space="0" w:color="auto"/>
              <w:bottom w:val="single" w:sz="4" w:space="0" w:color="auto"/>
              <w:right w:val="single" w:sz="4" w:space="0" w:color="auto"/>
            </w:tcBorders>
            <w:vAlign w:val="center"/>
            <w:hideMark/>
          </w:tcPr>
          <w:p w14:paraId="1CF0DED1"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1</w:t>
            </w:r>
          </w:p>
        </w:tc>
        <w:tc>
          <w:tcPr>
            <w:tcW w:w="907" w:type="dxa"/>
            <w:tcBorders>
              <w:top w:val="single" w:sz="4" w:space="0" w:color="auto"/>
              <w:left w:val="single" w:sz="4" w:space="0" w:color="auto"/>
              <w:bottom w:val="single" w:sz="4" w:space="0" w:color="auto"/>
              <w:right w:val="single" w:sz="4" w:space="0" w:color="auto"/>
            </w:tcBorders>
            <w:vAlign w:val="center"/>
            <w:hideMark/>
          </w:tcPr>
          <w:p w14:paraId="5FA0B07F"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3</w:t>
            </w:r>
          </w:p>
        </w:tc>
        <w:tc>
          <w:tcPr>
            <w:tcW w:w="907" w:type="dxa"/>
            <w:tcBorders>
              <w:top w:val="single" w:sz="4" w:space="0" w:color="auto"/>
              <w:left w:val="single" w:sz="4" w:space="0" w:color="auto"/>
              <w:bottom w:val="single" w:sz="4" w:space="0" w:color="auto"/>
              <w:right w:val="single" w:sz="4" w:space="0" w:color="auto"/>
            </w:tcBorders>
            <w:vAlign w:val="center"/>
            <w:hideMark/>
          </w:tcPr>
          <w:p w14:paraId="329FD74C"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6</w:t>
            </w:r>
          </w:p>
        </w:tc>
        <w:tc>
          <w:tcPr>
            <w:tcW w:w="907" w:type="dxa"/>
            <w:tcBorders>
              <w:top w:val="single" w:sz="4" w:space="0" w:color="auto"/>
              <w:left w:val="single" w:sz="4" w:space="0" w:color="auto"/>
              <w:bottom w:val="single" w:sz="4" w:space="0" w:color="auto"/>
              <w:right w:val="single" w:sz="4" w:space="0" w:color="auto"/>
            </w:tcBorders>
            <w:vAlign w:val="center"/>
            <w:hideMark/>
          </w:tcPr>
          <w:p w14:paraId="39134C50"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9</w:t>
            </w:r>
          </w:p>
        </w:tc>
        <w:tc>
          <w:tcPr>
            <w:tcW w:w="907" w:type="dxa"/>
            <w:tcBorders>
              <w:top w:val="single" w:sz="4" w:space="0" w:color="auto"/>
              <w:left w:val="single" w:sz="4" w:space="0" w:color="auto"/>
              <w:bottom w:val="single" w:sz="4" w:space="0" w:color="auto"/>
              <w:right w:val="single" w:sz="4" w:space="0" w:color="auto"/>
            </w:tcBorders>
            <w:vAlign w:val="center"/>
            <w:hideMark/>
          </w:tcPr>
          <w:p w14:paraId="34635A67"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12</w:t>
            </w:r>
          </w:p>
        </w:tc>
      </w:tr>
      <w:tr w:rsidR="005C199B" w:rsidRPr="001A096F" w14:paraId="162E67D1" w14:textId="77777777" w:rsidTr="00094F6F">
        <w:trPr>
          <w:cantSplit/>
          <w:trHeight w:val="340"/>
          <w:jc w:val="center"/>
        </w:trPr>
        <w:tc>
          <w:tcPr>
            <w:tcW w:w="4989" w:type="dxa"/>
            <w:tcBorders>
              <w:top w:val="single" w:sz="4" w:space="0" w:color="auto"/>
              <w:left w:val="single" w:sz="4" w:space="0" w:color="auto"/>
              <w:bottom w:val="single" w:sz="4" w:space="0" w:color="auto"/>
              <w:right w:val="single" w:sz="4" w:space="0" w:color="auto"/>
            </w:tcBorders>
            <w:hideMark/>
          </w:tcPr>
          <w:p w14:paraId="45260D00" w14:textId="77777777" w:rsidR="005C199B" w:rsidRPr="001A096F" w:rsidRDefault="005C199B" w:rsidP="00094F6F">
            <w:pPr>
              <w:widowControl w:val="0"/>
              <w:spacing w:after="0" w:line="240" w:lineRule="auto"/>
              <w:jc w:val="both"/>
              <w:rPr>
                <w:rFonts w:ascii="Times New Roman" w:hAnsi="Times New Roman"/>
                <w:sz w:val="24"/>
                <w:szCs w:val="24"/>
                <w:lang w:eastAsia="en-US"/>
              </w:rPr>
            </w:pPr>
            <w:r w:rsidRPr="001A096F">
              <w:rPr>
                <w:rFonts w:ascii="Times New Roman" w:hAnsi="Times New Roman"/>
                <w:sz w:val="24"/>
                <w:szCs w:val="24"/>
                <w:lang w:eastAsia="en-US"/>
              </w:rPr>
              <w:t>Демографические данные</w:t>
            </w:r>
          </w:p>
        </w:tc>
        <w:tc>
          <w:tcPr>
            <w:tcW w:w="907" w:type="dxa"/>
            <w:tcBorders>
              <w:top w:val="single" w:sz="4" w:space="0" w:color="auto"/>
              <w:left w:val="single" w:sz="4" w:space="0" w:color="auto"/>
              <w:bottom w:val="single" w:sz="4" w:space="0" w:color="auto"/>
              <w:right w:val="single" w:sz="4" w:space="0" w:color="auto"/>
            </w:tcBorders>
            <w:vAlign w:val="center"/>
            <w:hideMark/>
          </w:tcPr>
          <w:p w14:paraId="5FCD7FCE"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69ACF4A0"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p>
        </w:tc>
        <w:tc>
          <w:tcPr>
            <w:tcW w:w="907" w:type="dxa"/>
            <w:tcBorders>
              <w:top w:val="single" w:sz="4" w:space="0" w:color="auto"/>
              <w:left w:val="single" w:sz="4" w:space="0" w:color="auto"/>
              <w:bottom w:val="single" w:sz="4" w:space="0" w:color="auto"/>
              <w:right w:val="single" w:sz="4" w:space="0" w:color="auto"/>
            </w:tcBorders>
            <w:vAlign w:val="center"/>
          </w:tcPr>
          <w:p w14:paraId="2B318275"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p>
        </w:tc>
        <w:tc>
          <w:tcPr>
            <w:tcW w:w="907" w:type="dxa"/>
            <w:tcBorders>
              <w:top w:val="single" w:sz="4" w:space="0" w:color="auto"/>
              <w:left w:val="single" w:sz="4" w:space="0" w:color="auto"/>
              <w:bottom w:val="single" w:sz="4" w:space="0" w:color="auto"/>
              <w:right w:val="single" w:sz="4" w:space="0" w:color="auto"/>
            </w:tcBorders>
            <w:vAlign w:val="center"/>
          </w:tcPr>
          <w:p w14:paraId="25667E4C"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p>
        </w:tc>
        <w:tc>
          <w:tcPr>
            <w:tcW w:w="907" w:type="dxa"/>
            <w:tcBorders>
              <w:top w:val="single" w:sz="4" w:space="0" w:color="auto"/>
              <w:left w:val="single" w:sz="4" w:space="0" w:color="auto"/>
              <w:bottom w:val="single" w:sz="4" w:space="0" w:color="auto"/>
              <w:right w:val="single" w:sz="4" w:space="0" w:color="auto"/>
            </w:tcBorders>
            <w:vAlign w:val="center"/>
          </w:tcPr>
          <w:p w14:paraId="68080180"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p>
        </w:tc>
      </w:tr>
      <w:tr w:rsidR="005C199B" w:rsidRPr="001A096F" w14:paraId="4489A101" w14:textId="77777777" w:rsidTr="00094F6F">
        <w:trPr>
          <w:cantSplit/>
          <w:trHeight w:val="340"/>
          <w:jc w:val="center"/>
        </w:trPr>
        <w:tc>
          <w:tcPr>
            <w:tcW w:w="4989" w:type="dxa"/>
            <w:tcBorders>
              <w:top w:val="single" w:sz="4" w:space="0" w:color="auto"/>
              <w:left w:val="single" w:sz="4" w:space="0" w:color="auto"/>
              <w:bottom w:val="single" w:sz="4" w:space="0" w:color="auto"/>
              <w:right w:val="single" w:sz="4" w:space="0" w:color="auto"/>
            </w:tcBorders>
            <w:hideMark/>
          </w:tcPr>
          <w:p w14:paraId="0D516803" w14:textId="77777777" w:rsidR="005C199B" w:rsidRPr="001A096F" w:rsidRDefault="005C199B" w:rsidP="00094F6F">
            <w:pPr>
              <w:widowControl w:val="0"/>
              <w:spacing w:after="0" w:line="240" w:lineRule="auto"/>
              <w:jc w:val="both"/>
              <w:rPr>
                <w:rFonts w:ascii="Times New Roman" w:hAnsi="Times New Roman"/>
                <w:sz w:val="24"/>
                <w:szCs w:val="24"/>
                <w:lang w:eastAsia="en-US"/>
              </w:rPr>
            </w:pPr>
            <w:r w:rsidRPr="001A096F">
              <w:rPr>
                <w:rFonts w:ascii="Times New Roman" w:hAnsi="Times New Roman"/>
                <w:sz w:val="24"/>
                <w:szCs w:val="24"/>
                <w:lang w:eastAsia="en-US"/>
              </w:rPr>
              <w:t>Анамнез жизни</w:t>
            </w:r>
          </w:p>
        </w:tc>
        <w:tc>
          <w:tcPr>
            <w:tcW w:w="907" w:type="dxa"/>
            <w:tcBorders>
              <w:top w:val="single" w:sz="4" w:space="0" w:color="auto"/>
              <w:left w:val="single" w:sz="4" w:space="0" w:color="auto"/>
              <w:bottom w:val="single" w:sz="4" w:space="0" w:color="auto"/>
              <w:right w:val="single" w:sz="4" w:space="0" w:color="auto"/>
            </w:tcBorders>
            <w:vAlign w:val="center"/>
            <w:hideMark/>
          </w:tcPr>
          <w:p w14:paraId="070FFF94"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0BCC84FF"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p>
        </w:tc>
        <w:tc>
          <w:tcPr>
            <w:tcW w:w="907" w:type="dxa"/>
            <w:tcBorders>
              <w:top w:val="single" w:sz="4" w:space="0" w:color="auto"/>
              <w:left w:val="single" w:sz="4" w:space="0" w:color="auto"/>
              <w:bottom w:val="single" w:sz="4" w:space="0" w:color="auto"/>
              <w:right w:val="single" w:sz="4" w:space="0" w:color="auto"/>
            </w:tcBorders>
            <w:vAlign w:val="center"/>
          </w:tcPr>
          <w:p w14:paraId="4016CEE7"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p>
        </w:tc>
        <w:tc>
          <w:tcPr>
            <w:tcW w:w="907" w:type="dxa"/>
            <w:tcBorders>
              <w:top w:val="single" w:sz="4" w:space="0" w:color="auto"/>
              <w:left w:val="single" w:sz="4" w:space="0" w:color="auto"/>
              <w:bottom w:val="single" w:sz="4" w:space="0" w:color="auto"/>
              <w:right w:val="single" w:sz="4" w:space="0" w:color="auto"/>
            </w:tcBorders>
            <w:vAlign w:val="center"/>
          </w:tcPr>
          <w:p w14:paraId="460C4A76"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p>
        </w:tc>
        <w:tc>
          <w:tcPr>
            <w:tcW w:w="907" w:type="dxa"/>
            <w:tcBorders>
              <w:top w:val="single" w:sz="4" w:space="0" w:color="auto"/>
              <w:left w:val="single" w:sz="4" w:space="0" w:color="auto"/>
              <w:bottom w:val="single" w:sz="4" w:space="0" w:color="auto"/>
              <w:right w:val="single" w:sz="4" w:space="0" w:color="auto"/>
            </w:tcBorders>
            <w:vAlign w:val="center"/>
          </w:tcPr>
          <w:p w14:paraId="609162D6"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p>
        </w:tc>
      </w:tr>
      <w:tr w:rsidR="005C199B" w:rsidRPr="001A096F" w14:paraId="67FB2EDA" w14:textId="77777777" w:rsidTr="00094F6F">
        <w:trPr>
          <w:cantSplit/>
          <w:trHeight w:val="340"/>
          <w:jc w:val="center"/>
        </w:trPr>
        <w:tc>
          <w:tcPr>
            <w:tcW w:w="4989" w:type="dxa"/>
            <w:tcBorders>
              <w:top w:val="single" w:sz="4" w:space="0" w:color="auto"/>
              <w:left w:val="single" w:sz="4" w:space="0" w:color="auto"/>
              <w:bottom w:val="single" w:sz="4" w:space="0" w:color="auto"/>
              <w:right w:val="single" w:sz="4" w:space="0" w:color="auto"/>
            </w:tcBorders>
            <w:hideMark/>
          </w:tcPr>
          <w:p w14:paraId="6EF28777" w14:textId="77777777" w:rsidR="005C199B" w:rsidRPr="001A096F" w:rsidRDefault="005C199B" w:rsidP="00094F6F">
            <w:pPr>
              <w:widowControl w:val="0"/>
              <w:spacing w:after="0" w:line="240" w:lineRule="auto"/>
              <w:jc w:val="both"/>
              <w:rPr>
                <w:rFonts w:ascii="Times New Roman" w:hAnsi="Times New Roman"/>
                <w:sz w:val="24"/>
                <w:szCs w:val="24"/>
                <w:lang w:eastAsia="en-US"/>
              </w:rPr>
            </w:pPr>
            <w:r w:rsidRPr="001A096F">
              <w:rPr>
                <w:rFonts w:ascii="Times New Roman" w:hAnsi="Times New Roman"/>
                <w:sz w:val="24"/>
                <w:szCs w:val="24"/>
                <w:lang w:eastAsia="en-US"/>
              </w:rPr>
              <w:t>Информированное согласие</w:t>
            </w:r>
          </w:p>
        </w:tc>
        <w:tc>
          <w:tcPr>
            <w:tcW w:w="907" w:type="dxa"/>
            <w:tcBorders>
              <w:top w:val="single" w:sz="4" w:space="0" w:color="auto"/>
              <w:left w:val="single" w:sz="4" w:space="0" w:color="auto"/>
              <w:bottom w:val="single" w:sz="4" w:space="0" w:color="auto"/>
              <w:right w:val="single" w:sz="4" w:space="0" w:color="auto"/>
            </w:tcBorders>
            <w:vAlign w:val="center"/>
            <w:hideMark/>
          </w:tcPr>
          <w:p w14:paraId="6943D3D8"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6A22E9CC"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p>
        </w:tc>
        <w:tc>
          <w:tcPr>
            <w:tcW w:w="907" w:type="dxa"/>
            <w:tcBorders>
              <w:top w:val="single" w:sz="4" w:space="0" w:color="auto"/>
              <w:left w:val="single" w:sz="4" w:space="0" w:color="auto"/>
              <w:bottom w:val="single" w:sz="4" w:space="0" w:color="auto"/>
              <w:right w:val="single" w:sz="4" w:space="0" w:color="auto"/>
            </w:tcBorders>
            <w:vAlign w:val="center"/>
          </w:tcPr>
          <w:p w14:paraId="58701944"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p>
        </w:tc>
        <w:tc>
          <w:tcPr>
            <w:tcW w:w="907" w:type="dxa"/>
            <w:tcBorders>
              <w:top w:val="single" w:sz="4" w:space="0" w:color="auto"/>
              <w:left w:val="single" w:sz="4" w:space="0" w:color="auto"/>
              <w:bottom w:val="single" w:sz="4" w:space="0" w:color="auto"/>
              <w:right w:val="single" w:sz="4" w:space="0" w:color="auto"/>
            </w:tcBorders>
            <w:vAlign w:val="center"/>
          </w:tcPr>
          <w:p w14:paraId="5F861D98"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p>
        </w:tc>
        <w:tc>
          <w:tcPr>
            <w:tcW w:w="907" w:type="dxa"/>
            <w:tcBorders>
              <w:top w:val="single" w:sz="4" w:space="0" w:color="auto"/>
              <w:left w:val="single" w:sz="4" w:space="0" w:color="auto"/>
              <w:bottom w:val="single" w:sz="4" w:space="0" w:color="auto"/>
              <w:right w:val="single" w:sz="4" w:space="0" w:color="auto"/>
            </w:tcBorders>
            <w:vAlign w:val="center"/>
          </w:tcPr>
          <w:p w14:paraId="372A2C88"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p>
        </w:tc>
      </w:tr>
      <w:tr w:rsidR="005C199B" w:rsidRPr="001A096F" w14:paraId="473C7F43" w14:textId="77777777" w:rsidTr="00094F6F">
        <w:trPr>
          <w:cantSplit/>
          <w:trHeight w:val="340"/>
          <w:jc w:val="center"/>
        </w:trPr>
        <w:tc>
          <w:tcPr>
            <w:tcW w:w="4989" w:type="dxa"/>
            <w:tcBorders>
              <w:left w:val="single" w:sz="4" w:space="0" w:color="auto"/>
              <w:bottom w:val="single" w:sz="4" w:space="0" w:color="auto"/>
              <w:right w:val="single" w:sz="4" w:space="0" w:color="auto"/>
            </w:tcBorders>
            <w:hideMark/>
          </w:tcPr>
          <w:p w14:paraId="2A414C0B" w14:textId="77777777" w:rsidR="005C199B" w:rsidRPr="001A096F" w:rsidRDefault="005C199B" w:rsidP="00094F6F">
            <w:pPr>
              <w:widowControl w:val="0"/>
              <w:spacing w:after="0" w:line="240" w:lineRule="auto"/>
              <w:jc w:val="both"/>
              <w:rPr>
                <w:rFonts w:ascii="Times New Roman" w:hAnsi="Times New Roman"/>
                <w:sz w:val="24"/>
                <w:szCs w:val="24"/>
                <w:lang w:eastAsia="en-US"/>
              </w:rPr>
            </w:pPr>
            <w:r w:rsidRPr="001A096F">
              <w:rPr>
                <w:rFonts w:ascii="Times New Roman" w:hAnsi="Times New Roman"/>
                <w:sz w:val="24"/>
                <w:szCs w:val="24"/>
                <w:lang w:eastAsia="en-US"/>
              </w:rPr>
              <w:t>Оценка функции ободочной кишки по наличию симптомов и степени выраженности нарушений (</w:t>
            </w:r>
            <w:r w:rsidRPr="001A096F">
              <w:rPr>
                <w:rFonts w:ascii="Times New Roman" w:hAnsi="Times New Roman"/>
                <w:sz w:val="24"/>
                <w:szCs w:val="24"/>
              </w:rPr>
              <w:t>диарея, запор, абдоминальная боль, диском форт, метеоризм, недержание кала, ночные дефекации</w:t>
            </w:r>
            <w:r w:rsidRPr="001A096F">
              <w:rPr>
                <w:rFonts w:ascii="Times New Roman" w:hAnsi="Times New Roman"/>
                <w:sz w:val="24"/>
                <w:szCs w:val="24"/>
                <w:lang w:eastAsia="en-US"/>
              </w:rPr>
              <w:t>)</w:t>
            </w:r>
          </w:p>
        </w:tc>
        <w:tc>
          <w:tcPr>
            <w:tcW w:w="907" w:type="dxa"/>
            <w:tcBorders>
              <w:left w:val="single" w:sz="4" w:space="0" w:color="auto"/>
              <w:bottom w:val="single" w:sz="4" w:space="0" w:color="auto"/>
              <w:right w:val="single" w:sz="4" w:space="0" w:color="auto"/>
            </w:tcBorders>
            <w:vAlign w:val="center"/>
            <w:hideMark/>
          </w:tcPr>
          <w:p w14:paraId="260F1C96"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left w:val="single" w:sz="4" w:space="0" w:color="auto"/>
              <w:bottom w:val="single" w:sz="4" w:space="0" w:color="auto"/>
              <w:right w:val="single" w:sz="4" w:space="0" w:color="auto"/>
            </w:tcBorders>
            <w:vAlign w:val="center"/>
            <w:hideMark/>
          </w:tcPr>
          <w:p w14:paraId="2CC8711F"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left w:val="single" w:sz="4" w:space="0" w:color="auto"/>
              <w:bottom w:val="single" w:sz="4" w:space="0" w:color="auto"/>
              <w:right w:val="single" w:sz="4" w:space="0" w:color="auto"/>
            </w:tcBorders>
            <w:vAlign w:val="center"/>
            <w:hideMark/>
          </w:tcPr>
          <w:p w14:paraId="20A888CE"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left w:val="single" w:sz="4" w:space="0" w:color="auto"/>
              <w:bottom w:val="single" w:sz="4" w:space="0" w:color="auto"/>
              <w:right w:val="single" w:sz="4" w:space="0" w:color="auto"/>
            </w:tcBorders>
            <w:vAlign w:val="center"/>
            <w:hideMark/>
          </w:tcPr>
          <w:p w14:paraId="7C9518CE"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left w:val="single" w:sz="4" w:space="0" w:color="auto"/>
              <w:bottom w:val="single" w:sz="4" w:space="0" w:color="auto"/>
              <w:right w:val="single" w:sz="4" w:space="0" w:color="auto"/>
            </w:tcBorders>
            <w:vAlign w:val="center"/>
            <w:hideMark/>
          </w:tcPr>
          <w:p w14:paraId="7EE58C18"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r>
      <w:tr w:rsidR="005C199B" w:rsidRPr="001A096F" w14:paraId="0D829050" w14:textId="77777777" w:rsidTr="00094F6F">
        <w:trPr>
          <w:cantSplit/>
          <w:trHeight w:val="340"/>
          <w:jc w:val="center"/>
        </w:trPr>
        <w:tc>
          <w:tcPr>
            <w:tcW w:w="4989" w:type="dxa"/>
            <w:tcBorders>
              <w:left w:val="single" w:sz="4" w:space="0" w:color="auto"/>
              <w:bottom w:val="single" w:sz="4" w:space="0" w:color="auto"/>
              <w:right w:val="single" w:sz="4" w:space="0" w:color="auto"/>
            </w:tcBorders>
          </w:tcPr>
          <w:p w14:paraId="76EB01A2" w14:textId="77777777" w:rsidR="005C199B" w:rsidRPr="001A096F" w:rsidRDefault="005C199B" w:rsidP="00094F6F">
            <w:pPr>
              <w:widowControl w:val="0"/>
              <w:spacing w:after="0" w:line="240" w:lineRule="auto"/>
              <w:jc w:val="both"/>
              <w:rPr>
                <w:rFonts w:ascii="Times New Roman" w:hAnsi="Times New Roman"/>
                <w:sz w:val="24"/>
                <w:szCs w:val="24"/>
                <w:lang w:eastAsia="en-US"/>
              </w:rPr>
            </w:pPr>
            <w:r w:rsidRPr="001A096F">
              <w:rPr>
                <w:rFonts w:ascii="Times New Roman" w:hAnsi="Times New Roman"/>
                <w:sz w:val="24"/>
                <w:szCs w:val="24"/>
                <w:lang w:eastAsia="en-US"/>
              </w:rPr>
              <w:t xml:space="preserve">Макроскопическая оценка стула по шкале </w:t>
            </w:r>
            <w:r w:rsidRPr="001A096F">
              <w:rPr>
                <w:rFonts w:ascii="Times New Roman" w:hAnsi="Times New Roman"/>
                <w:sz w:val="24"/>
                <w:szCs w:val="24"/>
                <w:lang w:val="en-US" w:eastAsia="en-US"/>
              </w:rPr>
              <w:t>BSF</w:t>
            </w:r>
          </w:p>
        </w:tc>
        <w:tc>
          <w:tcPr>
            <w:tcW w:w="907" w:type="dxa"/>
            <w:tcBorders>
              <w:left w:val="single" w:sz="4" w:space="0" w:color="auto"/>
              <w:bottom w:val="single" w:sz="4" w:space="0" w:color="auto"/>
              <w:right w:val="single" w:sz="4" w:space="0" w:color="auto"/>
            </w:tcBorders>
            <w:vAlign w:val="center"/>
          </w:tcPr>
          <w:p w14:paraId="30AA8AF4"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left w:val="single" w:sz="4" w:space="0" w:color="auto"/>
              <w:bottom w:val="single" w:sz="4" w:space="0" w:color="auto"/>
              <w:right w:val="single" w:sz="4" w:space="0" w:color="auto"/>
            </w:tcBorders>
            <w:vAlign w:val="center"/>
          </w:tcPr>
          <w:p w14:paraId="19A18A16"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left w:val="single" w:sz="4" w:space="0" w:color="auto"/>
              <w:bottom w:val="single" w:sz="4" w:space="0" w:color="auto"/>
              <w:right w:val="single" w:sz="4" w:space="0" w:color="auto"/>
            </w:tcBorders>
            <w:vAlign w:val="center"/>
          </w:tcPr>
          <w:p w14:paraId="653B207E"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left w:val="single" w:sz="4" w:space="0" w:color="auto"/>
              <w:bottom w:val="single" w:sz="4" w:space="0" w:color="auto"/>
              <w:right w:val="single" w:sz="4" w:space="0" w:color="auto"/>
            </w:tcBorders>
            <w:vAlign w:val="center"/>
          </w:tcPr>
          <w:p w14:paraId="285A6BF3"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left w:val="single" w:sz="4" w:space="0" w:color="auto"/>
              <w:bottom w:val="single" w:sz="4" w:space="0" w:color="auto"/>
              <w:right w:val="single" w:sz="4" w:space="0" w:color="auto"/>
            </w:tcBorders>
            <w:vAlign w:val="center"/>
          </w:tcPr>
          <w:p w14:paraId="2FEC0B84"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r>
      <w:tr w:rsidR="005C199B" w:rsidRPr="001A096F" w14:paraId="2C4D67FA" w14:textId="77777777" w:rsidTr="00094F6F">
        <w:trPr>
          <w:cantSplit/>
          <w:trHeight w:val="340"/>
          <w:jc w:val="center"/>
        </w:trPr>
        <w:tc>
          <w:tcPr>
            <w:tcW w:w="4989" w:type="dxa"/>
            <w:tcBorders>
              <w:top w:val="single" w:sz="4" w:space="0" w:color="auto"/>
              <w:left w:val="single" w:sz="4" w:space="0" w:color="auto"/>
              <w:bottom w:val="single" w:sz="4" w:space="0" w:color="auto"/>
              <w:right w:val="single" w:sz="4" w:space="0" w:color="auto"/>
            </w:tcBorders>
          </w:tcPr>
          <w:p w14:paraId="64E6F9DE" w14:textId="77777777" w:rsidR="005C199B" w:rsidRPr="001A096F" w:rsidRDefault="005C199B" w:rsidP="00094F6F">
            <w:pPr>
              <w:widowControl w:val="0"/>
              <w:spacing w:after="0" w:line="240" w:lineRule="auto"/>
              <w:jc w:val="both"/>
              <w:rPr>
                <w:rFonts w:ascii="Times New Roman" w:hAnsi="Times New Roman"/>
                <w:sz w:val="24"/>
                <w:szCs w:val="24"/>
                <w:lang w:eastAsia="en-US"/>
              </w:rPr>
            </w:pPr>
            <w:r w:rsidRPr="001A096F">
              <w:rPr>
                <w:rFonts w:ascii="Times New Roman" w:hAnsi="Times New Roman"/>
                <w:sz w:val="24"/>
                <w:szCs w:val="24"/>
                <w:lang w:eastAsia="en-US"/>
              </w:rPr>
              <w:t>Определение частоты стула</w:t>
            </w:r>
          </w:p>
        </w:tc>
        <w:tc>
          <w:tcPr>
            <w:tcW w:w="907" w:type="dxa"/>
            <w:tcBorders>
              <w:top w:val="single" w:sz="4" w:space="0" w:color="auto"/>
              <w:left w:val="single" w:sz="4" w:space="0" w:color="auto"/>
              <w:bottom w:val="single" w:sz="4" w:space="0" w:color="auto"/>
              <w:right w:val="single" w:sz="4" w:space="0" w:color="auto"/>
            </w:tcBorders>
            <w:vAlign w:val="center"/>
          </w:tcPr>
          <w:p w14:paraId="0C0CAB51"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5D150AF4"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0B522C41"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6A786585"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27DB8A17"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r>
      <w:tr w:rsidR="005C199B" w:rsidRPr="001A096F" w14:paraId="4B3F71BF" w14:textId="77777777" w:rsidTr="00094F6F">
        <w:trPr>
          <w:cantSplit/>
          <w:trHeight w:val="340"/>
          <w:jc w:val="center"/>
        </w:trPr>
        <w:tc>
          <w:tcPr>
            <w:tcW w:w="4989" w:type="dxa"/>
            <w:tcBorders>
              <w:top w:val="single" w:sz="4" w:space="0" w:color="auto"/>
              <w:left w:val="single" w:sz="4" w:space="0" w:color="auto"/>
              <w:bottom w:val="single" w:sz="4" w:space="0" w:color="auto"/>
              <w:right w:val="single" w:sz="4" w:space="0" w:color="auto"/>
            </w:tcBorders>
          </w:tcPr>
          <w:p w14:paraId="309AB092" w14:textId="77777777" w:rsidR="005C199B" w:rsidRPr="001A096F" w:rsidRDefault="005C199B" w:rsidP="00094F6F">
            <w:pPr>
              <w:widowControl w:val="0"/>
              <w:spacing w:after="0" w:line="240" w:lineRule="auto"/>
              <w:jc w:val="both"/>
              <w:rPr>
                <w:rFonts w:ascii="Times New Roman" w:hAnsi="Times New Roman"/>
                <w:sz w:val="24"/>
                <w:szCs w:val="24"/>
                <w:lang w:eastAsia="en-US"/>
              </w:rPr>
            </w:pPr>
            <w:r w:rsidRPr="001A096F">
              <w:rPr>
                <w:rFonts w:ascii="Times New Roman" w:hAnsi="Times New Roman"/>
                <w:sz w:val="24"/>
                <w:szCs w:val="24"/>
                <w:lang w:eastAsia="en-US"/>
              </w:rPr>
              <w:t>Исследование кала на дисбактериоз (по показаниям)</w:t>
            </w:r>
          </w:p>
        </w:tc>
        <w:tc>
          <w:tcPr>
            <w:tcW w:w="4535" w:type="dxa"/>
            <w:gridSpan w:val="5"/>
            <w:tcBorders>
              <w:top w:val="single" w:sz="4" w:space="0" w:color="auto"/>
              <w:left w:val="single" w:sz="4" w:space="0" w:color="auto"/>
              <w:bottom w:val="single" w:sz="4" w:space="0" w:color="auto"/>
              <w:right w:val="single" w:sz="4" w:space="0" w:color="auto"/>
            </w:tcBorders>
          </w:tcPr>
          <w:p w14:paraId="3974A735"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По показаниям</w:t>
            </w:r>
          </w:p>
        </w:tc>
      </w:tr>
      <w:tr w:rsidR="005C199B" w:rsidRPr="001A096F" w14:paraId="192B1E50" w14:textId="77777777" w:rsidTr="00094F6F">
        <w:trPr>
          <w:cantSplit/>
          <w:trHeight w:val="340"/>
          <w:jc w:val="center"/>
        </w:trPr>
        <w:tc>
          <w:tcPr>
            <w:tcW w:w="4989" w:type="dxa"/>
            <w:tcBorders>
              <w:top w:val="single" w:sz="4" w:space="0" w:color="auto"/>
              <w:left w:val="single" w:sz="4" w:space="0" w:color="auto"/>
              <w:bottom w:val="single" w:sz="4" w:space="0" w:color="auto"/>
              <w:right w:val="single" w:sz="4" w:space="0" w:color="auto"/>
            </w:tcBorders>
          </w:tcPr>
          <w:p w14:paraId="5BFB8FE4" w14:textId="77777777" w:rsidR="005C199B" w:rsidRPr="001A096F" w:rsidRDefault="005C199B" w:rsidP="00094F6F">
            <w:pPr>
              <w:widowControl w:val="0"/>
              <w:spacing w:after="0" w:line="240" w:lineRule="auto"/>
              <w:jc w:val="both"/>
              <w:rPr>
                <w:rFonts w:ascii="Times New Roman" w:hAnsi="Times New Roman"/>
                <w:sz w:val="24"/>
                <w:szCs w:val="24"/>
                <w:lang w:eastAsia="en-US"/>
              </w:rPr>
            </w:pPr>
            <w:r w:rsidRPr="001A096F">
              <w:rPr>
                <w:rFonts w:ascii="Times New Roman" w:hAnsi="Times New Roman"/>
                <w:sz w:val="24"/>
                <w:szCs w:val="24"/>
                <w:lang w:eastAsia="en-US"/>
              </w:rPr>
              <w:t>Инструментальные методы исследования (ФКС с биопсией)</w:t>
            </w:r>
          </w:p>
        </w:tc>
        <w:tc>
          <w:tcPr>
            <w:tcW w:w="4535" w:type="dxa"/>
            <w:gridSpan w:val="5"/>
            <w:tcBorders>
              <w:top w:val="single" w:sz="4" w:space="0" w:color="auto"/>
              <w:left w:val="single" w:sz="4" w:space="0" w:color="auto"/>
              <w:bottom w:val="single" w:sz="4" w:space="0" w:color="auto"/>
              <w:right w:val="single" w:sz="4" w:space="0" w:color="auto"/>
            </w:tcBorders>
          </w:tcPr>
          <w:p w14:paraId="5CCC000F"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По показаниям</w:t>
            </w:r>
          </w:p>
        </w:tc>
      </w:tr>
      <w:tr w:rsidR="005C199B" w:rsidRPr="001A096F" w14:paraId="5B643832" w14:textId="77777777" w:rsidTr="00094F6F">
        <w:trPr>
          <w:cantSplit/>
          <w:trHeight w:val="340"/>
          <w:jc w:val="center"/>
        </w:trPr>
        <w:tc>
          <w:tcPr>
            <w:tcW w:w="4989" w:type="dxa"/>
            <w:tcBorders>
              <w:top w:val="single" w:sz="4" w:space="0" w:color="auto"/>
              <w:left w:val="single" w:sz="4" w:space="0" w:color="auto"/>
              <w:bottom w:val="single" w:sz="4" w:space="0" w:color="auto"/>
              <w:right w:val="single" w:sz="4" w:space="0" w:color="auto"/>
            </w:tcBorders>
            <w:hideMark/>
          </w:tcPr>
          <w:p w14:paraId="263694E4" w14:textId="77777777" w:rsidR="005C199B" w:rsidRPr="001A096F" w:rsidRDefault="005C199B" w:rsidP="00094F6F">
            <w:pPr>
              <w:widowControl w:val="0"/>
              <w:spacing w:after="0" w:line="240" w:lineRule="auto"/>
              <w:jc w:val="both"/>
              <w:rPr>
                <w:rFonts w:ascii="Times New Roman" w:hAnsi="Times New Roman"/>
                <w:sz w:val="24"/>
                <w:szCs w:val="24"/>
                <w:lang w:eastAsia="en-US"/>
              </w:rPr>
            </w:pPr>
            <w:r w:rsidRPr="001A096F">
              <w:rPr>
                <w:rFonts w:ascii="Times New Roman" w:hAnsi="Times New Roman"/>
                <w:sz w:val="24"/>
                <w:szCs w:val="24"/>
                <w:lang w:eastAsia="en-US"/>
              </w:rPr>
              <w:t>Оценка ИМТ, массы тела</w:t>
            </w:r>
          </w:p>
        </w:tc>
        <w:tc>
          <w:tcPr>
            <w:tcW w:w="907" w:type="dxa"/>
            <w:tcBorders>
              <w:top w:val="single" w:sz="4" w:space="0" w:color="auto"/>
              <w:left w:val="single" w:sz="4" w:space="0" w:color="auto"/>
              <w:bottom w:val="single" w:sz="4" w:space="0" w:color="auto"/>
              <w:right w:val="single" w:sz="4" w:space="0" w:color="auto"/>
            </w:tcBorders>
            <w:vAlign w:val="center"/>
            <w:hideMark/>
          </w:tcPr>
          <w:p w14:paraId="16FAC0A7"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hideMark/>
          </w:tcPr>
          <w:p w14:paraId="2CBD87A2"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hideMark/>
          </w:tcPr>
          <w:p w14:paraId="7E0917D5"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hideMark/>
          </w:tcPr>
          <w:p w14:paraId="3DE4393F"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hideMark/>
          </w:tcPr>
          <w:p w14:paraId="7774EAE5"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r>
      <w:tr w:rsidR="005C199B" w:rsidRPr="001A096F" w14:paraId="42794CCF" w14:textId="77777777" w:rsidTr="00094F6F">
        <w:trPr>
          <w:cantSplit/>
          <w:trHeight w:val="340"/>
          <w:jc w:val="center"/>
        </w:trPr>
        <w:tc>
          <w:tcPr>
            <w:tcW w:w="4989" w:type="dxa"/>
            <w:tcBorders>
              <w:top w:val="single" w:sz="4" w:space="0" w:color="auto"/>
              <w:left w:val="single" w:sz="4" w:space="0" w:color="auto"/>
              <w:bottom w:val="single" w:sz="4" w:space="0" w:color="auto"/>
              <w:right w:val="single" w:sz="4" w:space="0" w:color="auto"/>
            </w:tcBorders>
          </w:tcPr>
          <w:p w14:paraId="2ECCAA4F" w14:textId="77777777" w:rsidR="005C199B" w:rsidRPr="001A096F" w:rsidRDefault="005C199B" w:rsidP="00094F6F">
            <w:pPr>
              <w:widowControl w:val="0"/>
              <w:spacing w:after="0" w:line="240" w:lineRule="auto"/>
              <w:jc w:val="both"/>
              <w:rPr>
                <w:rFonts w:ascii="Times New Roman" w:hAnsi="Times New Roman"/>
                <w:sz w:val="24"/>
                <w:szCs w:val="24"/>
                <w:lang w:eastAsia="en-US"/>
              </w:rPr>
            </w:pPr>
            <w:r w:rsidRPr="001A096F">
              <w:rPr>
                <w:rFonts w:ascii="Times New Roman" w:hAnsi="Times New Roman"/>
                <w:sz w:val="24"/>
                <w:szCs w:val="24"/>
                <w:lang w:eastAsia="en-US"/>
              </w:rPr>
              <w:t>Анализ электролитов</w:t>
            </w:r>
          </w:p>
        </w:tc>
        <w:tc>
          <w:tcPr>
            <w:tcW w:w="907" w:type="dxa"/>
            <w:tcBorders>
              <w:top w:val="single" w:sz="4" w:space="0" w:color="auto"/>
              <w:left w:val="single" w:sz="4" w:space="0" w:color="auto"/>
              <w:bottom w:val="single" w:sz="4" w:space="0" w:color="auto"/>
              <w:right w:val="single" w:sz="4" w:space="0" w:color="auto"/>
            </w:tcBorders>
            <w:vAlign w:val="center"/>
          </w:tcPr>
          <w:p w14:paraId="7CAE71DC"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4B530AF8"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4BD8A449"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51235657"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53B42EEE"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r>
      <w:tr w:rsidR="005C199B" w:rsidRPr="001A096F" w14:paraId="21CBE102" w14:textId="77777777" w:rsidTr="00094F6F">
        <w:trPr>
          <w:cantSplit/>
          <w:trHeight w:val="340"/>
          <w:jc w:val="center"/>
        </w:trPr>
        <w:tc>
          <w:tcPr>
            <w:tcW w:w="4989" w:type="dxa"/>
            <w:tcBorders>
              <w:top w:val="single" w:sz="4" w:space="0" w:color="auto"/>
              <w:left w:val="single" w:sz="4" w:space="0" w:color="auto"/>
              <w:bottom w:val="single" w:sz="4" w:space="0" w:color="auto"/>
              <w:right w:val="single" w:sz="4" w:space="0" w:color="auto"/>
            </w:tcBorders>
          </w:tcPr>
          <w:p w14:paraId="42846DB4" w14:textId="77777777" w:rsidR="005C199B" w:rsidRPr="001A096F" w:rsidRDefault="005C199B" w:rsidP="00094F6F">
            <w:pPr>
              <w:widowControl w:val="0"/>
              <w:spacing w:after="0" w:line="240" w:lineRule="auto"/>
              <w:jc w:val="both"/>
              <w:rPr>
                <w:rFonts w:ascii="Times New Roman" w:hAnsi="Times New Roman"/>
                <w:sz w:val="24"/>
                <w:szCs w:val="24"/>
                <w:lang w:eastAsia="en-US"/>
              </w:rPr>
            </w:pPr>
            <w:r w:rsidRPr="001A096F">
              <w:rPr>
                <w:rFonts w:ascii="Times New Roman" w:hAnsi="Times New Roman"/>
                <w:sz w:val="24"/>
                <w:szCs w:val="24"/>
                <w:lang w:eastAsia="en-US"/>
              </w:rPr>
              <w:t>Анализ белковой фракции крови</w:t>
            </w:r>
          </w:p>
        </w:tc>
        <w:tc>
          <w:tcPr>
            <w:tcW w:w="907" w:type="dxa"/>
            <w:tcBorders>
              <w:top w:val="single" w:sz="4" w:space="0" w:color="auto"/>
              <w:left w:val="single" w:sz="4" w:space="0" w:color="auto"/>
              <w:bottom w:val="single" w:sz="4" w:space="0" w:color="auto"/>
              <w:right w:val="single" w:sz="4" w:space="0" w:color="auto"/>
            </w:tcBorders>
            <w:vAlign w:val="center"/>
          </w:tcPr>
          <w:p w14:paraId="6D715752"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302FE930"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3911AEC7"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766AE80C"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7E5519CE"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r>
      <w:tr w:rsidR="005C199B" w:rsidRPr="001A096F" w14:paraId="308175EA" w14:textId="77777777" w:rsidTr="00094F6F">
        <w:trPr>
          <w:cantSplit/>
          <w:trHeight w:val="340"/>
          <w:jc w:val="center"/>
        </w:trPr>
        <w:tc>
          <w:tcPr>
            <w:tcW w:w="4989" w:type="dxa"/>
            <w:tcBorders>
              <w:top w:val="single" w:sz="4" w:space="0" w:color="auto"/>
              <w:left w:val="single" w:sz="4" w:space="0" w:color="auto"/>
              <w:bottom w:val="single" w:sz="4" w:space="0" w:color="auto"/>
              <w:right w:val="single" w:sz="4" w:space="0" w:color="auto"/>
            </w:tcBorders>
            <w:hideMark/>
          </w:tcPr>
          <w:p w14:paraId="2583D63B" w14:textId="77777777" w:rsidR="005C199B" w:rsidRPr="001A096F" w:rsidRDefault="005C199B" w:rsidP="00094F6F">
            <w:pPr>
              <w:widowControl w:val="0"/>
              <w:spacing w:after="0" w:line="240" w:lineRule="auto"/>
              <w:jc w:val="both"/>
              <w:rPr>
                <w:rFonts w:ascii="Times New Roman" w:hAnsi="Times New Roman"/>
                <w:sz w:val="24"/>
                <w:szCs w:val="24"/>
                <w:lang w:eastAsia="en-US"/>
              </w:rPr>
            </w:pPr>
            <w:r w:rsidRPr="001A096F">
              <w:rPr>
                <w:rFonts w:ascii="Times New Roman" w:hAnsi="Times New Roman"/>
                <w:sz w:val="24"/>
                <w:szCs w:val="24"/>
                <w:lang w:eastAsia="en-US"/>
              </w:rPr>
              <w:t xml:space="preserve">Дневник питания </w:t>
            </w:r>
          </w:p>
        </w:tc>
        <w:tc>
          <w:tcPr>
            <w:tcW w:w="907" w:type="dxa"/>
            <w:tcBorders>
              <w:top w:val="single" w:sz="4" w:space="0" w:color="auto"/>
              <w:left w:val="single" w:sz="4" w:space="0" w:color="auto"/>
              <w:bottom w:val="single" w:sz="4" w:space="0" w:color="auto"/>
              <w:right w:val="single" w:sz="4" w:space="0" w:color="auto"/>
            </w:tcBorders>
            <w:vAlign w:val="center"/>
            <w:hideMark/>
          </w:tcPr>
          <w:p w14:paraId="4DBE5A5E"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hideMark/>
          </w:tcPr>
          <w:p w14:paraId="1A9DA630"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hideMark/>
          </w:tcPr>
          <w:p w14:paraId="2CFD3157"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hideMark/>
          </w:tcPr>
          <w:p w14:paraId="085AAF66"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hideMark/>
          </w:tcPr>
          <w:p w14:paraId="1A0798E6"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r>
      <w:tr w:rsidR="005C199B" w:rsidRPr="001A096F" w14:paraId="782EB4EC" w14:textId="77777777" w:rsidTr="00094F6F">
        <w:trPr>
          <w:cantSplit/>
          <w:trHeight w:val="340"/>
          <w:jc w:val="center"/>
        </w:trPr>
        <w:tc>
          <w:tcPr>
            <w:tcW w:w="4989" w:type="dxa"/>
            <w:tcBorders>
              <w:top w:val="single" w:sz="4" w:space="0" w:color="auto"/>
              <w:left w:val="single" w:sz="4" w:space="0" w:color="auto"/>
              <w:bottom w:val="single" w:sz="4" w:space="0" w:color="auto"/>
              <w:right w:val="single" w:sz="4" w:space="0" w:color="auto"/>
            </w:tcBorders>
          </w:tcPr>
          <w:p w14:paraId="71955AFC" w14:textId="77777777" w:rsidR="005C199B" w:rsidRPr="001A096F" w:rsidRDefault="005C199B" w:rsidP="00094F6F">
            <w:pPr>
              <w:widowControl w:val="0"/>
              <w:spacing w:after="0" w:line="240" w:lineRule="auto"/>
              <w:jc w:val="both"/>
              <w:rPr>
                <w:rFonts w:ascii="Times New Roman" w:hAnsi="Times New Roman"/>
                <w:sz w:val="24"/>
                <w:szCs w:val="24"/>
                <w:lang w:eastAsia="en-US"/>
              </w:rPr>
            </w:pPr>
            <w:r w:rsidRPr="001A096F">
              <w:rPr>
                <w:rFonts w:ascii="Times New Roman" w:hAnsi="Times New Roman"/>
                <w:sz w:val="24"/>
                <w:szCs w:val="24"/>
              </w:rPr>
              <w:t xml:space="preserve">Оценка качества жизни по колоректальному модулю анкеты EORTC </w:t>
            </w:r>
            <w:r w:rsidRPr="001A096F">
              <w:rPr>
                <w:rFonts w:ascii="Times New Roman" w:hAnsi="Times New Roman"/>
                <w:sz w:val="24"/>
                <w:szCs w:val="24"/>
                <w:lang w:val="en-US"/>
              </w:rPr>
              <w:t>QLQ</w:t>
            </w:r>
            <w:r w:rsidRPr="001A096F">
              <w:rPr>
                <w:rFonts w:ascii="Times New Roman" w:hAnsi="Times New Roman"/>
                <w:sz w:val="24"/>
                <w:szCs w:val="24"/>
              </w:rPr>
              <w:t xml:space="preserve"> </w:t>
            </w:r>
            <w:r w:rsidRPr="001A096F">
              <w:rPr>
                <w:rFonts w:ascii="Times New Roman" w:hAnsi="Times New Roman"/>
                <w:sz w:val="24"/>
                <w:szCs w:val="24"/>
                <w:lang w:val="en-US"/>
              </w:rPr>
              <w:t>C</w:t>
            </w:r>
            <w:r w:rsidRPr="001A096F">
              <w:rPr>
                <w:rFonts w:ascii="Times New Roman" w:hAnsi="Times New Roman"/>
                <w:sz w:val="24"/>
                <w:szCs w:val="24"/>
              </w:rPr>
              <w:t>30</w:t>
            </w:r>
          </w:p>
        </w:tc>
        <w:tc>
          <w:tcPr>
            <w:tcW w:w="907" w:type="dxa"/>
            <w:tcBorders>
              <w:top w:val="single" w:sz="4" w:space="0" w:color="auto"/>
              <w:left w:val="single" w:sz="4" w:space="0" w:color="auto"/>
              <w:bottom w:val="single" w:sz="4" w:space="0" w:color="auto"/>
              <w:right w:val="single" w:sz="4" w:space="0" w:color="auto"/>
            </w:tcBorders>
            <w:vAlign w:val="center"/>
          </w:tcPr>
          <w:p w14:paraId="09D0729B"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1CC95DEE"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74254115"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543EC9B9"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c>
          <w:tcPr>
            <w:tcW w:w="907" w:type="dxa"/>
            <w:tcBorders>
              <w:top w:val="single" w:sz="4" w:space="0" w:color="auto"/>
              <w:left w:val="single" w:sz="4" w:space="0" w:color="auto"/>
              <w:bottom w:val="single" w:sz="4" w:space="0" w:color="auto"/>
              <w:right w:val="single" w:sz="4" w:space="0" w:color="auto"/>
            </w:tcBorders>
            <w:vAlign w:val="center"/>
          </w:tcPr>
          <w:p w14:paraId="07CDAB3B" w14:textId="77777777" w:rsidR="005C199B" w:rsidRPr="001A096F" w:rsidRDefault="005C199B" w:rsidP="00094F6F">
            <w:pPr>
              <w:widowControl w:val="0"/>
              <w:spacing w:after="0" w:line="240" w:lineRule="auto"/>
              <w:jc w:val="center"/>
              <w:rPr>
                <w:rFonts w:ascii="Times New Roman" w:hAnsi="Times New Roman"/>
                <w:sz w:val="24"/>
                <w:szCs w:val="24"/>
                <w:lang w:eastAsia="en-US"/>
              </w:rPr>
            </w:pPr>
            <w:r w:rsidRPr="001A096F">
              <w:rPr>
                <w:rFonts w:ascii="Times New Roman" w:hAnsi="Times New Roman"/>
                <w:sz w:val="24"/>
                <w:szCs w:val="24"/>
                <w:lang w:eastAsia="en-US"/>
              </w:rPr>
              <w:t>+</w:t>
            </w:r>
          </w:p>
        </w:tc>
      </w:tr>
    </w:tbl>
    <w:p w14:paraId="32DFAE4E" w14:textId="77777777" w:rsidR="005C199B" w:rsidRDefault="005C199B" w:rsidP="005C199B">
      <w:pPr>
        <w:widowControl w:val="0"/>
        <w:tabs>
          <w:tab w:val="left" w:pos="0"/>
        </w:tabs>
        <w:spacing w:after="0" w:line="240" w:lineRule="auto"/>
        <w:ind w:firstLine="567"/>
        <w:jc w:val="both"/>
        <w:rPr>
          <w:rFonts w:ascii="Times New Roman" w:hAnsi="Times New Roman"/>
          <w:i/>
          <w:sz w:val="28"/>
          <w:szCs w:val="28"/>
        </w:rPr>
      </w:pPr>
    </w:p>
    <w:p w14:paraId="4A2EC7D1" w14:textId="77777777" w:rsidR="005C199B"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p>
    <w:p w14:paraId="7FB482D3" w14:textId="77777777" w:rsidR="005C199B" w:rsidRPr="00E307C1"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sz w:val="28"/>
          <w:szCs w:val="28"/>
        </w:rPr>
      </w:pPr>
      <w:r w:rsidRPr="00145B66">
        <w:rPr>
          <w:rFonts w:ascii="Times New Roman" w:hAnsi="Times New Roman"/>
          <w:sz w:val="28"/>
          <w:szCs w:val="28"/>
        </w:rPr>
        <w:t xml:space="preserve">Таблица </w:t>
      </w:r>
      <w:r w:rsidRPr="00E964C4">
        <w:rPr>
          <w:rFonts w:ascii="Times New Roman" w:hAnsi="Times New Roman"/>
          <w:sz w:val="28"/>
          <w:szCs w:val="28"/>
        </w:rPr>
        <w:t>11</w:t>
      </w:r>
      <w:r w:rsidRPr="00145B66">
        <w:rPr>
          <w:rFonts w:ascii="Times New Roman" w:hAnsi="Times New Roman"/>
          <w:sz w:val="28"/>
          <w:szCs w:val="28"/>
        </w:rPr>
        <w:t xml:space="preserve"> –</w:t>
      </w:r>
      <w:r>
        <w:rPr>
          <w:rFonts w:ascii="Times New Roman" w:hAnsi="Times New Roman"/>
          <w:sz w:val="28"/>
          <w:szCs w:val="28"/>
        </w:rPr>
        <w:t xml:space="preserve">Пример продуктов с содержанием </w:t>
      </w:r>
      <w:r>
        <w:rPr>
          <w:rFonts w:ascii="Times New Roman" w:hAnsi="Times New Roman"/>
          <w:sz w:val="28"/>
          <w:szCs w:val="28"/>
          <w:lang w:val="en-US"/>
        </w:rPr>
        <w:t>FODMAP</w:t>
      </w:r>
    </w:p>
    <w:p w14:paraId="4B0BDA0E" w14:textId="77777777" w:rsidR="005C199B" w:rsidRPr="00403117"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554"/>
        <w:gridCol w:w="1248"/>
        <w:gridCol w:w="1701"/>
        <w:gridCol w:w="1559"/>
        <w:gridCol w:w="1524"/>
      </w:tblGrid>
      <w:tr w:rsidR="005C199B" w:rsidRPr="00B40784" w14:paraId="44853A64" w14:textId="77777777" w:rsidTr="00094F6F">
        <w:trPr>
          <w:trHeight w:val="340"/>
          <w:jc w:val="center"/>
        </w:trPr>
        <w:tc>
          <w:tcPr>
            <w:tcW w:w="1980" w:type="dxa"/>
            <w:shd w:val="clear" w:color="auto" w:fill="auto"/>
            <w:vAlign w:val="center"/>
          </w:tcPr>
          <w:p w14:paraId="20B9193D"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proofErr w:type="spellStart"/>
            <w:r w:rsidRPr="00B40784">
              <w:rPr>
                <w:rFonts w:ascii="Times New Roman" w:hAnsi="Times New Roman"/>
                <w:sz w:val="24"/>
                <w:szCs w:val="24"/>
              </w:rPr>
              <w:t>Наимено</w:t>
            </w:r>
            <w:proofErr w:type="spellEnd"/>
            <w:r>
              <w:rPr>
                <w:rFonts w:ascii="Times New Roman" w:hAnsi="Times New Roman"/>
                <w:sz w:val="24"/>
                <w:szCs w:val="24"/>
              </w:rPr>
              <w:t xml:space="preserve"> </w:t>
            </w:r>
            <w:proofErr w:type="spellStart"/>
            <w:r w:rsidRPr="00B40784">
              <w:rPr>
                <w:rFonts w:ascii="Times New Roman" w:hAnsi="Times New Roman"/>
                <w:sz w:val="24"/>
                <w:szCs w:val="24"/>
              </w:rPr>
              <w:t>вание</w:t>
            </w:r>
            <w:proofErr w:type="spellEnd"/>
            <w:r w:rsidRPr="00B40784">
              <w:rPr>
                <w:rFonts w:ascii="Times New Roman" w:hAnsi="Times New Roman"/>
                <w:sz w:val="24"/>
                <w:szCs w:val="24"/>
              </w:rPr>
              <w:t xml:space="preserve"> продукта</w:t>
            </w:r>
          </w:p>
        </w:tc>
        <w:tc>
          <w:tcPr>
            <w:tcW w:w="1554" w:type="dxa"/>
            <w:shd w:val="clear" w:color="auto" w:fill="auto"/>
            <w:vAlign w:val="center"/>
          </w:tcPr>
          <w:p w14:paraId="7809FDF1"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color w:val="000000"/>
                <w:sz w:val="24"/>
                <w:szCs w:val="24"/>
              </w:rPr>
            </w:pPr>
            <w:r w:rsidRPr="00B40784">
              <w:rPr>
                <w:noProof/>
                <w:color w:val="000000"/>
              </w:rPr>
              <mc:AlternateContent>
                <mc:Choice Requires="wps">
                  <w:drawing>
                    <wp:anchor distT="0" distB="0" distL="114300" distR="114300" simplePos="0" relativeHeight="251664384" behindDoc="0" locked="0" layoutInCell="1" allowOverlap="1" wp14:anchorId="1F16BCCA" wp14:editId="465565E7">
                      <wp:simplePos x="0" y="0"/>
                      <wp:positionH relativeFrom="column">
                        <wp:posOffset>353060</wp:posOffset>
                      </wp:positionH>
                      <wp:positionV relativeFrom="paragraph">
                        <wp:posOffset>869315</wp:posOffset>
                      </wp:positionV>
                      <wp:extent cx="267970" cy="156845"/>
                      <wp:effectExtent l="0" t="0" r="0" b="0"/>
                      <wp:wrapNone/>
                      <wp:docPr id="58" name="Овал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970" cy="156845"/>
                              </a:xfrm>
                              <a:prstGeom prst="ellipse">
                                <a:avLst/>
                              </a:prstGeom>
                              <a:solidFill>
                                <a:srgbClr val="92D050"/>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B7C82E1" id="Овал 8" o:spid="_x0000_s1026" style="position:absolute;margin-left:27.8pt;margin-top:68.45pt;width:21.1pt;height:12.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" fillcolor="#92d050" strokecolor="#41719c" strokeweight="1pt">
                      <v:stroke joinstyle="miter"/>
                      <v:path arrowok="t"/>
                    </v:oval>
                  </w:pict>
                </mc:Fallback>
              </mc:AlternateContent>
            </w:r>
            <w:r w:rsidRPr="00B40784">
              <w:rPr>
                <w:rFonts w:ascii="Times New Roman" w:hAnsi="Times New Roman"/>
                <w:color w:val="000000"/>
                <w:sz w:val="24"/>
                <w:szCs w:val="24"/>
              </w:rPr>
              <w:t>Порция с низким со</w:t>
            </w:r>
            <w:r>
              <w:rPr>
                <w:rFonts w:ascii="Times New Roman" w:hAnsi="Times New Roman"/>
                <w:color w:val="000000"/>
                <w:sz w:val="24"/>
                <w:szCs w:val="24"/>
              </w:rPr>
              <w:t xml:space="preserve"> </w:t>
            </w:r>
            <w:r w:rsidRPr="00B40784">
              <w:rPr>
                <w:rFonts w:ascii="Times New Roman" w:hAnsi="Times New Roman"/>
                <w:color w:val="000000"/>
                <w:sz w:val="24"/>
                <w:szCs w:val="24"/>
              </w:rPr>
              <w:t xml:space="preserve">держанием веществ </w:t>
            </w:r>
            <w:r w:rsidRPr="00B40784">
              <w:rPr>
                <w:rFonts w:ascii="Times New Roman" w:hAnsi="Times New Roman"/>
                <w:color w:val="000000"/>
                <w:sz w:val="24"/>
                <w:szCs w:val="24"/>
                <w:lang w:val="en-US"/>
              </w:rPr>
              <w:t>FODMAP</w:t>
            </w:r>
            <w:r>
              <w:rPr>
                <w:rFonts w:ascii="Times New Roman" w:hAnsi="Times New Roman"/>
                <w:color w:val="000000"/>
                <w:sz w:val="24"/>
                <w:szCs w:val="24"/>
              </w:rPr>
              <w:t xml:space="preserve"> </w:t>
            </w:r>
            <w:r w:rsidRPr="00B40784">
              <w:rPr>
                <w:rFonts w:ascii="Times New Roman" w:hAnsi="Times New Roman"/>
                <w:color w:val="000000"/>
                <w:sz w:val="24"/>
                <w:szCs w:val="24"/>
              </w:rPr>
              <w:t>(г)</w:t>
            </w:r>
          </w:p>
        </w:tc>
        <w:tc>
          <w:tcPr>
            <w:tcW w:w="1248" w:type="dxa"/>
            <w:shd w:val="clear" w:color="auto" w:fill="auto"/>
            <w:vAlign w:val="center"/>
          </w:tcPr>
          <w:p w14:paraId="325FFD03"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color w:val="000000"/>
                <w:sz w:val="24"/>
                <w:szCs w:val="24"/>
              </w:rPr>
            </w:pPr>
            <w:r w:rsidRPr="00B40784">
              <w:rPr>
                <w:rFonts w:ascii="Times New Roman" w:hAnsi="Times New Roman"/>
                <w:color w:val="000000"/>
                <w:sz w:val="24"/>
                <w:szCs w:val="24"/>
              </w:rPr>
              <w:t>Средний размер разрешенной порции</w:t>
            </w:r>
          </w:p>
        </w:tc>
        <w:tc>
          <w:tcPr>
            <w:tcW w:w="1701" w:type="dxa"/>
            <w:shd w:val="clear" w:color="auto" w:fill="auto"/>
            <w:vAlign w:val="center"/>
          </w:tcPr>
          <w:p w14:paraId="277A3CAD"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Порция с умеренным</w:t>
            </w:r>
          </w:p>
          <w:p w14:paraId="1776717F"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proofErr w:type="gramStart"/>
            <w:r w:rsidRPr="00B40784">
              <w:rPr>
                <w:rFonts w:ascii="Times New Roman" w:hAnsi="Times New Roman"/>
                <w:sz w:val="24"/>
                <w:szCs w:val="24"/>
              </w:rPr>
              <w:t>содержанием</w:t>
            </w:r>
            <w:proofErr w:type="gramEnd"/>
            <w:r w:rsidRPr="00B40784">
              <w:rPr>
                <w:rFonts w:ascii="Times New Roman" w:hAnsi="Times New Roman"/>
                <w:sz w:val="24"/>
                <w:szCs w:val="24"/>
              </w:rPr>
              <w:t xml:space="preserve"> веществ </w:t>
            </w:r>
            <w:r w:rsidRPr="00B40784">
              <w:rPr>
                <w:rFonts w:ascii="Times New Roman" w:hAnsi="Times New Roman"/>
                <w:sz w:val="24"/>
                <w:szCs w:val="24"/>
                <w:lang w:val="en-US"/>
              </w:rPr>
              <w:t>FODMAP</w:t>
            </w:r>
            <w:r w:rsidRPr="00B40784">
              <w:rPr>
                <w:rFonts w:ascii="Times New Roman" w:hAnsi="Times New Roman"/>
                <w:sz w:val="24"/>
                <w:szCs w:val="24"/>
              </w:rPr>
              <w:t>(г)</w:t>
            </w:r>
          </w:p>
          <w:p w14:paraId="35ECD4E7"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1C772F">
              <w:rPr>
                <w:noProof/>
              </w:rPr>
              <mc:AlternateContent>
                <mc:Choice Requires="wps">
                  <w:drawing>
                    <wp:anchor distT="0" distB="0" distL="114300" distR="114300" simplePos="0" relativeHeight="251665408" behindDoc="0" locked="0" layoutInCell="1" allowOverlap="1" wp14:anchorId="5533248F" wp14:editId="260E7364">
                      <wp:simplePos x="0" y="0"/>
                      <wp:positionH relativeFrom="column">
                        <wp:posOffset>297180</wp:posOffset>
                      </wp:positionH>
                      <wp:positionV relativeFrom="paragraph">
                        <wp:posOffset>-8890</wp:posOffset>
                      </wp:positionV>
                      <wp:extent cx="231140" cy="156845"/>
                      <wp:effectExtent l="0" t="0" r="0" b="0"/>
                      <wp:wrapNone/>
                      <wp:docPr id="57" name="Овал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140" cy="156845"/>
                              </a:xfrm>
                              <a:prstGeom prst="ellipse">
                                <a:avLst/>
                              </a:prstGeom>
                              <a:solidFill>
                                <a:srgbClr val="FFFF00"/>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640B2A4" id="Овал 6" o:spid="_x0000_s1026" style="position:absolute;margin-left:23.4pt;margin-top:-.7pt;width:18.2pt;height:12.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" fillcolor="yellow" strokecolor="#41719c" strokeweight="1pt">
                      <v:stroke joinstyle="miter"/>
                      <v:path arrowok="t"/>
                    </v:oval>
                  </w:pict>
                </mc:Fallback>
              </mc:AlternateContent>
            </w:r>
          </w:p>
        </w:tc>
        <w:tc>
          <w:tcPr>
            <w:tcW w:w="1559" w:type="dxa"/>
            <w:shd w:val="clear" w:color="auto" w:fill="auto"/>
            <w:vAlign w:val="center"/>
          </w:tcPr>
          <w:p w14:paraId="59B06B7F"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 xml:space="preserve">Порция с высоким содержанием веществ </w:t>
            </w:r>
            <w:r w:rsidRPr="00B40784">
              <w:rPr>
                <w:rFonts w:ascii="Times New Roman" w:hAnsi="Times New Roman"/>
                <w:sz w:val="24"/>
                <w:szCs w:val="24"/>
                <w:lang w:val="en-US"/>
              </w:rPr>
              <w:t>FODMAP</w:t>
            </w:r>
            <w:r w:rsidRPr="00B40784">
              <w:rPr>
                <w:rFonts w:ascii="Times New Roman" w:hAnsi="Times New Roman"/>
                <w:sz w:val="24"/>
                <w:szCs w:val="24"/>
              </w:rPr>
              <w:t>(г)</w:t>
            </w:r>
          </w:p>
          <w:p w14:paraId="6018CF36"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1C772F">
              <w:rPr>
                <w:noProof/>
              </w:rPr>
              <mc:AlternateContent>
                <mc:Choice Requires="wps">
                  <w:drawing>
                    <wp:anchor distT="0" distB="0" distL="114300" distR="114300" simplePos="0" relativeHeight="251666432" behindDoc="0" locked="0" layoutInCell="1" allowOverlap="1" wp14:anchorId="136D9D52" wp14:editId="6F390C08">
                      <wp:simplePos x="0" y="0"/>
                      <wp:positionH relativeFrom="column">
                        <wp:posOffset>350520</wp:posOffset>
                      </wp:positionH>
                      <wp:positionV relativeFrom="paragraph">
                        <wp:posOffset>-6350</wp:posOffset>
                      </wp:positionV>
                      <wp:extent cx="249555" cy="156845"/>
                      <wp:effectExtent l="0" t="0" r="0" b="0"/>
                      <wp:wrapNone/>
                      <wp:docPr id="56" name="Овал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 cy="156845"/>
                              </a:xfrm>
                              <a:prstGeom prst="ellipse">
                                <a:avLst/>
                              </a:prstGeom>
                              <a:solidFill>
                                <a:srgbClr val="FF0000"/>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8C1ED39" id="Овал 4" o:spid="_x0000_s1026" style="position:absolute;margin-left:27.6pt;margin-top:-.5pt;width:19.65pt;height:12.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" fillcolor="red" strokecolor="#41719c" strokeweight="1pt">
                      <v:stroke joinstyle="miter"/>
                      <v:path arrowok="t"/>
                    </v:oval>
                  </w:pict>
                </mc:Fallback>
              </mc:AlternateContent>
            </w:r>
          </w:p>
        </w:tc>
        <w:tc>
          <w:tcPr>
            <w:tcW w:w="1524" w:type="dxa"/>
            <w:shd w:val="clear" w:color="auto" w:fill="auto"/>
            <w:vAlign w:val="center"/>
          </w:tcPr>
          <w:p w14:paraId="32D22FEC"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 xml:space="preserve">Углевод </w:t>
            </w:r>
            <w:r w:rsidRPr="00B40784">
              <w:rPr>
                <w:rFonts w:ascii="Times New Roman" w:hAnsi="Times New Roman"/>
                <w:sz w:val="24"/>
                <w:szCs w:val="24"/>
                <w:lang w:val="en-US"/>
              </w:rPr>
              <w:t>FODMAP</w:t>
            </w:r>
            <w:r w:rsidRPr="00B40784">
              <w:rPr>
                <w:rFonts w:ascii="Times New Roman" w:hAnsi="Times New Roman"/>
                <w:sz w:val="24"/>
                <w:szCs w:val="24"/>
              </w:rPr>
              <w:t xml:space="preserve">, </w:t>
            </w:r>
            <w:proofErr w:type="spellStart"/>
            <w:r w:rsidRPr="00B40784">
              <w:rPr>
                <w:rFonts w:ascii="Times New Roman" w:hAnsi="Times New Roman"/>
                <w:sz w:val="24"/>
                <w:szCs w:val="24"/>
              </w:rPr>
              <w:t>преобла</w:t>
            </w:r>
            <w:proofErr w:type="spellEnd"/>
            <w:r>
              <w:rPr>
                <w:rFonts w:ascii="Times New Roman" w:hAnsi="Times New Roman"/>
                <w:sz w:val="24"/>
                <w:szCs w:val="24"/>
              </w:rPr>
              <w:t xml:space="preserve"> </w:t>
            </w:r>
            <w:r w:rsidRPr="00B40784">
              <w:rPr>
                <w:rFonts w:ascii="Times New Roman" w:hAnsi="Times New Roman"/>
                <w:sz w:val="24"/>
                <w:szCs w:val="24"/>
              </w:rPr>
              <w:t>дающий в продукте</w:t>
            </w:r>
          </w:p>
        </w:tc>
      </w:tr>
      <w:tr w:rsidR="005C199B" w:rsidRPr="00B40784" w14:paraId="589C9D61" w14:textId="77777777" w:rsidTr="00094F6F">
        <w:trPr>
          <w:trHeight w:val="340"/>
          <w:jc w:val="center"/>
        </w:trPr>
        <w:tc>
          <w:tcPr>
            <w:tcW w:w="1980" w:type="dxa"/>
            <w:shd w:val="clear" w:color="auto" w:fill="auto"/>
            <w:vAlign w:val="center"/>
          </w:tcPr>
          <w:p w14:paraId="461DD702"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Молоко коровье</w:t>
            </w:r>
          </w:p>
        </w:tc>
        <w:tc>
          <w:tcPr>
            <w:tcW w:w="1554" w:type="dxa"/>
            <w:shd w:val="clear" w:color="auto" w:fill="auto"/>
            <w:vAlign w:val="center"/>
          </w:tcPr>
          <w:p w14:paraId="01CE48EA"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color w:val="000000"/>
                <w:sz w:val="24"/>
                <w:szCs w:val="24"/>
              </w:rPr>
            </w:pPr>
            <w:r w:rsidRPr="00B40784">
              <w:rPr>
                <w:rFonts w:ascii="Times New Roman" w:hAnsi="Times New Roman"/>
                <w:color w:val="000000"/>
                <w:sz w:val="24"/>
                <w:szCs w:val="24"/>
              </w:rPr>
              <w:t>20</w:t>
            </w:r>
          </w:p>
        </w:tc>
        <w:tc>
          <w:tcPr>
            <w:tcW w:w="1248" w:type="dxa"/>
            <w:shd w:val="clear" w:color="auto" w:fill="auto"/>
            <w:vAlign w:val="center"/>
          </w:tcPr>
          <w:p w14:paraId="61CFDCAC"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color w:val="000000"/>
                <w:sz w:val="24"/>
                <w:szCs w:val="24"/>
              </w:rPr>
            </w:pPr>
            <w:r w:rsidRPr="00B40784">
              <w:rPr>
                <w:rFonts w:ascii="Times New Roman" w:hAnsi="Times New Roman"/>
                <w:color w:val="000000"/>
                <w:sz w:val="24"/>
                <w:szCs w:val="24"/>
              </w:rPr>
              <w:t xml:space="preserve">1 </w:t>
            </w:r>
            <w:proofErr w:type="spellStart"/>
            <w:r w:rsidRPr="00B40784">
              <w:rPr>
                <w:rFonts w:ascii="Times New Roman" w:hAnsi="Times New Roman"/>
                <w:color w:val="000000"/>
                <w:sz w:val="24"/>
                <w:szCs w:val="24"/>
              </w:rPr>
              <w:t>столо</w:t>
            </w:r>
            <w:proofErr w:type="spellEnd"/>
            <w:r>
              <w:rPr>
                <w:rFonts w:ascii="Times New Roman" w:hAnsi="Times New Roman"/>
                <w:color w:val="000000"/>
                <w:sz w:val="24"/>
                <w:szCs w:val="24"/>
              </w:rPr>
              <w:t xml:space="preserve"> </w:t>
            </w:r>
            <w:proofErr w:type="spellStart"/>
            <w:r w:rsidRPr="00B40784">
              <w:rPr>
                <w:rFonts w:ascii="Times New Roman" w:hAnsi="Times New Roman"/>
                <w:color w:val="000000"/>
                <w:sz w:val="24"/>
                <w:szCs w:val="24"/>
              </w:rPr>
              <w:t>вая</w:t>
            </w:r>
            <w:proofErr w:type="spellEnd"/>
            <w:r w:rsidRPr="00B40784">
              <w:rPr>
                <w:rFonts w:ascii="Times New Roman" w:hAnsi="Times New Roman"/>
                <w:color w:val="000000"/>
                <w:sz w:val="24"/>
                <w:szCs w:val="24"/>
              </w:rPr>
              <w:t xml:space="preserve"> ложка</w:t>
            </w:r>
          </w:p>
        </w:tc>
        <w:tc>
          <w:tcPr>
            <w:tcW w:w="1701" w:type="dxa"/>
            <w:shd w:val="clear" w:color="auto" w:fill="auto"/>
            <w:vAlign w:val="center"/>
          </w:tcPr>
          <w:p w14:paraId="7E519E01"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60</w:t>
            </w:r>
          </w:p>
        </w:tc>
        <w:tc>
          <w:tcPr>
            <w:tcW w:w="1559" w:type="dxa"/>
            <w:shd w:val="clear" w:color="auto" w:fill="auto"/>
            <w:vAlign w:val="center"/>
          </w:tcPr>
          <w:p w14:paraId="1C27964F"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257</w:t>
            </w:r>
          </w:p>
        </w:tc>
        <w:tc>
          <w:tcPr>
            <w:tcW w:w="1524" w:type="dxa"/>
            <w:shd w:val="clear" w:color="auto" w:fill="auto"/>
            <w:vAlign w:val="center"/>
          </w:tcPr>
          <w:p w14:paraId="35BE179C"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Лактоза</w:t>
            </w:r>
          </w:p>
        </w:tc>
      </w:tr>
      <w:tr w:rsidR="005C199B" w:rsidRPr="00B40784" w14:paraId="76D9CB3A" w14:textId="77777777" w:rsidTr="00094F6F">
        <w:trPr>
          <w:trHeight w:val="340"/>
          <w:jc w:val="center"/>
        </w:trPr>
        <w:tc>
          <w:tcPr>
            <w:tcW w:w="1980" w:type="dxa"/>
            <w:shd w:val="clear" w:color="auto" w:fill="auto"/>
            <w:vAlign w:val="center"/>
          </w:tcPr>
          <w:p w14:paraId="0B4E66B0"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Гречневая каша</w:t>
            </w:r>
          </w:p>
        </w:tc>
        <w:tc>
          <w:tcPr>
            <w:tcW w:w="1554" w:type="dxa"/>
            <w:shd w:val="clear" w:color="auto" w:fill="auto"/>
            <w:vAlign w:val="center"/>
          </w:tcPr>
          <w:p w14:paraId="59C6163F"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color w:val="000000"/>
                <w:sz w:val="24"/>
                <w:szCs w:val="24"/>
              </w:rPr>
            </w:pPr>
            <w:r w:rsidRPr="00B40784">
              <w:rPr>
                <w:rFonts w:ascii="Times New Roman" w:hAnsi="Times New Roman"/>
                <w:color w:val="000000"/>
                <w:sz w:val="24"/>
                <w:szCs w:val="24"/>
              </w:rPr>
              <w:t>120</w:t>
            </w:r>
          </w:p>
        </w:tc>
        <w:tc>
          <w:tcPr>
            <w:tcW w:w="1248" w:type="dxa"/>
            <w:shd w:val="clear" w:color="auto" w:fill="auto"/>
            <w:vAlign w:val="center"/>
          </w:tcPr>
          <w:p w14:paraId="1F506474"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color w:val="000000"/>
                <w:sz w:val="24"/>
                <w:szCs w:val="24"/>
              </w:rPr>
            </w:pPr>
            <w:r w:rsidRPr="00B40784">
              <w:rPr>
                <w:rFonts w:ascii="Times New Roman" w:hAnsi="Times New Roman"/>
                <w:color w:val="000000"/>
                <w:sz w:val="24"/>
                <w:szCs w:val="24"/>
              </w:rPr>
              <w:t>½ чашки каши</w:t>
            </w:r>
          </w:p>
        </w:tc>
        <w:tc>
          <w:tcPr>
            <w:tcW w:w="1701" w:type="dxa"/>
            <w:shd w:val="clear" w:color="auto" w:fill="auto"/>
            <w:vAlign w:val="center"/>
          </w:tcPr>
          <w:p w14:paraId="6A2A6964"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Pr>
                <w:rFonts w:ascii="Times New Roman" w:hAnsi="Times New Roman"/>
                <w:sz w:val="24"/>
                <w:szCs w:val="24"/>
              </w:rPr>
              <w:t>−</w:t>
            </w:r>
          </w:p>
        </w:tc>
        <w:tc>
          <w:tcPr>
            <w:tcW w:w="1559" w:type="dxa"/>
            <w:shd w:val="clear" w:color="auto" w:fill="auto"/>
            <w:vAlign w:val="center"/>
          </w:tcPr>
          <w:p w14:paraId="781A0475"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360</w:t>
            </w:r>
          </w:p>
        </w:tc>
        <w:tc>
          <w:tcPr>
            <w:tcW w:w="1524" w:type="dxa"/>
            <w:shd w:val="clear" w:color="auto" w:fill="auto"/>
            <w:vAlign w:val="center"/>
          </w:tcPr>
          <w:p w14:paraId="1929E242"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proofErr w:type="spellStart"/>
            <w:r w:rsidRPr="00B40784">
              <w:rPr>
                <w:rFonts w:ascii="Times New Roman" w:hAnsi="Times New Roman"/>
                <w:sz w:val="24"/>
                <w:szCs w:val="24"/>
              </w:rPr>
              <w:t>Галактаны</w:t>
            </w:r>
            <w:proofErr w:type="spellEnd"/>
          </w:p>
        </w:tc>
      </w:tr>
      <w:tr w:rsidR="005C199B" w:rsidRPr="00B40784" w14:paraId="036B6B49" w14:textId="77777777" w:rsidTr="00094F6F">
        <w:trPr>
          <w:trHeight w:val="340"/>
          <w:jc w:val="center"/>
        </w:trPr>
        <w:tc>
          <w:tcPr>
            <w:tcW w:w="1980" w:type="dxa"/>
            <w:shd w:val="clear" w:color="auto" w:fill="auto"/>
            <w:vAlign w:val="center"/>
          </w:tcPr>
          <w:p w14:paraId="1C565454"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Лук</w:t>
            </w:r>
          </w:p>
        </w:tc>
        <w:tc>
          <w:tcPr>
            <w:tcW w:w="1554" w:type="dxa"/>
            <w:shd w:val="clear" w:color="auto" w:fill="auto"/>
            <w:vAlign w:val="center"/>
          </w:tcPr>
          <w:p w14:paraId="36EDCF7E"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color w:val="000000"/>
                <w:sz w:val="24"/>
                <w:szCs w:val="24"/>
              </w:rPr>
            </w:pPr>
            <w:r>
              <w:rPr>
                <w:rFonts w:ascii="Times New Roman" w:hAnsi="Times New Roman"/>
                <w:color w:val="000000"/>
                <w:sz w:val="24"/>
                <w:szCs w:val="24"/>
              </w:rPr>
              <w:t>−</w:t>
            </w:r>
          </w:p>
        </w:tc>
        <w:tc>
          <w:tcPr>
            <w:tcW w:w="1248" w:type="dxa"/>
            <w:shd w:val="clear" w:color="auto" w:fill="auto"/>
            <w:vAlign w:val="center"/>
          </w:tcPr>
          <w:p w14:paraId="5C3DD85B"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color w:val="000000"/>
                <w:sz w:val="24"/>
                <w:szCs w:val="24"/>
              </w:rPr>
            </w:pPr>
            <w:r w:rsidRPr="00B40784">
              <w:rPr>
                <w:rFonts w:ascii="Times New Roman" w:hAnsi="Times New Roman"/>
                <w:color w:val="000000"/>
                <w:sz w:val="24"/>
                <w:szCs w:val="24"/>
              </w:rPr>
              <w:t>НЕЛЬЗЯ</w:t>
            </w:r>
          </w:p>
        </w:tc>
        <w:tc>
          <w:tcPr>
            <w:tcW w:w="1701" w:type="dxa"/>
            <w:shd w:val="clear" w:color="auto" w:fill="auto"/>
            <w:vAlign w:val="center"/>
          </w:tcPr>
          <w:p w14:paraId="4BA2151E"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12</w:t>
            </w:r>
          </w:p>
        </w:tc>
        <w:tc>
          <w:tcPr>
            <w:tcW w:w="1559" w:type="dxa"/>
            <w:shd w:val="clear" w:color="auto" w:fill="auto"/>
            <w:vAlign w:val="center"/>
          </w:tcPr>
          <w:p w14:paraId="2410F59E"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75</w:t>
            </w:r>
          </w:p>
        </w:tc>
        <w:tc>
          <w:tcPr>
            <w:tcW w:w="1524" w:type="dxa"/>
            <w:shd w:val="clear" w:color="auto" w:fill="auto"/>
            <w:vAlign w:val="center"/>
          </w:tcPr>
          <w:p w14:paraId="39AB8072"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proofErr w:type="spellStart"/>
            <w:r w:rsidRPr="00B40784">
              <w:rPr>
                <w:rFonts w:ascii="Times New Roman" w:hAnsi="Times New Roman"/>
                <w:sz w:val="24"/>
                <w:szCs w:val="24"/>
              </w:rPr>
              <w:t>Галактаны</w:t>
            </w:r>
            <w:proofErr w:type="spellEnd"/>
            <w:r w:rsidRPr="00B40784">
              <w:rPr>
                <w:rFonts w:ascii="Times New Roman" w:hAnsi="Times New Roman"/>
                <w:sz w:val="24"/>
                <w:szCs w:val="24"/>
              </w:rPr>
              <w:t xml:space="preserve">, </w:t>
            </w:r>
            <w:proofErr w:type="spellStart"/>
            <w:r w:rsidRPr="00B40784">
              <w:rPr>
                <w:rFonts w:ascii="Times New Roman" w:hAnsi="Times New Roman"/>
                <w:sz w:val="24"/>
                <w:szCs w:val="24"/>
              </w:rPr>
              <w:t>фруктаны</w:t>
            </w:r>
            <w:proofErr w:type="spellEnd"/>
          </w:p>
        </w:tc>
      </w:tr>
      <w:tr w:rsidR="005C199B" w:rsidRPr="00B40784" w14:paraId="48568FD0" w14:textId="77777777" w:rsidTr="00094F6F">
        <w:trPr>
          <w:trHeight w:val="340"/>
          <w:jc w:val="center"/>
        </w:trPr>
        <w:tc>
          <w:tcPr>
            <w:tcW w:w="1980" w:type="dxa"/>
            <w:shd w:val="clear" w:color="auto" w:fill="auto"/>
            <w:vAlign w:val="center"/>
          </w:tcPr>
          <w:p w14:paraId="4AFF8924"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Банан</w:t>
            </w:r>
          </w:p>
        </w:tc>
        <w:tc>
          <w:tcPr>
            <w:tcW w:w="1554" w:type="dxa"/>
            <w:shd w:val="clear" w:color="auto" w:fill="auto"/>
            <w:vAlign w:val="center"/>
          </w:tcPr>
          <w:p w14:paraId="483CF7B4"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color w:val="000000"/>
                <w:sz w:val="24"/>
                <w:szCs w:val="24"/>
              </w:rPr>
            </w:pPr>
            <w:r w:rsidRPr="00B40784">
              <w:rPr>
                <w:rFonts w:ascii="Times New Roman" w:hAnsi="Times New Roman"/>
                <w:color w:val="000000"/>
                <w:sz w:val="24"/>
                <w:szCs w:val="24"/>
              </w:rPr>
              <w:t>35</w:t>
            </w:r>
          </w:p>
        </w:tc>
        <w:tc>
          <w:tcPr>
            <w:tcW w:w="1248" w:type="dxa"/>
            <w:shd w:val="clear" w:color="auto" w:fill="auto"/>
            <w:vAlign w:val="center"/>
          </w:tcPr>
          <w:p w14:paraId="65F7951F"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color w:val="000000"/>
                <w:sz w:val="24"/>
                <w:szCs w:val="24"/>
              </w:rPr>
            </w:pPr>
            <w:r w:rsidRPr="00B40784">
              <w:rPr>
                <w:rFonts w:ascii="Times New Roman" w:hAnsi="Times New Roman"/>
                <w:color w:val="000000"/>
                <w:sz w:val="24"/>
                <w:szCs w:val="24"/>
              </w:rPr>
              <w:t>1/3 среднего плода</w:t>
            </w:r>
          </w:p>
        </w:tc>
        <w:tc>
          <w:tcPr>
            <w:tcW w:w="1701" w:type="dxa"/>
            <w:shd w:val="clear" w:color="auto" w:fill="auto"/>
            <w:vAlign w:val="center"/>
          </w:tcPr>
          <w:p w14:paraId="6620B335"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45</w:t>
            </w:r>
          </w:p>
        </w:tc>
        <w:tc>
          <w:tcPr>
            <w:tcW w:w="1559" w:type="dxa"/>
            <w:shd w:val="clear" w:color="auto" w:fill="auto"/>
            <w:vAlign w:val="center"/>
          </w:tcPr>
          <w:p w14:paraId="0F87D624"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100</w:t>
            </w:r>
          </w:p>
        </w:tc>
        <w:tc>
          <w:tcPr>
            <w:tcW w:w="1524" w:type="dxa"/>
            <w:shd w:val="clear" w:color="auto" w:fill="auto"/>
            <w:vAlign w:val="center"/>
          </w:tcPr>
          <w:p w14:paraId="692EED68"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proofErr w:type="spellStart"/>
            <w:r w:rsidRPr="00B40784">
              <w:rPr>
                <w:rFonts w:ascii="Times New Roman" w:hAnsi="Times New Roman"/>
                <w:sz w:val="24"/>
                <w:szCs w:val="24"/>
              </w:rPr>
              <w:t>Фруктаны</w:t>
            </w:r>
            <w:proofErr w:type="spellEnd"/>
          </w:p>
        </w:tc>
      </w:tr>
      <w:tr w:rsidR="005C199B" w:rsidRPr="00B40784" w14:paraId="69934C11" w14:textId="77777777" w:rsidTr="00094F6F">
        <w:trPr>
          <w:trHeight w:val="340"/>
          <w:jc w:val="center"/>
        </w:trPr>
        <w:tc>
          <w:tcPr>
            <w:tcW w:w="1980" w:type="dxa"/>
            <w:shd w:val="clear" w:color="auto" w:fill="auto"/>
            <w:vAlign w:val="center"/>
          </w:tcPr>
          <w:p w14:paraId="3BD80105"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Хлеб пшеничный</w:t>
            </w:r>
          </w:p>
        </w:tc>
        <w:tc>
          <w:tcPr>
            <w:tcW w:w="1554" w:type="dxa"/>
            <w:shd w:val="clear" w:color="auto" w:fill="auto"/>
            <w:vAlign w:val="center"/>
          </w:tcPr>
          <w:p w14:paraId="68ABEA37"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color w:val="000000"/>
                <w:sz w:val="24"/>
                <w:szCs w:val="24"/>
              </w:rPr>
            </w:pPr>
            <w:r w:rsidRPr="00B40784">
              <w:rPr>
                <w:rFonts w:ascii="Times New Roman" w:hAnsi="Times New Roman"/>
                <w:color w:val="000000"/>
                <w:sz w:val="24"/>
                <w:szCs w:val="24"/>
              </w:rPr>
              <w:t>24</w:t>
            </w:r>
          </w:p>
        </w:tc>
        <w:tc>
          <w:tcPr>
            <w:tcW w:w="1248" w:type="dxa"/>
            <w:shd w:val="clear" w:color="auto" w:fill="auto"/>
            <w:vAlign w:val="center"/>
          </w:tcPr>
          <w:p w14:paraId="2645322C"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color w:val="000000"/>
                <w:sz w:val="24"/>
                <w:szCs w:val="24"/>
              </w:rPr>
            </w:pPr>
            <w:r w:rsidRPr="00B40784">
              <w:rPr>
                <w:rFonts w:ascii="Times New Roman" w:hAnsi="Times New Roman"/>
                <w:color w:val="000000"/>
                <w:sz w:val="24"/>
                <w:szCs w:val="24"/>
              </w:rPr>
              <w:t>1 кусок</w:t>
            </w:r>
          </w:p>
        </w:tc>
        <w:tc>
          <w:tcPr>
            <w:tcW w:w="1701" w:type="dxa"/>
            <w:shd w:val="clear" w:color="auto" w:fill="auto"/>
            <w:vAlign w:val="center"/>
          </w:tcPr>
          <w:p w14:paraId="47A294EE"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36</w:t>
            </w:r>
          </w:p>
        </w:tc>
        <w:tc>
          <w:tcPr>
            <w:tcW w:w="1559" w:type="dxa"/>
            <w:shd w:val="clear" w:color="auto" w:fill="auto"/>
            <w:vAlign w:val="center"/>
          </w:tcPr>
          <w:p w14:paraId="43384B39"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49</w:t>
            </w:r>
          </w:p>
        </w:tc>
        <w:tc>
          <w:tcPr>
            <w:tcW w:w="1524" w:type="dxa"/>
            <w:shd w:val="clear" w:color="auto" w:fill="auto"/>
            <w:vAlign w:val="center"/>
          </w:tcPr>
          <w:p w14:paraId="61AA9E99"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proofErr w:type="spellStart"/>
            <w:r w:rsidRPr="00B40784">
              <w:rPr>
                <w:rFonts w:ascii="Times New Roman" w:hAnsi="Times New Roman"/>
                <w:sz w:val="24"/>
                <w:szCs w:val="24"/>
              </w:rPr>
              <w:t>Фруктаны</w:t>
            </w:r>
            <w:proofErr w:type="spellEnd"/>
          </w:p>
        </w:tc>
      </w:tr>
      <w:tr w:rsidR="005C199B" w:rsidRPr="00B40784" w14:paraId="2679A1A5" w14:textId="77777777" w:rsidTr="00094F6F">
        <w:trPr>
          <w:trHeight w:val="340"/>
          <w:jc w:val="center"/>
        </w:trPr>
        <w:tc>
          <w:tcPr>
            <w:tcW w:w="1980" w:type="dxa"/>
            <w:shd w:val="clear" w:color="auto" w:fill="auto"/>
            <w:vAlign w:val="center"/>
          </w:tcPr>
          <w:p w14:paraId="52DA0503"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rPr>
            </w:pPr>
            <w:r w:rsidRPr="00B40784">
              <w:rPr>
                <w:rFonts w:ascii="Times New Roman" w:hAnsi="Times New Roman"/>
                <w:sz w:val="24"/>
                <w:szCs w:val="24"/>
              </w:rPr>
              <w:t>Мясо (любое), птица (любая), рыба, яйца</w:t>
            </w:r>
          </w:p>
        </w:tc>
        <w:tc>
          <w:tcPr>
            <w:tcW w:w="7586" w:type="dxa"/>
            <w:gridSpan w:val="5"/>
            <w:shd w:val="clear" w:color="auto" w:fill="auto"/>
            <w:vAlign w:val="center"/>
          </w:tcPr>
          <w:p w14:paraId="10FF1FF5" w14:textId="77777777" w:rsidR="005C199B" w:rsidRPr="00B40784" w:rsidRDefault="005C199B" w:rsidP="00094F6F">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sz w:val="24"/>
                <w:szCs w:val="24"/>
                <w:lang w:val="en-US"/>
              </w:rPr>
            </w:pPr>
            <w:r w:rsidRPr="00B40784">
              <w:rPr>
                <w:rFonts w:ascii="Times New Roman" w:hAnsi="Times New Roman"/>
                <w:sz w:val="24"/>
                <w:szCs w:val="24"/>
              </w:rPr>
              <w:t xml:space="preserve">Не содержит </w:t>
            </w:r>
            <w:r w:rsidRPr="00B40784">
              <w:rPr>
                <w:rFonts w:ascii="Times New Roman" w:hAnsi="Times New Roman"/>
                <w:sz w:val="24"/>
                <w:szCs w:val="24"/>
                <w:lang w:val="en-US"/>
              </w:rPr>
              <w:t>FODMAP</w:t>
            </w:r>
          </w:p>
        </w:tc>
      </w:tr>
    </w:tbl>
    <w:p w14:paraId="233AEDCA" w14:textId="77777777" w:rsidR="005C199B"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p>
    <w:p w14:paraId="26C136BA"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45B66">
        <w:rPr>
          <w:rFonts w:ascii="Times New Roman" w:hAnsi="Times New Roman"/>
          <w:sz w:val="28"/>
          <w:szCs w:val="28"/>
        </w:rPr>
        <w:t xml:space="preserve">Препараты для нормализации микрофлоры кишечника, содержащие лиофилизированные молочнокислые бактерии </w:t>
      </w:r>
      <w:r w:rsidRPr="00145B66">
        <w:rPr>
          <w:rFonts w:ascii="Times New Roman" w:hAnsi="Times New Roman"/>
          <w:sz w:val="28"/>
          <w:szCs w:val="28"/>
          <w:lang w:val="en-US"/>
        </w:rPr>
        <w:t>LGG</w:t>
      </w:r>
      <w:r w:rsidRPr="00145B66">
        <w:rPr>
          <w:rFonts w:ascii="Times New Roman" w:hAnsi="Times New Roman"/>
          <w:sz w:val="28"/>
          <w:szCs w:val="28"/>
        </w:rPr>
        <w:t xml:space="preserve"> - 4×10</w:t>
      </w:r>
      <w:r w:rsidRPr="00145B66">
        <w:rPr>
          <w:rFonts w:ascii="Times New Roman" w:hAnsi="Times New Roman"/>
          <w:sz w:val="28"/>
          <w:szCs w:val="28"/>
          <w:vertAlign w:val="superscript"/>
        </w:rPr>
        <w:t>9</w:t>
      </w:r>
      <w:r w:rsidRPr="00145B66">
        <w:rPr>
          <w:rFonts w:ascii="Times New Roman" w:hAnsi="Times New Roman"/>
          <w:sz w:val="28"/>
          <w:szCs w:val="28"/>
        </w:rPr>
        <w:t> КОЕ</w:t>
      </w:r>
      <w:r>
        <w:rPr>
          <w:rFonts w:ascii="Times New Roman" w:hAnsi="Times New Roman"/>
          <w:sz w:val="28"/>
          <w:szCs w:val="28"/>
        </w:rPr>
        <w:t xml:space="preserve"> в комбинации с солями для оральной </w:t>
      </w:r>
      <w:proofErr w:type="spellStart"/>
      <w:r>
        <w:rPr>
          <w:rFonts w:ascii="Times New Roman" w:hAnsi="Times New Roman"/>
          <w:sz w:val="28"/>
          <w:szCs w:val="28"/>
        </w:rPr>
        <w:t>регидратации</w:t>
      </w:r>
      <w:proofErr w:type="spellEnd"/>
      <w:r>
        <w:rPr>
          <w:rFonts w:ascii="Times New Roman" w:hAnsi="Times New Roman"/>
          <w:sz w:val="28"/>
          <w:szCs w:val="28"/>
        </w:rPr>
        <w:t xml:space="preserve">. </w:t>
      </w:r>
    </w:p>
    <w:p w14:paraId="5D5D36F7"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45B66">
        <w:rPr>
          <w:rFonts w:ascii="Times New Roman" w:hAnsi="Times New Roman"/>
          <w:sz w:val="28"/>
          <w:szCs w:val="28"/>
        </w:rPr>
        <w:t>Энтеральное питание для онкологических больных из расчета</w:t>
      </w:r>
      <w:r>
        <w:rPr>
          <w:rFonts w:ascii="Times New Roman" w:hAnsi="Times New Roman"/>
          <w:sz w:val="28"/>
          <w:szCs w:val="28"/>
        </w:rPr>
        <w:t xml:space="preserve"> </w:t>
      </w:r>
      <w:r w:rsidRPr="00145B66">
        <w:rPr>
          <w:rFonts w:ascii="Times New Roman" w:hAnsi="Times New Roman"/>
          <w:sz w:val="28"/>
          <w:szCs w:val="28"/>
        </w:rPr>
        <w:t>25-30 ккал/кг массы тела.</w:t>
      </w:r>
    </w:p>
    <w:p w14:paraId="5C1280D0" w14:textId="77777777" w:rsidR="005C199B" w:rsidRPr="00145B66" w:rsidRDefault="005C199B" w:rsidP="005C19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i/>
          <w:sz w:val="28"/>
          <w:szCs w:val="28"/>
        </w:rPr>
      </w:pPr>
      <w:r w:rsidRPr="00145B66">
        <w:rPr>
          <w:rFonts w:ascii="Times New Roman" w:hAnsi="Times New Roman"/>
          <w:i/>
          <w:sz w:val="28"/>
          <w:szCs w:val="28"/>
        </w:rPr>
        <w:t>Эффективность реабилитационных мероприятий при функциональных осложнени</w:t>
      </w:r>
      <w:r>
        <w:rPr>
          <w:rFonts w:ascii="Times New Roman" w:hAnsi="Times New Roman"/>
          <w:i/>
          <w:sz w:val="28"/>
          <w:szCs w:val="28"/>
        </w:rPr>
        <w:t>ях</w:t>
      </w:r>
      <w:r w:rsidRPr="00145B66">
        <w:rPr>
          <w:rFonts w:ascii="Times New Roman" w:hAnsi="Times New Roman"/>
          <w:i/>
          <w:sz w:val="28"/>
          <w:szCs w:val="28"/>
        </w:rPr>
        <w:t xml:space="preserve"> оценивалась по следующим критериям:</w:t>
      </w:r>
    </w:p>
    <w:p w14:paraId="4CE498A8"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45B66">
        <w:rPr>
          <w:rFonts w:ascii="Times New Roman" w:hAnsi="Times New Roman"/>
          <w:sz w:val="28"/>
          <w:szCs w:val="28"/>
        </w:rPr>
        <w:t xml:space="preserve">Урежение частоты стула меньше 2 раз в течение дня. </w:t>
      </w:r>
    </w:p>
    <w:p w14:paraId="78C150DA"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45B66">
        <w:rPr>
          <w:rFonts w:ascii="Times New Roman" w:hAnsi="Times New Roman"/>
          <w:sz w:val="28"/>
          <w:szCs w:val="28"/>
        </w:rPr>
        <w:t>Нормализация консистенции стула (по Бристольской шкале тип 3-4), нормализация цвета и запаха стула.</w:t>
      </w:r>
    </w:p>
    <w:p w14:paraId="2B47A3A6"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45B66">
        <w:rPr>
          <w:rFonts w:ascii="Times New Roman" w:hAnsi="Times New Roman"/>
          <w:sz w:val="28"/>
          <w:szCs w:val="28"/>
        </w:rPr>
        <w:t>Нормализация электролитного баланса (калий, натрий, кальций, магний</w:t>
      </w:r>
      <w:r>
        <w:rPr>
          <w:rFonts w:ascii="Times New Roman" w:hAnsi="Times New Roman"/>
          <w:sz w:val="28"/>
          <w:szCs w:val="28"/>
        </w:rPr>
        <w:t>, фосфора, хлоридов</w:t>
      </w:r>
      <w:r w:rsidRPr="00145B66">
        <w:rPr>
          <w:rFonts w:ascii="Times New Roman" w:hAnsi="Times New Roman"/>
          <w:sz w:val="28"/>
          <w:szCs w:val="28"/>
        </w:rPr>
        <w:t xml:space="preserve"> крови).</w:t>
      </w:r>
    </w:p>
    <w:p w14:paraId="765DD2DF"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45B66">
        <w:rPr>
          <w:rFonts w:ascii="Times New Roman" w:hAnsi="Times New Roman"/>
          <w:sz w:val="28"/>
          <w:szCs w:val="28"/>
        </w:rPr>
        <w:t>Улучшение нутритивного статуса (повышение ИМТ, нормализация общего белка и альбуминов крови, прирост массы тела).</w:t>
      </w:r>
    </w:p>
    <w:p w14:paraId="086F9E5D"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45B66">
        <w:rPr>
          <w:rFonts w:ascii="Times New Roman" w:hAnsi="Times New Roman"/>
          <w:sz w:val="28"/>
          <w:szCs w:val="28"/>
        </w:rPr>
        <w:t xml:space="preserve">Улучшение или отсутствие ухудшения качества жизни (опросник качества жизни </w:t>
      </w:r>
      <w:r w:rsidRPr="00145B66">
        <w:rPr>
          <w:rFonts w:ascii="Times New Roman" w:hAnsi="Times New Roman"/>
          <w:sz w:val="28"/>
          <w:szCs w:val="28"/>
          <w:lang w:val="en-US"/>
        </w:rPr>
        <w:t>EORTC</w:t>
      </w:r>
      <w:r w:rsidRPr="00145B66">
        <w:rPr>
          <w:rFonts w:ascii="Times New Roman" w:hAnsi="Times New Roman"/>
          <w:sz w:val="28"/>
          <w:szCs w:val="28"/>
        </w:rPr>
        <w:t xml:space="preserve"> </w:t>
      </w:r>
      <w:r w:rsidRPr="00145B66">
        <w:rPr>
          <w:rFonts w:ascii="Times New Roman" w:hAnsi="Times New Roman"/>
          <w:sz w:val="28"/>
          <w:szCs w:val="28"/>
          <w:lang w:val="en-US"/>
        </w:rPr>
        <w:t>QLQ</w:t>
      </w:r>
      <w:r w:rsidRPr="00145B66">
        <w:rPr>
          <w:rFonts w:ascii="Times New Roman" w:hAnsi="Times New Roman"/>
          <w:sz w:val="28"/>
          <w:szCs w:val="28"/>
        </w:rPr>
        <w:t>-</w:t>
      </w:r>
      <w:r w:rsidRPr="00145B66">
        <w:rPr>
          <w:rFonts w:ascii="Times New Roman" w:hAnsi="Times New Roman"/>
          <w:sz w:val="28"/>
          <w:szCs w:val="28"/>
          <w:lang w:val="en-US"/>
        </w:rPr>
        <w:t>C</w:t>
      </w:r>
      <w:r w:rsidRPr="00145B66">
        <w:rPr>
          <w:rFonts w:ascii="Times New Roman" w:hAnsi="Times New Roman"/>
          <w:sz w:val="28"/>
          <w:szCs w:val="28"/>
        </w:rPr>
        <w:t>30).</w:t>
      </w:r>
    </w:p>
    <w:p w14:paraId="3D1B183F"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45B66">
        <w:rPr>
          <w:rFonts w:ascii="Times New Roman" w:hAnsi="Times New Roman"/>
          <w:sz w:val="28"/>
          <w:szCs w:val="28"/>
        </w:rPr>
        <w:t>Увеличение выживаемости больных.</w:t>
      </w:r>
    </w:p>
    <w:p w14:paraId="537E0725" w14:textId="77777777" w:rsidR="005C199B" w:rsidRPr="00145B66" w:rsidRDefault="005C199B" w:rsidP="005C199B">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p>
    <w:p w14:paraId="24E5039D" w14:textId="77777777" w:rsidR="005C199B" w:rsidRDefault="005C199B" w:rsidP="005C199B">
      <w:pPr>
        <w:widowControl w:val="0"/>
        <w:tabs>
          <w:tab w:val="left" w:pos="0"/>
        </w:tabs>
        <w:spacing w:after="0" w:line="240" w:lineRule="auto"/>
        <w:ind w:firstLine="567"/>
        <w:jc w:val="both"/>
        <w:rPr>
          <w:rFonts w:ascii="Times New Roman" w:hAnsi="Times New Roman"/>
          <w:b/>
          <w:sz w:val="28"/>
          <w:szCs w:val="28"/>
        </w:rPr>
      </w:pPr>
      <w:r w:rsidRPr="00145B66">
        <w:rPr>
          <w:rFonts w:ascii="Times New Roman" w:hAnsi="Times New Roman"/>
          <w:b/>
          <w:sz w:val="28"/>
          <w:szCs w:val="28"/>
        </w:rPr>
        <w:t>2.3 Стати</w:t>
      </w:r>
      <w:r>
        <w:rPr>
          <w:rFonts w:ascii="Times New Roman" w:hAnsi="Times New Roman"/>
          <w:b/>
          <w:sz w:val="28"/>
          <w:szCs w:val="28"/>
        </w:rPr>
        <w:t>сти</w:t>
      </w:r>
      <w:r w:rsidRPr="00145B66">
        <w:rPr>
          <w:rFonts w:ascii="Times New Roman" w:hAnsi="Times New Roman"/>
          <w:b/>
          <w:sz w:val="28"/>
          <w:szCs w:val="28"/>
        </w:rPr>
        <w:t>ческий анализ данных</w:t>
      </w:r>
    </w:p>
    <w:p w14:paraId="23A91533" w14:textId="77777777" w:rsidR="005C199B" w:rsidRPr="00145B66" w:rsidRDefault="005C199B" w:rsidP="005C199B">
      <w:pPr>
        <w:widowControl w:val="0"/>
        <w:tabs>
          <w:tab w:val="left" w:pos="0"/>
        </w:tabs>
        <w:spacing w:after="0" w:line="240" w:lineRule="auto"/>
        <w:ind w:firstLine="567"/>
        <w:jc w:val="both"/>
        <w:rPr>
          <w:rFonts w:ascii="Times New Roman" w:hAnsi="Times New Roman"/>
          <w:sz w:val="28"/>
          <w:szCs w:val="28"/>
        </w:rPr>
      </w:pPr>
      <w:r w:rsidRPr="00145B66">
        <w:rPr>
          <w:rFonts w:ascii="Times New Roman" w:hAnsi="Times New Roman"/>
          <w:sz w:val="28"/>
          <w:szCs w:val="28"/>
        </w:rPr>
        <w:t>Для статистического анализа полученных данных была использована прикладная программа SPSS STATISTICS, версия 23. Проверка нормальности распределения количественных признаков в исследуемых совокупностях с использованием критерия Колмогорова-Смирнова, Шапиро-</w:t>
      </w:r>
      <w:proofErr w:type="spellStart"/>
      <w:r w:rsidRPr="00145B66">
        <w:rPr>
          <w:rFonts w:ascii="Times New Roman" w:hAnsi="Times New Roman"/>
          <w:sz w:val="28"/>
          <w:szCs w:val="28"/>
        </w:rPr>
        <w:t>Уилка</w:t>
      </w:r>
      <w:proofErr w:type="spellEnd"/>
      <w:r w:rsidRPr="00145B66">
        <w:rPr>
          <w:rFonts w:ascii="Times New Roman" w:hAnsi="Times New Roman"/>
          <w:sz w:val="28"/>
          <w:szCs w:val="28"/>
        </w:rPr>
        <w:t>. По результатам анализа выяснилось, что большая часть признаков не подчинялась закону нормального распределения, что в последующем потребовало применения методов как параметрической, так и непараметрической статистики. С целью выполнения описательной статистики применялся параметрически</w:t>
      </w:r>
      <w:r>
        <w:rPr>
          <w:rFonts w:ascii="Times New Roman" w:hAnsi="Times New Roman"/>
          <w:sz w:val="28"/>
          <w:szCs w:val="28"/>
        </w:rPr>
        <w:t>й</w:t>
      </w:r>
      <w:r w:rsidRPr="00145B66">
        <w:rPr>
          <w:rFonts w:ascii="Times New Roman" w:hAnsi="Times New Roman"/>
          <w:sz w:val="28"/>
          <w:szCs w:val="28"/>
        </w:rPr>
        <w:t xml:space="preserve"> метод анализа (для количественных нормально распределенных признаков) с целью вычисления средних значений, средних </w:t>
      </w:r>
      <w:proofErr w:type="spellStart"/>
      <w:r w:rsidRPr="00145B66">
        <w:rPr>
          <w:rFonts w:ascii="Times New Roman" w:hAnsi="Times New Roman"/>
          <w:sz w:val="28"/>
          <w:szCs w:val="28"/>
        </w:rPr>
        <w:t>квадратических</w:t>
      </w:r>
      <w:proofErr w:type="spellEnd"/>
      <w:r w:rsidRPr="00145B66">
        <w:rPr>
          <w:rFonts w:ascii="Times New Roman" w:hAnsi="Times New Roman"/>
          <w:sz w:val="28"/>
          <w:szCs w:val="28"/>
        </w:rPr>
        <w:t xml:space="preserve"> отклонений (</w:t>
      </w:r>
      <w:r w:rsidRPr="00145B66">
        <w:rPr>
          <w:rFonts w:ascii="Times New Roman" w:hAnsi="Times New Roman"/>
          <w:sz w:val="28"/>
          <w:szCs w:val="28"/>
          <w:lang w:val="en-US"/>
        </w:rPr>
        <w:t>SD</w:t>
      </w:r>
      <w:r w:rsidRPr="00145B66">
        <w:rPr>
          <w:rFonts w:ascii="Times New Roman" w:hAnsi="Times New Roman"/>
          <w:sz w:val="28"/>
          <w:szCs w:val="28"/>
        </w:rPr>
        <w:t>) и т.д., а так же непараметрический метод (для количественных признаков независимо от вида распределения и качественных, порядковых и номинальных признаков). Для определения 95% доверительного интервала (ДИ) частоты качественных признаков применялся метод Уилсона. Для оценки стати</w:t>
      </w:r>
      <w:r>
        <w:rPr>
          <w:rFonts w:ascii="Times New Roman" w:hAnsi="Times New Roman"/>
          <w:sz w:val="28"/>
          <w:szCs w:val="28"/>
        </w:rPr>
        <w:t>сти</w:t>
      </w:r>
      <w:r w:rsidRPr="00145B66">
        <w:rPr>
          <w:rFonts w:ascii="Times New Roman" w:hAnsi="Times New Roman"/>
          <w:sz w:val="28"/>
          <w:szCs w:val="28"/>
        </w:rPr>
        <w:t xml:space="preserve">ческой значимости различий нескольких относительных показателей (частот) применялся критерий хи-квадрат Пирсона. Для изучения функции выживаемости применялся метод </w:t>
      </w:r>
      <w:r w:rsidRPr="00145B66">
        <w:rPr>
          <w:rFonts w:ascii="Times New Roman" w:hAnsi="Times New Roman"/>
          <w:sz w:val="28"/>
          <w:szCs w:val="28"/>
          <w:lang w:val="en-US"/>
        </w:rPr>
        <w:t>Kaplan</w:t>
      </w:r>
      <w:r w:rsidRPr="00145B66">
        <w:rPr>
          <w:rFonts w:ascii="Times New Roman" w:hAnsi="Times New Roman"/>
          <w:sz w:val="28"/>
          <w:szCs w:val="28"/>
        </w:rPr>
        <w:t>-</w:t>
      </w:r>
      <w:r w:rsidRPr="00145B66">
        <w:rPr>
          <w:rFonts w:ascii="Times New Roman" w:hAnsi="Times New Roman"/>
          <w:sz w:val="28"/>
          <w:szCs w:val="28"/>
          <w:lang w:val="en-US"/>
        </w:rPr>
        <w:t>Meier</w:t>
      </w:r>
      <w:r w:rsidRPr="00145B66">
        <w:rPr>
          <w:rFonts w:ascii="Times New Roman" w:hAnsi="Times New Roman"/>
          <w:sz w:val="28"/>
          <w:szCs w:val="28"/>
        </w:rPr>
        <w:t xml:space="preserve"> для цензурированных данных. Общая выживаемость была оценена с помощью </w:t>
      </w:r>
      <w:r w:rsidRPr="00145B66">
        <w:rPr>
          <w:rFonts w:ascii="Times New Roman" w:hAnsi="Times New Roman"/>
          <w:sz w:val="28"/>
          <w:szCs w:val="28"/>
          <w:lang w:val="en-US"/>
        </w:rPr>
        <w:t>log</w:t>
      </w:r>
      <w:r w:rsidRPr="00145B66">
        <w:rPr>
          <w:rFonts w:ascii="Times New Roman" w:hAnsi="Times New Roman"/>
          <w:sz w:val="28"/>
          <w:szCs w:val="28"/>
        </w:rPr>
        <w:t>-</w:t>
      </w:r>
      <w:r w:rsidRPr="00145B66">
        <w:rPr>
          <w:rFonts w:ascii="Times New Roman" w:hAnsi="Times New Roman"/>
          <w:sz w:val="28"/>
          <w:szCs w:val="28"/>
          <w:lang w:val="en-US"/>
        </w:rPr>
        <w:t>runk</w:t>
      </w:r>
      <w:r w:rsidRPr="00145B66">
        <w:rPr>
          <w:rFonts w:ascii="Times New Roman" w:hAnsi="Times New Roman"/>
          <w:sz w:val="28"/>
          <w:szCs w:val="28"/>
        </w:rPr>
        <w:t xml:space="preserve"> теста. Для оценки выживаемости и оценки отношения рисков (</w:t>
      </w:r>
      <w:r w:rsidRPr="00145B66">
        <w:rPr>
          <w:rFonts w:ascii="Times New Roman" w:hAnsi="Times New Roman"/>
          <w:sz w:val="28"/>
          <w:szCs w:val="28"/>
          <w:lang w:val="en-US"/>
        </w:rPr>
        <w:t>Hazard</w:t>
      </w:r>
      <w:r w:rsidRPr="00145B66">
        <w:rPr>
          <w:rFonts w:ascii="Times New Roman" w:hAnsi="Times New Roman"/>
          <w:sz w:val="28"/>
          <w:szCs w:val="28"/>
        </w:rPr>
        <w:t xml:space="preserve"> </w:t>
      </w:r>
      <w:r w:rsidRPr="00145B66">
        <w:rPr>
          <w:rFonts w:ascii="Times New Roman" w:hAnsi="Times New Roman"/>
          <w:sz w:val="28"/>
          <w:szCs w:val="28"/>
          <w:lang w:val="en-US"/>
        </w:rPr>
        <w:t>ratio</w:t>
      </w:r>
      <w:r w:rsidRPr="00145B66">
        <w:rPr>
          <w:rFonts w:ascii="Times New Roman" w:hAnsi="Times New Roman"/>
          <w:sz w:val="28"/>
          <w:szCs w:val="28"/>
        </w:rPr>
        <w:t>) неблагоприятного исхода в группах была применена модель пропорциональных рисков Кокса. Для сравнения групп по бинарному признаку построена таблица сопряженности с вычислением критерия Х</w:t>
      </w:r>
      <w:r w:rsidRPr="00145B66">
        <w:rPr>
          <w:rFonts w:ascii="Times New Roman" w:hAnsi="Times New Roman"/>
          <w:sz w:val="28"/>
          <w:szCs w:val="28"/>
          <w:vertAlign w:val="superscript"/>
        </w:rPr>
        <w:t>2</w:t>
      </w:r>
      <w:r w:rsidRPr="00145B66">
        <w:rPr>
          <w:rFonts w:ascii="Times New Roman" w:hAnsi="Times New Roman"/>
          <w:sz w:val="28"/>
          <w:szCs w:val="28"/>
        </w:rPr>
        <w:t xml:space="preserve">. Для сравнения двух зависимых групп по одному признаку применялся t- критерий Стьюдента для зависимых выборок и критерий Вилкоксона. Для анализа качественных данных с двумя возможными значениями в двух связанных группах использовался критерий </w:t>
      </w:r>
      <w:proofErr w:type="spellStart"/>
      <w:r w:rsidRPr="00145B66">
        <w:rPr>
          <w:rFonts w:ascii="Times New Roman" w:hAnsi="Times New Roman"/>
          <w:sz w:val="28"/>
          <w:szCs w:val="28"/>
        </w:rPr>
        <w:t>МакНемара</w:t>
      </w:r>
      <w:proofErr w:type="spellEnd"/>
      <w:r w:rsidRPr="00145B66">
        <w:rPr>
          <w:rFonts w:ascii="Times New Roman" w:hAnsi="Times New Roman"/>
          <w:sz w:val="28"/>
          <w:szCs w:val="28"/>
        </w:rPr>
        <w:t xml:space="preserve">. Для </w:t>
      </w:r>
      <w:r w:rsidRPr="00145B66">
        <w:rPr>
          <w:rFonts w:ascii="Times New Roman" w:hAnsi="Times New Roman"/>
          <w:sz w:val="28"/>
          <w:szCs w:val="28"/>
        </w:rPr>
        <w:lastRenderedPageBreak/>
        <w:t>определения распространенности электролитных нарушений при различных локализациях рака ободочной кишки применялась тепловая карта (</w:t>
      </w:r>
      <w:r w:rsidRPr="00145B66">
        <w:rPr>
          <w:rFonts w:ascii="Times New Roman" w:hAnsi="Times New Roman"/>
          <w:sz w:val="28"/>
          <w:szCs w:val="28"/>
          <w:lang w:val="en-US"/>
        </w:rPr>
        <w:t>Heat</w:t>
      </w:r>
      <w:r w:rsidRPr="00145B66">
        <w:rPr>
          <w:rFonts w:ascii="Times New Roman" w:hAnsi="Times New Roman"/>
          <w:sz w:val="28"/>
          <w:szCs w:val="28"/>
        </w:rPr>
        <w:t xml:space="preserve"> </w:t>
      </w:r>
      <w:r w:rsidRPr="00145B66">
        <w:rPr>
          <w:rFonts w:ascii="Times New Roman" w:hAnsi="Times New Roman"/>
          <w:sz w:val="28"/>
          <w:szCs w:val="28"/>
          <w:lang w:val="en-US"/>
        </w:rPr>
        <w:t>map</w:t>
      </w:r>
      <w:r w:rsidRPr="00145B66">
        <w:rPr>
          <w:rFonts w:ascii="Times New Roman" w:hAnsi="Times New Roman"/>
          <w:sz w:val="28"/>
          <w:szCs w:val="28"/>
        </w:rPr>
        <w:t>).</w:t>
      </w:r>
    </w:p>
    <w:p w14:paraId="289F0153"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В работе использованы следующие методы исследования:</w:t>
      </w:r>
    </w:p>
    <w:p w14:paraId="77028A2E"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1)</w:t>
      </w:r>
      <w:r>
        <w:rPr>
          <w:rFonts w:ascii="Times New Roman" w:hAnsi="Times New Roman"/>
          <w:sz w:val="28"/>
          <w:szCs w:val="28"/>
        </w:rPr>
        <w:t> </w:t>
      </w:r>
      <w:r w:rsidRPr="00C3507C">
        <w:rPr>
          <w:rFonts w:ascii="Times New Roman" w:hAnsi="Times New Roman"/>
          <w:i/>
          <w:sz w:val="28"/>
          <w:szCs w:val="28"/>
        </w:rPr>
        <w:t>документально-исторический</w:t>
      </w:r>
      <w:r w:rsidRPr="00C3507C">
        <w:rPr>
          <w:rFonts w:ascii="Times New Roman" w:hAnsi="Times New Roman"/>
          <w:sz w:val="28"/>
          <w:szCs w:val="28"/>
        </w:rPr>
        <w:t xml:space="preserve"> метод и </w:t>
      </w:r>
      <w:r w:rsidRPr="00C3507C">
        <w:rPr>
          <w:rFonts w:ascii="Times New Roman" w:hAnsi="Times New Roman"/>
          <w:i/>
          <w:sz w:val="28"/>
          <w:szCs w:val="28"/>
        </w:rPr>
        <w:t>контент-анализ</w:t>
      </w:r>
      <w:r w:rsidRPr="00C3507C">
        <w:rPr>
          <w:rFonts w:ascii="Times New Roman" w:hAnsi="Times New Roman"/>
          <w:sz w:val="28"/>
          <w:szCs w:val="28"/>
        </w:rPr>
        <w:t xml:space="preserve"> (информационный анализ литературных источников, материалов государственных и статистических данных, анализ нормативно-правовых актов);</w:t>
      </w:r>
    </w:p>
    <w:p w14:paraId="377BF1AC"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2)</w:t>
      </w:r>
      <w:r>
        <w:rPr>
          <w:rFonts w:ascii="Times New Roman" w:hAnsi="Times New Roman"/>
          <w:sz w:val="28"/>
          <w:szCs w:val="28"/>
        </w:rPr>
        <w:t> </w:t>
      </w:r>
      <w:r w:rsidRPr="00C3507C">
        <w:rPr>
          <w:rFonts w:ascii="Times New Roman" w:hAnsi="Times New Roman"/>
          <w:i/>
          <w:sz w:val="28"/>
          <w:szCs w:val="28"/>
        </w:rPr>
        <w:t xml:space="preserve">описательный (дескриптивный анализ) </w:t>
      </w:r>
      <w:r w:rsidRPr="00C3507C">
        <w:rPr>
          <w:rFonts w:ascii="Times New Roman" w:hAnsi="Times New Roman"/>
          <w:sz w:val="28"/>
          <w:szCs w:val="28"/>
        </w:rPr>
        <w:t>включает создание частотной таблицы, вычисление статистических характеристик или графическое представление</w:t>
      </w:r>
      <w:r w:rsidRPr="00C3507C">
        <w:rPr>
          <w:rFonts w:ascii="Times New Roman" w:hAnsi="Times New Roman"/>
          <w:sz w:val="28"/>
          <w:szCs w:val="28"/>
          <w:lang w:val="kk-KZ"/>
        </w:rPr>
        <w:t>;</w:t>
      </w:r>
    </w:p>
    <w:p w14:paraId="28F32562" w14:textId="77777777" w:rsidR="005C199B" w:rsidRPr="00C3507C" w:rsidRDefault="005C199B" w:rsidP="005C199B">
      <w:pPr>
        <w:pStyle w:val="af5"/>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3)</w:t>
      </w:r>
      <w:r>
        <w:rPr>
          <w:rFonts w:ascii="Times New Roman" w:hAnsi="Times New Roman"/>
          <w:sz w:val="28"/>
          <w:szCs w:val="28"/>
        </w:rPr>
        <w:t> </w:t>
      </w:r>
      <w:r w:rsidRPr="00C3507C">
        <w:rPr>
          <w:rFonts w:ascii="Times New Roman" w:hAnsi="Times New Roman"/>
          <w:i/>
          <w:sz w:val="28"/>
          <w:szCs w:val="28"/>
        </w:rPr>
        <w:t>статистические методы</w:t>
      </w:r>
      <w:r w:rsidRPr="00C3507C">
        <w:rPr>
          <w:rFonts w:ascii="Times New Roman" w:hAnsi="Times New Roman"/>
          <w:sz w:val="28"/>
          <w:szCs w:val="28"/>
        </w:rPr>
        <w:t xml:space="preserve"> (вычисление относительных</w:t>
      </w:r>
      <w:r w:rsidRPr="00C3507C">
        <w:rPr>
          <w:rFonts w:ascii="Times New Roman" w:hAnsi="Times New Roman"/>
          <w:sz w:val="28"/>
          <w:szCs w:val="28"/>
          <w:lang w:val="kk-KZ"/>
        </w:rPr>
        <w:t xml:space="preserve"> </w:t>
      </w:r>
      <w:r w:rsidRPr="00C3507C">
        <w:rPr>
          <w:rFonts w:ascii="Times New Roman" w:hAnsi="Times New Roman"/>
          <w:sz w:val="28"/>
          <w:szCs w:val="28"/>
        </w:rPr>
        <w:t xml:space="preserve">показателей, вычисление коэффициента ранговой корреляции </w:t>
      </w:r>
      <w:proofErr w:type="spellStart"/>
      <w:r w:rsidRPr="00C3507C">
        <w:rPr>
          <w:rFonts w:ascii="Times New Roman" w:hAnsi="Times New Roman"/>
          <w:sz w:val="28"/>
          <w:szCs w:val="28"/>
        </w:rPr>
        <w:t>Спирмена</w:t>
      </w:r>
      <w:proofErr w:type="spellEnd"/>
      <w:r w:rsidRPr="00C3507C">
        <w:rPr>
          <w:rFonts w:ascii="Times New Roman" w:hAnsi="Times New Roman"/>
          <w:sz w:val="28"/>
          <w:szCs w:val="28"/>
        </w:rPr>
        <w:t xml:space="preserve">, определение достоверности полученных результатов методами </w:t>
      </w:r>
      <w:r w:rsidRPr="00C3507C">
        <w:rPr>
          <w:rFonts w:ascii="Times New Roman" w:hAnsi="Times New Roman"/>
          <w:sz w:val="28"/>
          <w:szCs w:val="28"/>
          <w:lang w:val="kk-KZ"/>
        </w:rPr>
        <w:t xml:space="preserve">непараметрической </w:t>
      </w:r>
      <w:r w:rsidRPr="00C3507C">
        <w:rPr>
          <w:rFonts w:ascii="Times New Roman" w:hAnsi="Times New Roman"/>
          <w:sz w:val="28"/>
          <w:szCs w:val="28"/>
        </w:rPr>
        <w:t xml:space="preserve">(критерий </w:t>
      </w:r>
      <w:r w:rsidRPr="00C3507C">
        <w:rPr>
          <w:rFonts w:ascii="Times New Roman" w:hAnsi="Times New Roman"/>
          <w:b/>
          <w:bCs/>
          <w:i/>
          <w:iCs/>
          <w:sz w:val="28"/>
          <w:szCs w:val="28"/>
        </w:rPr>
        <w:t>χ</w:t>
      </w:r>
      <w:r w:rsidRPr="00C3507C">
        <w:rPr>
          <w:rFonts w:ascii="Times New Roman" w:hAnsi="Times New Roman"/>
          <w:b/>
          <w:bCs/>
          <w:i/>
          <w:iCs/>
          <w:sz w:val="28"/>
          <w:szCs w:val="28"/>
          <w:vertAlign w:val="superscript"/>
        </w:rPr>
        <w:t>2</w:t>
      </w:r>
      <w:r w:rsidRPr="00C3507C">
        <w:rPr>
          <w:rFonts w:ascii="Times New Roman" w:hAnsi="Times New Roman"/>
          <w:sz w:val="28"/>
          <w:szCs w:val="28"/>
        </w:rPr>
        <w:t xml:space="preserve">) и вариационной статистики (критерий Стьюдента) </w:t>
      </w:r>
      <w:r w:rsidRPr="00894C64">
        <w:rPr>
          <w:rFonts w:ascii="Times New Roman" w:hAnsi="Times New Roman"/>
          <w:sz w:val="28"/>
          <w:szCs w:val="28"/>
        </w:rPr>
        <w:t>[273, 274, 275]</w:t>
      </w:r>
      <w:r w:rsidRPr="00C3507C">
        <w:rPr>
          <w:rFonts w:ascii="Times New Roman" w:hAnsi="Times New Roman"/>
          <w:sz w:val="28"/>
          <w:szCs w:val="28"/>
        </w:rPr>
        <w:t xml:space="preserve"> с использованием статистических программ </w:t>
      </w:r>
      <w:proofErr w:type="spellStart"/>
      <w:r w:rsidRPr="00C3507C">
        <w:rPr>
          <w:rFonts w:ascii="Times New Roman" w:hAnsi="Times New Roman"/>
          <w:sz w:val="28"/>
          <w:szCs w:val="28"/>
          <w:lang w:val="en-US"/>
        </w:rPr>
        <w:t>EpiInfo</w:t>
      </w:r>
      <w:proofErr w:type="spellEnd"/>
      <w:r w:rsidRPr="00C3507C">
        <w:rPr>
          <w:rFonts w:ascii="Times New Roman" w:hAnsi="Times New Roman"/>
          <w:sz w:val="28"/>
          <w:szCs w:val="28"/>
        </w:rPr>
        <w:t xml:space="preserve"> и онлайн калькулятора [</w:t>
      </w:r>
      <w:r w:rsidRPr="00894C64">
        <w:rPr>
          <w:rFonts w:ascii="Times New Roman" w:hAnsi="Times New Roman"/>
          <w:sz w:val="28"/>
          <w:szCs w:val="28"/>
        </w:rPr>
        <w:t>276</w:t>
      </w:r>
      <w:r w:rsidRPr="00C3507C">
        <w:rPr>
          <w:rFonts w:ascii="Times New Roman" w:hAnsi="Times New Roman"/>
          <w:sz w:val="28"/>
          <w:szCs w:val="28"/>
        </w:rPr>
        <w:t>].</w:t>
      </w:r>
    </w:p>
    <w:p w14:paraId="12EDE889" w14:textId="77777777" w:rsidR="005C199B"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В работе были вычислены среднеарифметические показатели (</w:t>
      </w:r>
      <w:r w:rsidRPr="00C3507C">
        <w:rPr>
          <w:rFonts w:ascii="Times New Roman" w:hAnsi="Times New Roman"/>
          <w:i/>
          <w:sz w:val="28"/>
          <w:szCs w:val="28"/>
          <w:lang w:val="en-US"/>
        </w:rPr>
        <w:t>M</w:t>
      </w:r>
      <w:r w:rsidRPr="00C3507C">
        <w:rPr>
          <w:rFonts w:ascii="Times New Roman" w:hAnsi="Times New Roman"/>
          <w:sz w:val="28"/>
          <w:szCs w:val="28"/>
        </w:rPr>
        <w:t>), средняя ошибка (</w:t>
      </w:r>
      <w:r w:rsidRPr="00C3507C">
        <w:rPr>
          <w:rFonts w:ascii="Times New Roman" w:hAnsi="Times New Roman"/>
          <w:i/>
          <w:sz w:val="28"/>
          <w:szCs w:val="28"/>
          <w:lang w:val="en-US"/>
        </w:rPr>
        <w:t>m</w:t>
      </w:r>
      <w:r w:rsidRPr="00C3507C">
        <w:rPr>
          <w:rFonts w:ascii="Times New Roman" w:hAnsi="Times New Roman"/>
          <w:sz w:val="28"/>
          <w:szCs w:val="28"/>
        </w:rPr>
        <w:t>). 95% ДИ был вычислен по формуле:</w:t>
      </w:r>
    </w:p>
    <w:p w14:paraId="4BFE91A2" w14:textId="77777777" w:rsidR="005C199B" w:rsidRPr="00C3507C" w:rsidRDefault="005C199B" w:rsidP="005C199B">
      <w:pPr>
        <w:widowControl w:val="0"/>
        <w:spacing w:after="0" w:line="240" w:lineRule="auto"/>
        <w:ind w:firstLine="567"/>
        <w:jc w:val="both"/>
        <w:rPr>
          <w:rFonts w:ascii="Times New Roman" w:hAnsi="Times New Roman"/>
          <w:sz w:val="28"/>
          <w:szCs w:val="28"/>
        </w:rPr>
      </w:pPr>
    </w:p>
    <w:p w14:paraId="0025C0BB" w14:textId="77777777" w:rsidR="005C199B" w:rsidRPr="00C3507C" w:rsidRDefault="005C199B" w:rsidP="005C199B">
      <w:pPr>
        <w:widowControl w:val="0"/>
        <w:spacing w:after="0" w:line="240" w:lineRule="auto"/>
        <w:jc w:val="both"/>
        <w:rPr>
          <w:rFonts w:ascii="Times New Roman" w:hAnsi="Times New Roman"/>
          <w:i/>
          <w:sz w:val="28"/>
          <w:szCs w:val="28"/>
          <w:lang w:val="en-US"/>
        </w:rPr>
      </w:pPr>
      <m:oMathPara>
        <m:oMath>
          <m:r>
            <w:rPr>
              <w:rFonts w:ascii="Cambria Math" w:hAnsi="Cambria Math"/>
              <w:sz w:val="28"/>
              <w:szCs w:val="28"/>
            </w:rPr>
            <m:t>95% ДИ=</m:t>
          </m:r>
          <m:r>
            <w:rPr>
              <w:rFonts w:ascii="Cambria Math" w:hAnsi="Cambria Math"/>
              <w:sz w:val="28"/>
              <w:szCs w:val="28"/>
              <w:lang w:val="en-US"/>
            </w:rPr>
            <m:t>M±1,96×m</m:t>
          </m:r>
        </m:oMath>
      </m:oMathPara>
    </w:p>
    <w:p w14:paraId="435F8759" w14:textId="77777777" w:rsidR="005C199B" w:rsidRDefault="005C199B" w:rsidP="005C199B">
      <w:pPr>
        <w:pStyle w:val="32"/>
        <w:widowControl w:val="0"/>
        <w:spacing w:after="0" w:line="240" w:lineRule="auto"/>
        <w:ind w:firstLine="567"/>
        <w:jc w:val="both"/>
        <w:rPr>
          <w:rFonts w:ascii="Times New Roman" w:hAnsi="Times New Roman" w:cs="Times New Roman"/>
          <w:sz w:val="28"/>
          <w:szCs w:val="28"/>
        </w:rPr>
      </w:pPr>
    </w:p>
    <w:p w14:paraId="42D82AC3" w14:textId="77777777" w:rsidR="005C199B" w:rsidRDefault="005C199B" w:rsidP="005C199B">
      <w:pPr>
        <w:pStyle w:val="32"/>
        <w:widowControl w:val="0"/>
        <w:spacing w:after="0" w:line="240" w:lineRule="auto"/>
        <w:ind w:firstLine="567"/>
        <w:jc w:val="both"/>
        <w:rPr>
          <w:rFonts w:ascii="Times New Roman" w:hAnsi="Times New Roman" w:cs="Times New Roman"/>
          <w:sz w:val="28"/>
          <w:szCs w:val="28"/>
        </w:rPr>
      </w:pPr>
      <w:r w:rsidRPr="00C3507C">
        <w:rPr>
          <w:rFonts w:ascii="Times New Roman" w:hAnsi="Times New Roman" w:cs="Times New Roman"/>
          <w:sz w:val="28"/>
          <w:szCs w:val="28"/>
        </w:rPr>
        <w:t>Для оценки связи между отдельными факторами использован так называемый метод анализа ОР на основе четырехпольной таблицы:</w:t>
      </w:r>
    </w:p>
    <w:p w14:paraId="79ED635D" w14:textId="77777777" w:rsidR="005C199B" w:rsidRPr="00C3507C" w:rsidRDefault="005C199B" w:rsidP="005C199B">
      <w:pPr>
        <w:pStyle w:val="32"/>
        <w:widowControl w:val="0"/>
        <w:spacing w:after="0" w:line="240" w:lineRule="auto"/>
        <w:ind w:firstLine="567"/>
        <w:jc w:val="both"/>
        <w:rPr>
          <w:rFonts w:ascii="Times New Roman" w:hAnsi="Times New Roman" w:cs="Times New Roman"/>
          <w:sz w:val="28"/>
          <w:szCs w:val="28"/>
        </w:rPr>
      </w:pPr>
    </w:p>
    <w:p w14:paraId="2309CF89" w14:textId="77777777" w:rsidR="005C199B" w:rsidRPr="00C3507C" w:rsidRDefault="005C199B" w:rsidP="005C199B">
      <w:pPr>
        <w:pStyle w:val="32"/>
        <w:widowControl w:val="0"/>
        <w:spacing w:after="0" w:line="240" w:lineRule="auto"/>
        <w:ind w:firstLine="567"/>
        <w:jc w:val="both"/>
        <w:rPr>
          <w:rFonts w:ascii="Times New Roman" w:hAnsi="Times New Roman" w:cs="Times New Roman"/>
          <w:sz w:val="28"/>
          <w:szCs w:val="28"/>
        </w:rPr>
      </w:pPr>
      <m:oMathPara>
        <m:oMath>
          <m:r>
            <w:rPr>
              <w:rFonts w:ascii="Cambria Math" w:hAnsi="Cambria Math" w:cs="Times New Roman"/>
              <w:sz w:val="28"/>
              <w:szCs w:val="28"/>
            </w:rPr>
            <m:t>ОР=</m:t>
          </m:r>
          <m:f>
            <m:fPr>
              <m:ctrlPr>
                <w:rPr>
                  <w:rFonts w:ascii="Cambria Math" w:hAnsi="Cambria Math" w:cs="Times New Roman"/>
                  <w:i/>
                  <w:sz w:val="28"/>
                  <w:szCs w:val="28"/>
                </w:rPr>
              </m:ctrlPr>
            </m:fPr>
            <m:num>
              <m:r>
                <w:rPr>
                  <w:rFonts w:ascii="Cambria Math" w:hAnsi="Cambria Math" w:cs="Times New Roman"/>
                  <w:sz w:val="28"/>
                  <w:szCs w:val="28"/>
                  <w:lang w:val="en-US"/>
                </w:rPr>
                <m:t>a×d</m:t>
              </m:r>
            </m:num>
            <m:den>
              <m:r>
                <w:rPr>
                  <w:rFonts w:ascii="Cambria Math" w:hAnsi="Cambria Math" w:cs="Times New Roman"/>
                  <w:sz w:val="28"/>
                  <w:szCs w:val="28"/>
                </w:rPr>
                <m:t>b×c</m:t>
              </m:r>
            </m:den>
          </m:f>
        </m:oMath>
      </m:oMathPara>
    </w:p>
    <w:p w14:paraId="4A6B9236" w14:textId="77777777" w:rsidR="005C199B" w:rsidRDefault="005C199B" w:rsidP="005C199B">
      <w:pPr>
        <w:widowControl w:val="0"/>
        <w:spacing w:after="0" w:line="240" w:lineRule="auto"/>
        <w:ind w:firstLine="567"/>
        <w:jc w:val="both"/>
        <w:rPr>
          <w:rFonts w:ascii="Times New Roman" w:hAnsi="Times New Roman"/>
          <w:sz w:val="28"/>
          <w:szCs w:val="28"/>
        </w:rPr>
      </w:pPr>
    </w:p>
    <w:p w14:paraId="1BD4FA7C"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Достоверность различия нескольких относительных величин, связанных между собой каким-либо признаком, проверка предположения о наличии (отсутствии) связи между явлениями (без измерения ее величины), если такая связь теоретически возможна, оценка близости двух распределений нами выполнены путем вычисления показателей соответствия – χ</w:t>
      </w:r>
      <w:r w:rsidRPr="00C3507C">
        <w:rPr>
          <w:rFonts w:ascii="Times New Roman" w:hAnsi="Times New Roman"/>
          <w:sz w:val="28"/>
          <w:szCs w:val="28"/>
          <w:vertAlign w:val="superscript"/>
        </w:rPr>
        <w:t>2</w:t>
      </w:r>
      <w:r w:rsidRPr="00C3507C">
        <w:rPr>
          <w:rFonts w:ascii="Times New Roman" w:hAnsi="Times New Roman"/>
          <w:sz w:val="28"/>
          <w:szCs w:val="28"/>
        </w:rPr>
        <w:t xml:space="preserve"> (хи-квадрат).</w:t>
      </w:r>
    </w:p>
    <w:p w14:paraId="549A2ADB" w14:textId="77777777" w:rsidR="005C199B"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Критерий χ</w:t>
      </w:r>
      <w:r w:rsidRPr="00C3507C">
        <w:rPr>
          <w:rFonts w:ascii="Times New Roman" w:hAnsi="Times New Roman"/>
          <w:sz w:val="28"/>
          <w:szCs w:val="28"/>
          <w:vertAlign w:val="superscript"/>
        </w:rPr>
        <w:t>2</w:t>
      </w:r>
      <w:r w:rsidRPr="00C3507C">
        <w:rPr>
          <w:rFonts w:ascii="Times New Roman" w:hAnsi="Times New Roman"/>
          <w:sz w:val="28"/>
          <w:szCs w:val="28"/>
        </w:rPr>
        <w:t xml:space="preserve"> определяется следующим образом:</w:t>
      </w:r>
    </w:p>
    <w:p w14:paraId="396AFC29" w14:textId="77777777" w:rsidR="005C199B" w:rsidRPr="00C3507C" w:rsidRDefault="005C199B" w:rsidP="005C199B">
      <w:pPr>
        <w:widowControl w:val="0"/>
        <w:spacing w:after="0" w:line="240" w:lineRule="auto"/>
        <w:ind w:firstLine="567"/>
        <w:jc w:val="both"/>
        <w:rPr>
          <w:rFonts w:ascii="Times New Roman" w:hAnsi="Times New Roman"/>
          <w:sz w:val="28"/>
          <w:szCs w:val="28"/>
        </w:rPr>
      </w:pPr>
    </w:p>
    <w:p w14:paraId="58587A40" w14:textId="77777777" w:rsidR="005C199B" w:rsidRPr="00C3507C" w:rsidRDefault="00094F6F" w:rsidP="005C199B">
      <w:pPr>
        <w:widowControl w:val="0"/>
        <w:spacing w:after="0" w:line="240" w:lineRule="auto"/>
        <w:jc w:val="both"/>
        <w:rPr>
          <w:rFonts w:ascii="Times New Roman" w:hAnsi="Times New Roman"/>
          <w:sz w:val="28"/>
          <w:szCs w:val="28"/>
        </w:rPr>
      </w:pPr>
      <m:oMathPara>
        <m:oMathParaPr>
          <m:jc m:val="center"/>
        </m:oMathParaPr>
        <m:oMath>
          <m:sSup>
            <m:sSupPr>
              <m:ctrlPr>
                <w:rPr>
                  <w:rFonts w:ascii="Cambria Math" w:hAnsi="Cambria Math"/>
                  <w:i/>
                  <w:sz w:val="28"/>
                  <w:szCs w:val="28"/>
                </w:rPr>
              </m:ctrlPr>
            </m:sSupPr>
            <m:e>
              <m:r>
                <w:rPr>
                  <w:rFonts w:ascii="Cambria Math" w:hAnsi="Cambria Math"/>
                  <w:sz w:val="28"/>
                  <w:szCs w:val="28"/>
                </w:rPr>
                <m:t>χ</m:t>
              </m:r>
            </m:e>
            <m:sup>
              <m:r>
                <w:rPr>
                  <w:rFonts w:ascii="Cambria Math" w:hAnsi="Cambria Math"/>
                  <w:sz w:val="28"/>
                  <w:szCs w:val="28"/>
                </w:rPr>
                <m:t>2</m:t>
              </m:r>
            </m:sup>
          </m:sSup>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f>
                <m:fPr>
                  <m:ctrlPr>
                    <w:rPr>
                      <w:rFonts w:ascii="Cambria Math" w:hAnsi="Cambria Math"/>
                      <w:i/>
                      <w:sz w:val="28"/>
                      <w:szCs w:val="28"/>
                    </w:rPr>
                  </m:ctrlPr>
                </m:fPr>
                <m:num>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O-E)</m:t>
                      </m:r>
                    </m:e>
                    <m:sup>
                      <m:r>
                        <w:rPr>
                          <w:rFonts w:ascii="Cambria Math" w:hAnsi="Cambria Math"/>
                          <w:sz w:val="28"/>
                          <w:szCs w:val="28"/>
                        </w:rPr>
                        <m:t>2</m:t>
                      </m:r>
                    </m:sup>
                  </m:sSup>
                </m:num>
                <m:den>
                  <m:r>
                    <w:rPr>
                      <w:rFonts w:ascii="Cambria Math" w:hAnsi="Cambria Math"/>
                      <w:sz w:val="28"/>
                      <w:szCs w:val="28"/>
                    </w:rPr>
                    <m:t>E</m:t>
                  </m:r>
                </m:den>
              </m:f>
            </m:e>
          </m:nary>
        </m:oMath>
      </m:oMathPara>
    </w:p>
    <w:p w14:paraId="5556BC6B" w14:textId="77777777" w:rsidR="005C199B" w:rsidRDefault="005C199B" w:rsidP="005C199B">
      <w:pPr>
        <w:widowControl w:val="0"/>
        <w:spacing w:after="0" w:line="240" w:lineRule="auto"/>
        <w:ind w:firstLine="567"/>
        <w:jc w:val="both"/>
        <w:rPr>
          <w:rFonts w:ascii="Times New Roman" w:hAnsi="Times New Roman"/>
          <w:sz w:val="28"/>
          <w:szCs w:val="28"/>
        </w:rPr>
      </w:pPr>
    </w:p>
    <w:p w14:paraId="7B874689" w14:textId="77777777" w:rsidR="005C199B" w:rsidRPr="00C3507C" w:rsidRDefault="005C199B" w:rsidP="005C199B">
      <w:pPr>
        <w:widowControl w:val="0"/>
        <w:spacing w:after="0" w:line="240" w:lineRule="auto"/>
        <w:ind w:firstLine="567"/>
        <w:jc w:val="both"/>
        <w:rPr>
          <w:rFonts w:ascii="Times New Roman" w:hAnsi="Times New Roman"/>
          <w:sz w:val="28"/>
          <w:szCs w:val="28"/>
        </w:rPr>
      </w:pPr>
      <w:proofErr w:type="gramStart"/>
      <w:r w:rsidRPr="00C3507C">
        <w:rPr>
          <w:rFonts w:ascii="Times New Roman" w:hAnsi="Times New Roman"/>
          <w:sz w:val="28"/>
          <w:szCs w:val="28"/>
        </w:rPr>
        <w:t>где</w:t>
      </w:r>
      <w:proofErr w:type="gramEnd"/>
      <w:r w:rsidRPr="00C3507C">
        <w:rPr>
          <w:rFonts w:ascii="Times New Roman" w:hAnsi="Times New Roman"/>
          <w:sz w:val="28"/>
          <w:szCs w:val="28"/>
        </w:rPr>
        <w:t xml:space="preserve"> О– наблюдаемое число в клетке таблицы сопряженности,</w:t>
      </w:r>
    </w:p>
    <w:p w14:paraId="0FA9E4AB"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 xml:space="preserve">      Е – ожидаемое число в той же клетке.</w:t>
      </w:r>
    </w:p>
    <w:p w14:paraId="03B62102"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Показатель соответствия говорит о том, существенна или не существенна разность между числами, полученными в процессе статистического исследования, и теоретически вычисленными («ожидаемыми») на основе предположения об отсутствии связи между исследуемыми явлениями (на основе, так называемой гипотезы). Его можно определить, как критерий, устанавливающий соответствие между теоретическими и эмпирическими частотами распределения.</w:t>
      </w:r>
    </w:p>
    <w:p w14:paraId="7D1CF5A2" w14:textId="77777777" w:rsidR="005C199B"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Приведенная ранее формула для χ</w:t>
      </w:r>
      <w:r w:rsidRPr="00C3507C">
        <w:rPr>
          <w:rFonts w:ascii="Times New Roman" w:hAnsi="Times New Roman"/>
          <w:sz w:val="28"/>
          <w:szCs w:val="28"/>
          <w:vertAlign w:val="superscript"/>
        </w:rPr>
        <w:t>2</w:t>
      </w:r>
      <w:r w:rsidRPr="00C3507C">
        <w:rPr>
          <w:rFonts w:ascii="Times New Roman" w:hAnsi="Times New Roman"/>
          <w:sz w:val="28"/>
          <w:szCs w:val="28"/>
        </w:rPr>
        <w:t xml:space="preserve"> в случае таблицы 2×2 (то есть при 1 </w:t>
      </w:r>
      <w:r w:rsidRPr="00C3507C">
        <w:rPr>
          <w:rFonts w:ascii="Times New Roman" w:hAnsi="Times New Roman"/>
          <w:sz w:val="28"/>
          <w:szCs w:val="28"/>
        </w:rPr>
        <w:lastRenderedPageBreak/>
        <w:t>степени свободы) дает несколько завышенные значения. Это вызвано тем, что теоретическое распределение χ</w:t>
      </w:r>
      <w:r w:rsidRPr="00C3507C">
        <w:rPr>
          <w:rFonts w:ascii="Times New Roman" w:hAnsi="Times New Roman"/>
          <w:sz w:val="28"/>
          <w:szCs w:val="28"/>
          <w:vertAlign w:val="superscript"/>
        </w:rPr>
        <w:t>2</w:t>
      </w:r>
      <w:r w:rsidRPr="00C3507C">
        <w:rPr>
          <w:rFonts w:ascii="Times New Roman" w:hAnsi="Times New Roman"/>
          <w:sz w:val="28"/>
          <w:szCs w:val="28"/>
        </w:rPr>
        <w:t xml:space="preserve"> непрерывно, тогда как набор вычисленных значений χ</w:t>
      </w:r>
      <w:r w:rsidRPr="00C3507C">
        <w:rPr>
          <w:rFonts w:ascii="Times New Roman" w:hAnsi="Times New Roman"/>
          <w:sz w:val="28"/>
          <w:szCs w:val="28"/>
          <w:vertAlign w:val="superscript"/>
        </w:rPr>
        <w:t>2</w:t>
      </w:r>
      <w:r w:rsidRPr="00C3507C">
        <w:rPr>
          <w:rFonts w:ascii="Times New Roman" w:hAnsi="Times New Roman"/>
          <w:sz w:val="28"/>
          <w:szCs w:val="28"/>
        </w:rPr>
        <w:t xml:space="preserve"> дискретен. На практике это приведет к тому, что нулевая гипотеза будет отвергаться слишком часто. Чтобы компенсировать этот эффект, в формулу вводят поправку </w:t>
      </w:r>
      <w:proofErr w:type="spellStart"/>
      <w:r w:rsidRPr="00C3507C">
        <w:rPr>
          <w:rFonts w:ascii="Times New Roman" w:hAnsi="Times New Roman"/>
          <w:sz w:val="28"/>
          <w:szCs w:val="28"/>
        </w:rPr>
        <w:t>Йеитса</w:t>
      </w:r>
      <w:proofErr w:type="spellEnd"/>
      <w:r w:rsidRPr="00C3507C">
        <w:rPr>
          <w:rFonts w:ascii="Times New Roman" w:hAnsi="Times New Roman"/>
          <w:sz w:val="28"/>
          <w:szCs w:val="28"/>
        </w:rPr>
        <w:t>:</w:t>
      </w:r>
    </w:p>
    <w:p w14:paraId="5B0832A0" w14:textId="77777777" w:rsidR="005C199B" w:rsidRPr="00C3507C" w:rsidRDefault="005C199B" w:rsidP="005C199B">
      <w:pPr>
        <w:widowControl w:val="0"/>
        <w:spacing w:after="0" w:line="240" w:lineRule="auto"/>
        <w:ind w:firstLine="567"/>
        <w:jc w:val="both"/>
        <w:rPr>
          <w:rFonts w:ascii="Times New Roman" w:hAnsi="Times New Roman"/>
          <w:sz w:val="28"/>
          <w:szCs w:val="28"/>
        </w:rPr>
      </w:pPr>
    </w:p>
    <w:p w14:paraId="648AF7D1" w14:textId="77777777" w:rsidR="005C199B" w:rsidRPr="00C3507C" w:rsidRDefault="00094F6F" w:rsidP="005C199B">
      <w:pPr>
        <w:widowControl w:val="0"/>
        <w:spacing w:after="0" w:line="240" w:lineRule="auto"/>
        <w:jc w:val="both"/>
        <w:rPr>
          <w:rFonts w:ascii="Times New Roman" w:hAnsi="Times New Roman"/>
          <w:sz w:val="28"/>
          <w:szCs w:val="28"/>
        </w:rPr>
      </w:pPr>
      <m:oMathPara>
        <m:oMathParaPr>
          <m:jc m:val="center"/>
        </m:oMathParaPr>
        <m:oMath>
          <m:sSup>
            <m:sSupPr>
              <m:ctrlPr>
                <w:rPr>
                  <w:rFonts w:ascii="Cambria Math" w:hAnsi="Cambria Math"/>
                  <w:i/>
                  <w:sz w:val="28"/>
                  <w:szCs w:val="28"/>
                </w:rPr>
              </m:ctrlPr>
            </m:sSupPr>
            <m:e>
              <m:r>
                <m:rPr>
                  <m:sty m:val="p"/>
                </m:rPr>
                <w:rPr>
                  <w:rFonts w:ascii="Cambria Math" w:hAnsi="Cambria Math"/>
                  <w:sz w:val="28"/>
                  <w:szCs w:val="28"/>
                </w:rPr>
                <m:t>χ</m:t>
              </m:r>
            </m:e>
            <m:sup>
              <m:r>
                <w:rPr>
                  <w:rFonts w:ascii="Cambria Math" w:hAnsi="Cambria Math"/>
                  <w:sz w:val="28"/>
                  <w:szCs w:val="28"/>
                </w:rPr>
                <m:t>2</m:t>
              </m:r>
            </m:sup>
          </m:sSup>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d>
                            <m:dPr>
                              <m:begChr m:val="|"/>
                              <m:endChr m:val="|"/>
                              <m:ctrlPr>
                                <w:rPr>
                                  <w:rFonts w:ascii="Cambria Math" w:hAnsi="Cambria Math"/>
                                  <w:i/>
                                  <w:sz w:val="28"/>
                                  <w:szCs w:val="28"/>
                                </w:rPr>
                              </m:ctrlPr>
                            </m:dPr>
                            <m:e>
                              <m:r>
                                <w:rPr>
                                  <w:rFonts w:ascii="Cambria Math" w:hAnsi="Cambria Math"/>
                                  <w:sz w:val="28"/>
                                  <w:szCs w:val="28"/>
                                </w:rPr>
                                <m:t>O-E</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e>
                      </m:d>
                    </m:e>
                    <m:sup>
                      <m:r>
                        <w:rPr>
                          <w:rFonts w:ascii="Cambria Math" w:hAnsi="Cambria Math"/>
                          <w:sz w:val="28"/>
                          <w:szCs w:val="28"/>
                        </w:rPr>
                        <m:t>2</m:t>
                      </m:r>
                    </m:sup>
                  </m:sSup>
                </m:num>
                <m:den>
                  <m:r>
                    <w:rPr>
                      <w:rFonts w:ascii="Cambria Math" w:hAnsi="Cambria Math"/>
                      <w:sz w:val="28"/>
                      <w:szCs w:val="28"/>
                    </w:rPr>
                    <m:t>E</m:t>
                  </m:r>
                </m:den>
              </m:f>
            </m:e>
          </m:nary>
        </m:oMath>
      </m:oMathPara>
    </w:p>
    <w:p w14:paraId="42520902" w14:textId="77777777" w:rsidR="005C199B" w:rsidRDefault="005C199B" w:rsidP="005C199B">
      <w:pPr>
        <w:widowControl w:val="0"/>
        <w:spacing w:after="0" w:line="240" w:lineRule="auto"/>
        <w:ind w:firstLine="567"/>
        <w:jc w:val="both"/>
        <w:rPr>
          <w:rFonts w:ascii="Times New Roman" w:hAnsi="Times New Roman"/>
          <w:sz w:val="28"/>
          <w:szCs w:val="28"/>
        </w:rPr>
      </w:pPr>
    </w:p>
    <w:p w14:paraId="603063C5"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 xml:space="preserve">Заметим, поправка </w:t>
      </w:r>
      <w:proofErr w:type="spellStart"/>
      <w:r w:rsidRPr="00C3507C">
        <w:rPr>
          <w:rFonts w:ascii="Times New Roman" w:hAnsi="Times New Roman"/>
          <w:sz w:val="28"/>
          <w:szCs w:val="28"/>
        </w:rPr>
        <w:t>Йеитса</w:t>
      </w:r>
      <w:proofErr w:type="spellEnd"/>
      <w:r w:rsidRPr="00C3507C">
        <w:rPr>
          <w:rFonts w:ascii="Times New Roman" w:hAnsi="Times New Roman"/>
          <w:sz w:val="28"/>
          <w:szCs w:val="28"/>
        </w:rPr>
        <w:t xml:space="preserve"> применяется только при ν=1, то есть для таблиц 2×2.</w:t>
      </w:r>
    </w:p>
    <w:p w14:paraId="3B7078CC"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Измерение связи производилось вычислением коэффициента корреляции по следующей формуле:</w:t>
      </w:r>
    </w:p>
    <w:p w14:paraId="64D70A17" w14:textId="77777777" w:rsidR="005C199B" w:rsidRPr="00C3507C" w:rsidRDefault="00094F6F" w:rsidP="005C199B">
      <w:pPr>
        <w:widowControl w:val="0"/>
        <w:spacing w:after="0" w:line="240" w:lineRule="auto"/>
        <w:jc w:val="both"/>
        <w:rPr>
          <w:rFonts w:ascii="Times New Roman" w:hAnsi="Times New Roman"/>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xy</m:t>
              </m:r>
            </m:sub>
          </m:sSub>
          <m:r>
            <w:rPr>
              <w:rFonts w:ascii="Cambria Math" w:hAnsi="Cambria Math"/>
              <w:sz w:val="28"/>
              <w:szCs w:val="28"/>
            </w:rPr>
            <m:t>=</m:t>
          </m:r>
          <m:f>
            <m:fPr>
              <m:ctrlPr>
                <w:rPr>
                  <w:rFonts w:ascii="Cambria Math" w:hAnsi="Cambria Math"/>
                  <w:i/>
                  <w:sz w:val="28"/>
                  <w:szCs w:val="28"/>
                </w:rPr>
              </m:ctrlPr>
            </m:fPr>
            <m:num>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y</m:t>
                      </m:r>
                    </m:sub>
                  </m:s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y</m:t>
                      </m:r>
                    </m:sub>
                  </m:sSub>
                </m:e>
              </m:nary>
            </m:num>
            <m:den>
              <m:rad>
                <m:radPr>
                  <m:degHide m:val="1"/>
                  <m:ctrlPr>
                    <w:rPr>
                      <w:rFonts w:ascii="Cambria Math" w:hAnsi="Cambria Math"/>
                      <w:i/>
                      <w:sz w:val="28"/>
                      <w:szCs w:val="28"/>
                    </w:rPr>
                  </m:ctrlPr>
                </m:radPr>
                <m:deg/>
                <m:e>
                  <m:nary>
                    <m:naryPr>
                      <m:chr m:val="∑"/>
                      <m:limLoc m:val="undOvr"/>
                      <m:subHide m:val="1"/>
                      <m:supHide m:val="1"/>
                      <m:ctrlPr>
                        <w:rPr>
                          <w:rFonts w:ascii="Cambria Math" w:hAnsi="Cambria Math"/>
                          <w:i/>
                          <w:sz w:val="28"/>
                          <w:szCs w:val="28"/>
                        </w:rPr>
                      </m:ctrlPr>
                    </m:naryPr>
                    <m:sub/>
                    <m:sup/>
                    <m:e>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x</m:t>
                          </m:r>
                        </m:sub>
                        <m:sup>
                          <m:r>
                            <w:rPr>
                              <w:rFonts w:ascii="Cambria Math" w:hAnsi="Cambria Math"/>
                              <w:sz w:val="28"/>
                              <w:szCs w:val="28"/>
                            </w:rPr>
                            <m:t>2</m:t>
                          </m:r>
                        </m:sup>
                      </m:sSubSup>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y</m:t>
                              </m:r>
                            </m:sub>
                            <m:sup>
                              <m:r>
                                <w:rPr>
                                  <w:rFonts w:ascii="Cambria Math" w:hAnsi="Cambria Math"/>
                                  <w:sz w:val="28"/>
                                  <w:szCs w:val="28"/>
                                </w:rPr>
                                <m:t>2</m:t>
                              </m:r>
                            </m:sup>
                          </m:sSubSup>
                        </m:e>
                      </m:nary>
                    </m:e>
                  </m:nary>
                </m:e>
              </m:rad>
            </m:den>
          </m:f>
        </m:oMath>
      </m:oMathPara>
    </w:p>
    <w:p w14:paraId="28AB0859" w14:textId="77777777" w:rsidR="005C199B" w:rsidRDefault="005C199B" w:rsidP="005C199B">
      <w:pPr>
        <w:widowControl w:val="0"/>
        <w:spacing w:after="0" w:line="240" w:lineRule="auto"/>
        <w:ind w:firstLine="567"/>
        <w:jc w:val="both"/>
        <w:rPr>
          <w:rFonts w:ascii="Times New Roman" w:hAnsi="Times New Roman"/>
          <w:sz w:val="28"/>
          <w:szCs w:val="28"/>
        </w:rPr>
      </w:pPr>
    </w:p>
    <w:p w14:paraId="446BF8B4" w14:textId="77777777" w:rsidR="005C199B" w:rsidRPr="00C3507C" w:rsidRDefault="005C199B" w:rsidP="005C199B">
      <w:pPr>
        <w:widowControl w:val="0"/>
        <w:spacing w:after="0" w:line="240" w:lineRule="auto"/>
        <w:ind w:firstLine="567"/>
        <w:jc w:val="both"/>
        <w:rPr>
          <w:rFonts w:ascii="Times New Roman" w:hAnsi="Times New Roman"/>
          <w:sz w:val="28"/>
          <w:szCs w:val="28"/>
        </w:rPr>
      </w:pPr>
      <w:proofErr w:type="gramStart"/>
      <w:r w:rsidRPr="00C3507C">
        <w:rPr>
          <w:rFonts w:ascii="Times New Roman" w:hAnsi="Times New Roman"/>
          <w:sz w:val="28"/>
          <w:szCs w:val="28"/>
        </w:rPr>
        <w:t>где</w:t>
      </w:r>
      <w:proofErr w:type="gramEnd"/>
      <w:r w:rsidRPr="00C3507C">
        <w:rPr>
          <w:rFonts w:ascii="Times New Roman" w:hAnsi="Times New Roman"/>
          <w:sz w:val="28"/>
          <w:szCs w:val="28"/>
        </w:rPr>
        <w:t xml:space="preserve"> </w:t>
      </w:r>
      <w:r w:rsidRPr="00C3507C">
        <w:rPr>
          <w:rFonts w:ascii="Times New Roman" w:hAnsi="Times New Roman"/>
          <w:i/>
          <w:sz w:val="28"/>
          <w:szCs w:val="28"/>
          <w:lang w:val="en-US"/>
        </w:rPr>
        <w:t>x</w:t>
      </w:r>
      <w:r w:rsidRPr="00C3507C">
        <w:rPr>
          <w:rFonts w:ascii="Times New Roman" w:hAnsi="Times New Roman"/>
          <w:sz w:val="28"/>
          <w:szCs w:val="28"/>
        </w:rPr>
        <w:t xml:space="preserve"> и </w:t>
      </w:r>
      <w:r w:rsidRPr="00C3507C">
        <w:rPr>
          <w:rFonts w:ascii="Times New Roman" w:hAnsi="Times New Roman"/>
          <w:i/>
          <w:sz w:val="28"/>
          <w:szCs w:val="28"/>
          <w:lang w:val="en-US"/>
        </w:rPr>
        <w:t>y</w:t>
      </w:r>
      <w:r w:rsidRPr="00C3507C">
        <w:rPr>
          <w:rFonts w:ascii="Times New Roman" w:hAnsi="Times New Roman"/>
          <w:sz w:val="28"/>
          <w:szCs w:val="28"/>
        </w:rPr>
        <w:t xml:space="preserve"> – коррелируемые ряды, </w:t>
      </w:r>
      <m:oMath>
        <m:r>
          <w:rPr>
            <w:rFonts w:ascii="Cambria Math" w:hAnsi="Cambria Math"/>
            <w:i/>
            <w:sz w:val="28"/>
            <w:szCs w:val="28"/>
          </w:rPr>
          <w:fldChar w:fldCharType="begin"/>
        </m:r>
        <m:r>
          <m:rPr>
            <m:sty m:val="p"/>
          </m:rPr>
          <w:rPr>
            <w:rFonts w:ascii="Cambria Math" w:hAnsi="Cambria Math"/>
            <w:sz w:val="28"/>
            <w:szCs w:val="28"/>
          </w:rPr>
          <m:t xml:space="preserve"> QUOTE </m:t>
        </m:r>
        <m:r>
          <w:rPr>
            <w:rFonts w:ascii="Cambria Math" w:hAnsi="Cambria Math"/>
            <w:i/>
            <w:sz w:val="28"/>
            <w:szCs w:val="28"/>
          </w:rPr>
          <w:pict w14:anchorId="321F19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pt;height:15.9pt" equationxml="&lt;">
              <v:imagedata r:id="rId26" o:title="" chromakey="white"/>
            </v:shape>
          </w:pict>
        </m:r>
        <m:r>
          <m:rPr>
            <m:sty m:val="p"/>
          </m:rPr>
          <w:rPr>
            <w:rFonts w:ascii="Cambria Math" w:hAnsi="Cambria Math"/>
            <w:sz w:val="28"/>
            <w:szCs w:val="28"/>
          </w:rPr>
          <m:t xml:space="preserve"> </m:t>
        </m:r>
        <m:r>
          <w:rPr>
            <w:rFonts w:ascii="Cambria Math" w:hAnsi="Cambria Math"/>
            <w:i/>
            <w:sz w:val="28"/>
            <w:szCs w:val="28"/>
          </w:rPr>
          <w:fldChar w:fldCharType="separate"/>
        </m:r>
        <m:r>
          <w:rPr>
            <w:rFonts w:ascii="Cambria Math" w:hAnsi="Cambria Math"/>
            <w:i/>
            <w:sz w:val="28"/>
            <w:szCs w:val="28"/>
          </w:rPr>
          <w:pict w14:anchorId="6E144228">
            <v:shape id="_x0000_i1026" type="#_x0000_t75" style="width:18pt;height:15.9pt" equationxml="&lt;">
              <v:imagedata r:id="rId26" o:title="" chromakey="white"/>
            </v:shape>
          </w:pict>
        </m:r>
        <m:r>
          <w:rPr>
            <w:rFonts w:ascii="Cambria Math" w:hAnsi="Cambria Math"/>
            <w:i/>
            <w:sz w:val="28"/>
            <w:szCs w:val="28"/>
          </w:rPr>
          <w:fldChar w:fldCharType="end"/>
        </m:r>
      </m:oMath>
      <w:r w:rsidRPr="00C3507C">
        <w:rPr>
          <w:rFonts w:ascii="Times New Roman" w:hAnsi="Times New Roman"/>
          <w:sz w:val="28"/>
          <w:szCs w:val="28"/>
        </w:rPr>
        <w:t xml:space="preserve"> и </w:t>
      </w:r>
      <w:r w:rsidRPr="00C3507C">
        <w:rPr>
          <w:rFonts w:ascii="Times New Roman" w:hAnsi="Times New Roman"/>
          <w:sz w:val="28"/>
          <w:szCs w:val="28"/>
        </w:rPr>
        <w:fldChar w:fldCharType="begin"/>
      </w:r>
      <w:r w:rsidRPr="00C3507C">
        <w:rPr>
          <w:rFonts w:ascii="Times New Roman" w:hAnsi="Times New Roman"/>
          <w:sz w:val="28"/>
          <w:szCs w:val="28"/>
        </w:rPr>
        <w:instrText xml:space="preserve"> QUOTE </w:instrText>
      </w:r>
      <w:r w:rsidR="00094F6F">
        <w:rPr>
          <w:rFonts w:ascii="Times New Roman" w:hAnsi="Times New Roman"/>
          <w:sz w:val="28"/>
          <w:szCs w:val="28"/>
        </w:rPr>
        <w:pict w14:anchorId="1A3AEEB2">
          <v:shape id="_x0000_i1027" type="#_x0000_t75" style="width:18pt;height:15.9pt" equationxml="&lt;">
            <v:imagedata r:id="rId26" o:title="" chromakey="white"/>
          </v:shape>
        </w:pict>
      </w:r>
      <w:r w:rsidRPr="00C3507C">
        <w:rPr>
          <w:rFonts w:ascii="Times New Roman" w:hAnsi="Times New Roman"/>
          <w:sz w:val="28"/>
          <w:szCs w:val="28"/>
        </w:rPr>
        <w:instrText xml:space="preserve"> </w:instrText>
      </w:r>
      <w:r w:rsidRPr="00C3507C">
        <w:rPr>
          <w:rFonts w:ascii="Times New Roman" w:hAnsi="Times New Roman"/>
          <w:sz w:val="28"/>
          <w:szCs w:val="28"/>
        </w:rPr>
        <w:fldChar w:fldCharType="separate"/>
      </w:r>
      <w:r w:rsidR="00094F6F">
        <w:rPr>
          <w:rFonts w:ascii="Times New Roman" w:hAnsi="Times New Roman"/>
          <w:sz w:val="28"/>
          <w:szCs w:val="28"/>
        </w:rPr>
        <w:pict w14:anchorId="61E3E75F">
          <v:shape id="_x0000_i1028" type="#_x0000_t75" style="width:18pt;height:15.9pt" equationxml="&lt;">
            <v:imagedata r:id="rId26" o:title="" chromakey="white"/>
          </v:shape>
        </w:pict>
      </w:r>
      <w:r w:rsidRPr="00C3507C">
        <w:rPr>
          <w:rFonts w:ascii="Times New Roman" w:hAnsi="Times New Roman"/>
          <w:sz w:val="28"/>
          <w:szCs w:val="28"/>
        </w:rPr>
        <w:fldChar w:fldCharType="end"/>
      </w:r>
      <w:r w:rsidRPr="00C3507C">
        <w:rPr>
          <w:rFonts w:ascii="Times New Roman" w:hAnsi="Times New Roman"/>
          <w:sz w:val="28"/>
          <w:szCs w:val="28"/>
        </w:rPr>
        <w:t xml:space="preserve"> – отклонения каждого из чисел этих рядов от их средних. </w:t>
      </w:r>
    </w:p>
    <w:p w14:paraId="7D30D7F8" w14:textId="77777777" w:rsidR="005C199B"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Средняя ошибка коэффициента корреляции вычислена по формуле:</w:t>
      </w:r>
    </w:p>
    <w:p w14:paraId="55DA4957" w14:textId="77777777" w:rsidR="005C199B" w:rsidRPr="00C3507C" w:rsidRDefault="005C199B" w:rsidP="005C199B">
      <w:pPr>
        <w:widowControl w:val="0"/>
        <w:spacing w:after="0" w:line="240" w:lineRule="auto"/>
        <w:ind w:firstLine="567"/>
        <w:jc w:val="both"/>
        <w:rPr>
          <w:rFonts w:ascii="Times New Roman" w:hAnsi="Times New Roman"/>
          <w:sz w:val="28"/>
          <w:szCs w:val="28"/>
        </w:rPr>
      </w:pPr>
    </w:p>
    <w:p w14:paraId="323C7F60" w14:textId="77777777" w:rsidR="005C199B" w:rsidRPr="00C3507C" w:rsidRDefault="00094F6F" w:rsidP="005C199B">
      <w:pPr>
        <w:widowControl w:val="0"/>
        <w:spacing w:after="0" w:line="240" w:lineRule="auto"/>
        <w:jc w:val="both"/>
        <w:rPr>
          <w:rFonts w:ascii="Times New Roman" w:hAnsi="Times New Roman"/>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r</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num>
            <m:den>
              <m:rad>
                <m:radPr>
                  <m:degHide m:val="1"/>
                  <m:ctrlPr>
                    <w:rPr>
                      <w:rFonts w:ascii="Cambria Math" w:hAnsi="Cambria Math"/>
                      <w:i/>
                      <w:sz w:val="28"/>
                      <w:szCs w:val="28"/>
                    </w:rPr>
                  </m:ctrlPr>
                </m:radPr>
                <m:deg/>
                <m:e>
                  <m:r>
                    <w:rPr>
                      <w:rFonts w:ascii="Cambria Math" w:hAnsi="Cambria Math"/>
                      <w:sz w:val="28"/>
                      <w:szCs w:val="28"/>
                    </w:rPr>
                    <m:t>n</m:t>
                  </m:r>
                </m:e>
              </m:rad>
            </m:den>
          </m:f>
        </m:oMath>
      </m:oMathPara>
    </w:p>
    <w:p w14:paraId="55EF4783" w14:textId="77777777" w:rsidR="005C199B" w:rsidRDefault="005C199B" w:rsidP="005C199B">
      <w:pPr>
        <w:widowControl w:val="0"/>
        <w:spacing w:after="0" w:line="240" w:lineRule="auto"/>
        <w:ind w:firstLine="567"/>
        <w:jc w:val="both"/>
        <w:rPr>
          <w:rFonts w:ascii="Times New Roman" w:hAnsi="Times New Roman"/>
          <w:sz w:val="28"/>
          <w:szCs w:val="28"/>
        </w:rPr>
      </w:pPr>
    </w:p>
    <w:p w14:paraId="57974AEC" w14:textId="77777777" w:rsidR="005C199B" w:rsidRPr="00C3507C" w:rsidRDefault="005C199B" w:rsidP="005C199B">
      <w:pPr>
        <w:widowControl w:val="0"/>
        <w:spacing w:after="0" w:line="240" w:lineRule="auto"/>
        <w:ind w:firstLine="567"/>
        <w:jc w:val="both"/>
        <w:rPr>
          <w:rFonts w:ascii="Times New Roman" w:hAnsi="Times New Roman"/>
          <w:sz w:val="28"/>
          <w:szCs w:val="28"/>
        </w:rPr>
      </w:pPr>
      <w:proofErr w:type="gramStart"/>
      <w:r w:rsidRPr="00C3507C">
        <w:rPr>
          <w:rFonts w:ascii="Times New Roman" w:hAnsi="Times New Roman"/>
          <w:sz w:val="28"/>
          <w:szCs w:val="28"/>
        </w:rPr>
        <w:t>где</w:t>
      </w:r>
      <w:proofErr w:type="gramEnd"/>
      <w:r w:rsidRPr="00C3507C">
        <w:rPr>
          <w:rFonts w:ascii="Times New Roman" w:hAnsi="Times New Roman"/>
          <w:sz w:val="28"/>
          <w:szCs w:val="28"/>
        </w:rPr>
        <w:t xml:space="preserve"> </w:t>
      </w:r>
      <w:r w:rsidRPr="00C3507C">
        <w:rPr>
          <w:rFonts w:ascii="Times New Roman" w:hAnsi="Times New Roman"/>
          <w:i/>
          <w:sz w:val="28"/>
          <w:szCs w:val="28"/>
          <w:lang w:val="en-US"/>
        </w:rPr>
        <w:t>r</w:t>
      </w:r>
      <w:r w:rsidRPr="00C3507C">
        <w:rPr>
          <w:rFonts w:ascii="Times New Roman" w:hAnsi="Times New Roman"/>
          <w:sz w:val="28"/>
          <w:szCs w:val="28"/>
        </w:rPr>
        <w:t xml:space="preserve"> – коэффициент корреляции, </w:t>
      </w:r>
      <w:r w:rsidRPr="00C3507C">
        <w:rPr>
          <w:rFonts w:ascii="Times New Roman" w:hAnsi="Times New Roman"/>
          <w:i/>
          <w:sz w:val="28"/>
          <w:szCs w:val="28"/>
          <w:lang w:val="en-US"/>
        </w:rPr>
        <w:t>n</w:t>
      </w:r>
      <w:r w:rsidRPr="00C3507C">
        <w:rPr>
          <w:rFonts w:ascii="Times New Roman" w:hAnsi="Times New Roman"/>
          <w:sz w:val="28"/>
          <w:szCs w:val="28"/>
        </w:rPr>
        <w:t xml:space="preserve"> – число парных членов в корреляционном ряде.</w:t>
      </w:r>
    </w:p>
    <w:p w14:paraId="622233DF" w14:textId="77777777" w:rsidR="005C199B"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Для оценки статистической значимости корреляции использована формула:</w:t>
      </w:r>
    </w:p>
    <w:p w14:paraId="552CE0AE" w14:textId="77777777" w:rsidR="005C199B" w:rsidRPr="00C3507C" w:rsidRDefault="005C199B" w:rsidP="005C199B">
      <w:pPr>
        <w:widowControl w:val="0"/>
        <w:spacing w:after="0" w:line="240" w:lineRule="auto"/>
        <w:ind w:firstLine="567"/>
        <w:jc w:val="both"/>
        <w:rPr>
          <w:rFonts w:ascii="Times New Roman" w:hAnsi="Times New Roman"/>
          <w:sz w:val="28"/>
          <w:szCs w:val="28"/>
        </w:rPr>
      </w:pPr>
    </w:p>
    <w:p w14:paraId="35B457EA" w14:textId="77777777" w:rsidR="005C199B" w:rsidRPr="00C3507C" w:rsidRDefault="005C199B" w:rsidP="005C199B">
      <w:pPr>
        <w:widowControl w:val="0"/>
        <w:spacing w:after="0" w:line="240" w:lineRule="auto"/>
        <w:jc w:val="both"/>
        <w:rPr>
          <w:rFonts w:ascii="Times New Roman" w:hAnsi="Times New Roman"/>
          <w:sz w:val="28"/>
          <w:szCs w:val="28"/>
        </w:rPr>
      </w:pPr>
      <m:oMathPara>
        <m:oMathParaPr>
          <m:jc m:val="center"/>
        </m:oMathParaPr>
        <m:oMath>
          <m:r>
            <w:rPr>
              <w:rFonts w:ascii="Cambria Math" w:hAnsi="Cambria Math"/>
              <w:sz w:val="28"/>
              <w:szCs w:val="28"/>
            </w:rPr>
            <m:t>t=</m:t>
          </m:r>
          <m:f>
            <m:fPr>
              <m:ctrlPr>
                <w:rPr>
                  <w:rFonts w:ascii="Cambria Math" w:hAnsi="Cambria Math"/>
                  <w:i/>
                  <w:sz w:val="28"/>
                  <w:szCs w:val="28"/>
                </w:rPr>
              </m:ctrlPr>
            </m:fPr>
            <m:num>
              <m:r>
                <w:rPr>
                  <w:rFonts w:ascii="Cambria Math" w:hAnsi="Cambria Math"/>
                  <w:sz w:val="28"/>
                  <w:szCs w:val="28"/>
                </w:rPr>
                <m:t>r</m:t>
              </m:r>
            </m:num>
            <m:den>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1-</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num>
                    <m:den>
                      <m:r>
                        <w:rPr>
                          <w:rFonts w:ascii="Cambria Math" w:hAnsi="Cambria Math"/>
                          <w:sz w:val="28"/>
                          <w:szCs w:val="28"/>
                        </w:rPr>
                        <m:t>n-2</m:t>
                      </m:r>
                    </m:den>
                  </m:f>
                </m:e>
              </m:rad>
            </m:den>
          </m:f>
        </m:oMath>
      </m:oMathPara>
    </w:p>
    <w:p w14:paraId="629D8AA4" w14:textId="77777777" w:rsidR="005C199B" w:rsidRPr="00C3507C" w:rsidRDefault="005C199B" w:rsidP="005C199B">
      <w:pPr>
        <w:widowControl w:val="0"/>
        <w:spacing w:after="0" w:line="240" w:lineRule="auto"/>
        <w:ind w:firstLine="567"/>
        <w:jc w:val="both"/>
        <w:rPr>
          <w:rFonts w:ascii="Times New Roman" w:hAnsi="Times New Roman"/>
          <w:sz w:val="28"/>
          <w:szCs w:val="28"/>
        </w:rPr>
      </w:pPr>
    </w:p>
    <w:p w14:paraId="50DC9F3A" w14:textId="77777777" w:rsidR="005C199B"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Чувствительность (</w:t>
      </w:r>
      <w:proofErr w:type="spellStart"/>
      <w:r w:rsidRPr="00C3507C">
        <w:rPr>
          <w:rFonts w:ascii="Times New Roman" w:hAnsi="Times New Roman"/>
          <w:i/>
          <w:sz w:val="28"/>
          <w:szCs w:val="28"/>
        </w:rPr>
        <w:t>Se</w:t>
      </w:r>
      <w:proofErr w:type="spellEnd"/>
      <w:r w:rsidRPr="00C3507C">
        <w:rPr>
          <w:rFonts w:ascii="Times New Roman" w:hAnsi="Times New Roman"/>
          <w:sz w:val="28"/>
          <w:szCs w:val="28"/>
        </w:rPr>
        <w:t>) – это пропорция правильных положительных результатов теста среди всех больных. Определяется по формуле:</w:t>
      </w:r>
    </w:p>
    <w:p w14:paraId="3AD55241" w14:textId="77777777" w:rsidR="005C199B" w:rsidRPr="00C3507C" w:rsidRDefault="005C199B" w:rsidP="005C199B">
      <w:pPr>
        <w:widowControl w:val="0"/>
        <w:spacing w:after="0" w:line="240" w:lineRule="auto"/>
        <w:ind w:firstLine="567"/>
        <w:jc w:val="both"/>
        <w:rPr>
          <w:rFonts w:ascii="Times New Roman" w:hAnsi="Times New Roman"/>
          <w:sz w:val="28"/>
          <w:szCs w:val="28"/>
        </w:rPr>
      </w:pPr>
    </w:p>
    <w:p w14:paraId="24C16DD1" w14:textId="77777777" w:rsidR="005C199B" w:rsidRPr="00C3507C" w:rsidRDefault="005C199B" w:rsidP="005C199B">
      <w:pPr>
        <w:widowControl w:val="0"/>
        <w:spacing w:after="0" w:line="240" w:lineRule="auto"/>
        <w:jc w:val="both"/>
        <w:rPr>
          <w:rFonts w:ascii="Times New Roman" w:hAnsi="Times New Roman"/>
          <w:sz w:val="28"/>
          <w:szCs w:val="28"/>
        </w:rPr>
      </w:pPr>
      <m:oMathPara>
        <m:oMath>
          <m:r>
            <w:rPr>
              <w:rFonts w:ascii="Cambria Math" w:hAnsi="Cambria Math"/>
              <w:sz w:val="28"/>
              <w:szCs w:val="28"/>
            </w:rPr>
            <m:t>Se=</m:t>
          </m:r>
          <m:f>
            <m:fPr>
              <m:ctrlPr>
                <w:rPr>
                  <w:rFonts w:ascii="Cambria Math" w:hAnsi="Cambria Math"/>
                  <w:i/>
                  <w:sz w:val="28"/>
                  <w:szCs w:val="28"/>
                </w:rPr>
              </m:ctrlPr>
            </m:fPr>
            <m:num>
              <m:r>
                <w:rPr>
                  <w:rFonts w:ascii="Cambria Math" w:hAnsi="Cambria Math"/>
                  <w:sz w:val="28"/>
                  <w:szCs w:val="28"/>
                </w:rPr>
                <m:t>TP</m:t>
              </m:r>
            </m:num>
            <m:den>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m:t>
                  </m:r>
                </m:sub>
              </m:sSub>
            </m:den>
          </m:f>
          <m:r>
            <w:rPr>
              <w:rFonts w:ascii="Cambria Math" w:hAnsi="Cambria Math"/>
              <w:sz w:val="28"/>
              <w:szCs w:val="28"/>
            </w:rPr>
            <m:t>×100%</m:t>
          </m:r>
        </m:oMath>
      </m:oMathPara>
    </w:p>
    <w:p w14:paraId="2B9EBB7A" w14:textId="77777777" w:rsidR="005C199B" w:rsidRPr="00C3507C" w:rsidRDefault="005C199B" w:rsidP="005C199B">
      <w:pPr>
        <w:widowControl w:val="0"/>
        <w:spacing w:after="0" w:line="240" w:lineRule="auto"/>
        <w:ind w:firstLine="567"/>
        <w:jc w:val="both"/>
        <w:rPr>
          <w:rFonts w:ascii="Times New Roman" w:hAnsi="Times New Roman"/>
          <w:sz w:val="28"/>
          <w:szCs w:val="28"/>
        </w:rPr>
      </w:pPr>
      <w:proofErr w:type="gramStart"/>
      <w:r w:rsidRPr="00C3507C">
        <w:rPr>
          <w:rFonts w:ascii="Times New Roman" w:hAnsi="Times New Roman"/>
          <w:sz w:val="28"/>
          <w:szCs w:val="28"/>
        </w:rPr>
        <w:t>где</w:t>
      </w:r>
      <w:proofErr w:type="gramEnd"/>
      <w:r w:rsidRPr="00C3507C">
        <w:rPr>
          <w:rFonts w:ascii="Times New Roman" w:hAnsi="Times New Roman"/>
          <w:sz w:val="28"/>
          <w:szCs w:val="28"/>
        </w:rPr>
        <w:t xml:space="preserve"> </w:t>
      </w:r>
      <w:proofErr w:type="spellStart"/>
      <w:r w:rsidRPr="00C3507C">
        <w:rPr>
          <w:rFonts w:ascii="Times New Roman" w:hAnsi="Times New Roman"/>
          <w:i/>
          <w:sz w:val="28"/>
          <w:szCs w:val="28"/>
        </w:rPr>
        <w:t>Se</w:t>
      </w:r>
      <w:proofErr w:type="spellEnd"/>
      <w:r w:rsidRPr="00C3507C">
        <w:rPr>
          <w:rFonts w:ascii="Times New Roman" w:hAnsi="Times New Roman"/>
          <w:sz w:val="28"/>
          <w:szCs w:val="28"/>
        </w:rPr>
        <w:t xml:space="preserve"> – чувствительность; </w:t>
      </w:r>
      <w:r w:rsidRPr="00C3507C">
        <w:rPr>
          <w:rFonts w:ascii="Times New Roman" w:hAnsi="Times New Roman"/>
          <w:i/>
          <w:sz w:val="28"/>
          <w:szCs w:val="28"/>
        </w:rPr>
        <w:t>TP</w:t>
      </w:r>
      <w:r w:rsidRPr="00C3507C">
        <w:rPr>
          <w:rFonts w:ascii="Times New Roman" w:hAnsi="Times New Roman"/>
          <w:sz w:val="28"/>
          <w:szCs w:val="28"/>
        </w:rPr>
        <w:t xml:space="preserve"> – верно положительные случаи; </w:t>
      </w:r>
      <w:r w:rsidRPr="00C3507C">
        <w:rPr>
          <w:rFonts w:ascii="Times New Roman" w:hAnsi="Times New Roman"/>
          <w:i/>
          <w:sz w:val="28"/>
          <w:szCs w:val="28"/>
        </w:rPr>
        <w:t>D</w:t>
      </w:r>
      <w:r w:rsidRPr="00C3507C">
        <w:rPr>
          <w:rFonts w:ascii="Times New Roman" w:hAnsi="Times New Roman"/>
          <w:i/>
          <w:sz w:val="28"/>
          <w:szCs w:val="28"/>
          <w:vertAlign w:val="subscript"/>
        </w:rPr>
        <w:t>+</w:t>
      </w:r>
      <w:r w:rsidRPr="00C3507C">
        <w:rPr>
          <w:rFonts w:ascii="Times New Roman" w:hAnsi="Times New Roman"/>
          <w:sz w:val="28"/>
          <w:szCs w:val="28"/>
        </w:rPr>
        <w:t xml:space="preserve"> – число больных искомым заболеванием.</w:t>
      </w:r>
    </w:p>
    <w:p w14:paraId="038AF4EA" w14:textId="77777777" w:rsidR="005C199B" w:rsidRDefault="005C199B" w:rsidP="005C199B">
      <w:pPr>
        <w:widowControl w:val="0"/>
        <w:spacing w:after="0" w:line="240" w:lineRule="auto"/>
        <w:ind w:firstLine="567"/>
        <w:jc w:val="both"/>
        <w:rPr>
          <w:rFonts w:ascii="Times New Roman" w:hAnsi="Times New Roman"/>
          <w:sz w:val="28"/>
          <w:szCs w:val="28"/>
        </w:rPr>
      </w:pPr>
    </w:p>
    <w:p w14:paraId="04E27453"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 xml:space="preserve">Чувствительность априори показывает, какова будет доля больных, у которых данное исследование даст положительный результат. Чем выше чувствительность теста, тем чаще с его помощью будет выявляться заболевание, тем, следовательно, он более эффективен. В то же время если такой </w:t>
      </w:r>
      <w:r w:rsidRPr="00C3507C">
        <w:rPr>
          <w:rFonts w:ascii="Times New Roman" w:hAnsi="Times New Roman"/>
          <w:sz w:val="28"/>
          <w:szCs w:val="28"/>
        </w:rPr>
        <w:lastRenderedPageBreak/>
        <w:t>высокочувствительный тест оказывается отрицательным, то наличие заболевания маловероятно. Поэтому их следует применять для исключения заболеваний. В силу этого высокочувствительные тесты не редко именуют идентификаторами. Тесты с высокой чувствительностью рекомендуется применять на ранних этапах диагностического процесса, когда требуется сузить круг предполагаемых заболеваний. Необходимо также отметить, что высокочувствительный тест дает много «ложных тревог», что требует дополнительных финансовых затрат на дальнейшее обследование.</w:t>
      </w:r>
    </w:p>
    <w:p w14:paraId="7E955A48" w14:textId="77777777" w:rsidR="005C199B"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Специфичность (</w:t>
      </w:r>
      <w:proofErr w:type="spellStart"/>
      <w:r w:rsidRPr="00C3507C">
        <w:rPr>
          <w:rFonts w:ascii="Times New Roman" w:hAnsi="Times New Roman"/>
          <w:i/>
          <w:sz w:val="28"/>
          <w:szCs w:val="28"/>
        </w:rPr>
        <w:t>Sp</w:t>
      </w:r>
      <w:proofErr w:type="spellEnd"/>
      <w:r w:rsidRPr="00C3507C">
        <w:rPr>
          <w:rFonts w:ascii="Times New Roman" w:hAnsi="Times New Roman"/>
          <w:sz w:val="28"/>
          <w:szCs w:val="28"/>
        </w:rPr>
        <w:t>) – это пропорция правильных отрицательных результатов теста среди здоровых пациентов. Данный показатель определяется по формуле:</w:t>
      </w:r>
    </w:p>
    <w:p w14:paraId="42B57CF5" w14:textId="77777777" w:rsidR="005C199B" w:rsidRPr="00C3507C" w:rsidRDefault="005C199B" w:rsidP="005C199B">
      <w:pPr>
        <w:widowControl w:val="0"/>
        <w:spacing w:after="0" w:line="240" w:lineRule="auto"/>
        <w:ind w:firstLine="567"/>
        <w:jc w:val="both"/>
        <w:rPr>
          <w:rFonts w:ascii="Times New Roman" w:hAnsi="Times New Roman"/>
          <w:sz w:val="28"/>
          <w:szCs w:val="28"/>
        </w:rPr>
      </w:pPr>
    </w:p>
    <w:p w14:paraId="4787A622" w14:textId="77777777" w:rsidR="005C199B" w:rsidRPr="00C3507C" w:rsidRDefault="005C199B" w:rsidP="005C199B">
      <w:pPr>
        <w:widowControl w:val="0"/>
        <w:spacing w:after="0" w:line="240" w:lineRule="auto"/>
        <w:jc w:val="both"/>
        <w:rPr>
          <w:rFonts w:ascii="Times New Roman" w:hAnsi="Times New Roman"/>
          <w:sz w:val="28"/>
          <w:szCs w:val="28"/>
        </w:rPr>
      </w:pPr>
      <m:oMathPara>
        <m:oMath>
          <m:r>
            <w:rPr>
              <w:rFonts w:ascii="Cambria Math" w:hAnsi="Cambria Math"/>
              <w:sz w:val="28"/>
              <w:szCs w:val="28"/>
            </w:rPr>
            <m:t>S</m:t>
          </m:r>
          <m:r>
            <w:rPr>
              <w:rFonts w:ascii="Cambria Math" w:hAnsi="Cambria Math"/>
              <w:sz w:val="28"/>
              <w:szCs w:val="28"/>
              <w:lang w:val="en-US"/>
            </w:rPr>
            <m:t>p</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TN</m:t>
              </m:r>
            </m:num>
            <m:den>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m:t>
                  </m:r>
                </m:sub>
              </m:sSub>
            </m:den>
          </m:f>
          <m:r>
            <w:rPr>
              <w:rFonts w:ascii="Cambria Math" w:hAnsi="Cambria Math"/>
              <w:sz w:val="28"/>
              <w:szCs w:val="28"/>
            </w:rPr>
            <m:t>×100%</m:t>
          </m:r>
        </m:oMath>
      </m:oMathPara>
    </w:p>
    <w:p w14:paraId="39FD4C1B" w14:textId="77777777" w:rsidR="005C199B" w:rsidRDefault="005C199B" w:rsidP="005C199B">
      <w:pPr>
        <w:widowControl w:val="0"/>
        <w:spacing w:after="0" w:line="240" w:lineRule="auto"/>
        <w:ind w:firstLine="567"/>
        <w:jc w:val="both"/>
        <w:rPr>
          <w:rFonts w:ascii="Times New Roman" w:hAnsi="Times New Roman"/>
          <w:sz w:val="28"/>
          <w:szCs w:val="28"/>
        </w:rPr>
      </w:pPr>
    </w:p>
    <w:p w14:paraId="455D74E9" w14:textId="77777777" w:rsidR="005C199B" w:rsidRDefault="005C199B" w:rsidP="005C199B">
      <w:pPr>
        <w:widowControl w:val="0"/>
        <w:spacing w:after="0" w:line="240" w:lineRule="auto"/>
        <w:ind w:firstLine="567"/>
        <w:jc w:val="both"/>
        <w:rPr>
          <w:rFonts w:ascii="Times New Roman" w:hAnsi="Times New Roman"/>
          <w:sz w:val="28"/>
          <w:szCs w:val="28"/>
        </w:rPr>
      </w:pPr>
      <w:proofErr w:type="gramStart"/>
      <w:r w:rsidRPr="00C3507C">
        <w:rPr>
          <w:rFonts w:ascii="Times New Roman" w:hAnsi="Times New Roman"/>
          <w:sz w:val="28"/>
          <w:szCs w:val="28"/>
        </w:rPr>
        <w:t>где</w:t>
      </w:r>
      <w:proofErr w:type="gramEnd"/>
      <w:r w:rsidRPr="00C3507C">
        <w:rPr>
          <w:rFonts w:ascii="Times New Roman" w:hAnsi="Times New Roman"/>
          <w:sz w:val="28"/>
          <w:szCs w:val="28"/>
        </w:rPr>
        <w:t xml:space="preserve"> </w:t>
      </w:r>
      <w:proofErr w:type="spellStart"/>
      <w:r w:rsidRPr="00C3507C">
        <w:rPr>
          <w:rFonts w:ascii="Times New Roman" w:hAnsi="Times New Roman"/>
          <w:i/>
          <w:sz w:val="28"/>
          <w:szCs w:val="28"/>
        </w:rPr>
        <w:t>Sp</w:t>
      </w:r>
      <w:proofErr w:type="spellEnd"/>
      <w:r w:rsidRPr="00C3507C">
        <w:rPr>
          <w:rFonts w:ascii="Times New Roman" w:hAnsi="Times New Roman"/>
          <w:sz w:val="28"/>
          <w:szCs w:val="28"/>
        </w:rPr>
        <w:t xml:space="preserve"> – специфичность; </w:t>
      </w:r>
      <w:r w:rsidRPr="00C3507C">
        <w:rPr>
          <w:rFonts w:ascii="Times New Roman" w:hAnsi="Times New Roman"/>
          <w:i/>
          <w:sz w:val="28"/>
          <w:szCs w:val="28"/>
        </w:rPr>
        <w:t>TN</w:t>
      </w:r>
      <w:r w:rsidRPr="00C3507C">
        <w:rPr>
          <w:rFonts w:ascii="Times New Roman" w:hAnsi="Times New Roman"/>
          <w:sz w:val="28"/>
          <w:szCs w:val="28"/>
        </w:rPr>
        <w:t xml:space="preserve"> – истинно отрицательные случаи; </w:t>
      </w:r>
      <w:r w:rsidRPr="00C3507C">
        <w:rPr>
          <w:rFonts w:ascii="Times New Roman" w:hAnsi="Times New Roman"/>
          <w:i/>
          <w:sz w:val="28"/>
          <w:szCs w:val="28"/>
        </w:rPr>
        <w:t>D</w:t>
      </w:r>
      <w:r w:rsidRPr="00C3507C">
        <w:rPr>
          <w:rFonts w:ascii="Times New Roman" w:hAnsi="Times New Roman"/>
          <w:sz w:val="28"/>
          <w:szCs w:val="28"/>
          <w:vertAlign w:val="subscript"/>
        </w:rPr>
        <w:t>–</w:t>
      </w:r>
      <w:r w:rsidRPr="00C3507C">
        <w:rPr>
          <w:rFonts w:ascii="Times New Roman" w:hAnsi="Times New Roman"/>
          <w:sz w:val="28"/>
          <w:szCs w:val="28"/>
        </w:rPr>
        <w:t xml:space="preserve"> – здоровые пациенты.</w:t>
      </w:r>
    </w:p>
    <w:p w14:paraId="2D5AE4F7" w14:textId="77777777" w:rsidR="005C199B" w:rsidRPr="00C3507C" w:rsidRDefault="005C199B" w:rsidP="005C199B">
      <w:pPr>
        <w:widowControl w:val="0"/>
        <w:spacing w:after="0" w:line="240" w:lineRule="auto"/>
        <w:ind w:firstLine="567"/>
        <w:jc w:val="both"/>
        <w:rPr>
          <w:rFonts w:ascii="Times New Roman" w:hAnsi="Times New Roman"/>
          <w:sz w:val="28"/>
          <w:szCs w:val="28"/>
        </w:rPr>
      </w:pPr>
    </w:p>
    <w:p w14:paraId="130E94CD"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Определив специфичность, можно априори предполагать, какова доля здоровых лиц, у которых это исследование даст отрицательный результат. Чем выше специфичность метода, тем надежнее с его помощью подтверждается заболевание, тем, следовательно, он более эффективен. Высокоспецифичные тесты называются в диагностике дискриминаторами. Тестирование эффективно на втором этапе диагностики, когда круг предполагаемых заболеваний сужен и необходимо с большой уверенностью доказать наличие болезни. Отрицательным фактором высокоспецифичного теста является тот факт, что его использование сопровождается весьма значительным числом пропусков заболевания.</w:t>
      </w:r>
    </w:p>
    <w:p w14:paraId="316F3160"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 xml:space="preserve">Из сказанного следует очень важный практический вывод, который состоит в том, что в медицинской диагностике желателен тест, который был бы априорно и </w:t>
      </w:r>
      <w:proofErr w:type="spellStart"/>
      <w:r w:rsidRPr="00C3507C">
        <w:rPr>
          <w:rFonts w:ascii="Times New Roman" w:hAnsi="Times New Roman"/>
          <w:sz w:val="28"/>
          <w:szCs w:val="28"/>
        </w:rPr>
        <w:t>высокоспецифичен</w:t>
      </w:r>
      <w:proofErr w:type="spellEnd"/>
      <w:r w:rsidRPr="00C3507C">
        <w:rPr>
          <w:rFonts w:ascii="Times New Roman" w:hAnsi="Times New Roman"/>
          <w:sz w:val="28"/>
          <w:szCs w:val="28"/>
        </w:rPr>
        <w:t>, и высокочувствителен. Однако в реальности этого достичь нельзя, так как повышение чувствительности теста неизбежно будет сопровождаться потерей его специфичности и, наоборот, повышение специфичности теста сопряжено со снижением его чувствительности. Отсюда следует вывод: чтобы создать оптимальную диагностическую систему, нужно найти компромисс между показателями чувствительности и специфичности, при которых финансовые затраты на обследование будут оптимально отражать баланс между рисками «ложных тревог» и пропуска заболеваний.</w:t>
      </w:r>
    </w:p>
    <w:p w14:paraId="11C5EC7F" w14:textId="77777777" w:rsidR="005C199B"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Точность (</w:t>
      </w:r>
      <w:proofErr w:type="spellStart"/>
      <w:r w:rsidRPr="00C3507C">
        <w:rPr>
          <w:rFonts w:ascii="Times New Roman" w:hAnsi="Times New Roman"/>
          <w:i/>
          <w:sz w:val="28"/>
          <w:szCs w:val="28"/>
        </w:rPr>
        <w:t>Ac</w:t>
      </w:r>
      <w:proofErr w:type="spellEnd"/>
      <w:r w:rsidRPr="00C3507C">
        <w:rPr>
          <w:rFonts w:ascii="Times New Roman" w:hAnsi="Times New Roman"/>
          <w:sz w:val="28"/>
          <w:szCs w:val="28"/>
        </w:rPr>
        <w:t>) – это пропорция правильных результатов теста среди всех обследованных пациентов. Она определяется по формуле:</w:t>
      </w:r>
    </w:p>
    <w:p w14:paraId="710E7596" w14:textId="77777777" w:rsidR="005C199B" w:rsidRPr="00C3507C" w:rsidRDefault="005C199B" w:rsidP="005C199B">
      <w:pPr>
        <w:widowControl w:val="0"/>
        <w:spacing w:after="0" w:line="240" w:lineRule="auto"/>
        <w:ind w:firstLine="567"/>
        <w:jc w:val="both"/>
        <w:rPr>
          <w:rFonts w:ascii="Times New Roman" w:hAnsi="Times New Roman"/>
          <w:sz w:val="28"/>
          <w:szCs w:val="28"/>
        </w:rPr>
      </w:pPr>
    </w:p>
    <w:p w14:paraId="52C1F733" w14:textId="77777777" w:rsidR="005C199B" w:rsidRPr="00C3507C" w:rsidRDefault="005C199B" w:rsidP="005C199B">
      <w:pPr>
        <w:widowControl w:val="0"/>
        <w:spacing w:after="0" w:line="240" w:lineRule="auto"/>
        <w:jc w:val="both"/>
        <w:rPr>
          <w:rFonts w:ascii="Times New Roman" w:hAnsi="Times New Roman"/>
          <w:sz w:val="28"/>
          <w:szCs w:val="28"/>
        </w:rPr>
      </w:pPr>
      <m:oMathPara>
        <m:oMath>
          <m:r>
            <w:rPr>
              <w:rFonts w:ascii="Cambria Math" w:hAnsi="Cambria Math"/>
              <w:sz w:val="28"/>
              <w:szCs w:val="28"/>
              <w:lang w:val="en-US"/>
            </w:rPr>
            <m:t>Ac</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TP+TN</m:t>
              </m:r>
            </m:num>
            <m:den>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m:t>
                  </m:r>
                </m:sub>
              </m:s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m:t>
                  </m:r>
                </m:sub>
              </m:sSub>
            </m:den>
          </m:f>
          <m:r>
            <w:rPr>
              <w:rFonts w:ascii="Cambria Math" w:hAnsi="Cambria Math"/>
              <w:sz w:val="28"/>
              <w:szCs w:val="28"/>
            </w:rPr>
            <m:t>×100%</m:t>
          </m:r>
        </m:oMath>
      </m:oMathPara>
    </w:p>
    <w:p w14:paraId="7635352B" w14:textId="77777777" w:rsidR="005C199B" w:rsidRDefault="005C199B" w:rsidP="005C199B">
      <w:pPr>
        <w:widowControl w:val="0"/>
        <w:spacing w:after="0" w:line="240" w:lineRule="auto"/>
        <w:ind w:firstLine="567"/>
        <w:jc w:val="both"/>
        <w:rPr>
          <w:rFonts w:ascii="Times New Roman" w:hAnsi="Times New Roman"/>
          <w:sz w:val="28"/>
          <w:szCs w:val="28"/>
        </w:rPr>
      </w:pPr>
    </w:p>
    <w:p w14:paraId="7245A40F" w14:textId="77777777" w:rsidR="005C199B" w:rsidRPr="00C3507C" w:rsidRDefault="005C199B" w:rsidP="005C199B">
      <w:pPr>
        <w:widowControl w:val="0"/>
        <w:spacing w:after="0" w:line="240" w:lineRule="auto"/>
        <w:ind w:firstLine="567"/>
        <w:jc w:val="both"/>
        <w:rPr>
          <w:rFonts w:ascii="Times New Roman" w:hAnsi="Times New Roman"/>
          <w:sz w:val="28"/>
          <w:szCs w:val="28"/>
        </w:rPr>
      </w:pPr>
      <w:proofErr w:type="gramStart"/>
      <w:r w:rsidRPr="00C3507C">
        <w:rPr>
          <w:rFonts w:ascii="Times New Roman" w:hAnsi="Times New Roman"/>
          <w:sz w:val="28"/>
          <w:szCs w:val="28"/>
        </w:rPr>
        <w:t>где</w:t>
      </w:r>
      <w:proofErr w:type="gramEnd"/>
      <w:r w:rsidRPr="00C3507C">
        <w:rPr>
          <w:rFonts w:ascii="Times New Roman" w:hAnsi="Times New Roman"/>
          <w:sz w:val="28"/>
          <w:szCs w:val="28"/>
        </w:rPr>
        <w:t xml:space="preserve"> </w:t>
      </w:r>
      <w:proofErr w:type="spellStart"/>
      <w:r w:rsidRPr="00C3507C">
        <w:rPr>
          <w:rFonts w:ascii="Times New Roman" w:hAnsi="Times New Roman"/>
          <w:i/>
          <w:sz w:val="28"/>
          <w:szCs w:val="28"/>
        </w:rPr>
        <w:t>Ac</w:t>
      </w:r>
      <w:proofErr w:type="spellEnd"/>
      <w:r w:rsidRPr="00C3507C">
        <w:rPr>
          <w:rFonts w:ascii="Times New Roman" w:hAnsi="Times New Roman"/>
          <w:sz w:val="28"/>
          <w:szCs w:val="28"/>
        </w:rPr>
        <w:t xml:space="preserve"> – точность; </w:t>
      </w:r>
      <w:r w:rsidRPr="00C3507C">
        <w:rPr>
          <w:rFonts w:ascii="Times New Roman" w:hAnsi="Times New Roman"/>
          <w:i/>
          <w:sz w:val="28"/>
          <w:szCs w:val="28"/>
        </w:rPr>
        <w:t>TP</w:t>
      </w:r>
      <w:r w:rsidRPr="00C3507C">
        <w:rPr>
          <w:rFonts w:ascii="Times New Roman" w:hAnsi="Times New Roman"/>
          <w:sz w:val="28"/>
          <w:szCs w:val="28"/>
        </w:rPr>
        <w:t xml:space="preserve"> – истинно положительные решения; </w:t>
      </w:r>
      <w:r w:rsidRPr="00C3507C">
        <w:rPr>
          <w:rFonts w:ascii="Times New Roman" w:hAnsi="Times New Roman"/>
          <w:i/>
          <w:sz w:val="28"/>
          <w:szCs w:val="28"/>
        </w:rPr>
        <w:t>TN</w:t>
      </w:r>
      <w:r w:rsidRPr="00C3507C">
        <w:rPr>
          <w:rFonts w:ascii="Times New Roman" w:hAnsi="Times New Roman"/>
          <w:sz w:val="28"/>
          <w:szCs w:val="28"/>
        </w:rPr>
        <w:t xml:space="preserve"> – истинно </w:t>
      </w:r>
      <w:r w:rsidRPr="00C3507C">
        <w:rPr>
          <w:rFonts w:ascii="Times New Roman" w:hAnsi="Times New Roman"/>
          <w:sz w:val="28"/>
          <w:szCs w:val="28"/>
        </w:rPr>
        <w:lastRenderedPageBreak/>
        <w:t xml:space="preserve">отрицательные решения; </w:t>
      </w:r>
      <w:r w:rsidRPr="00C3507C">
        <w:rPr>
          <w:rFonts w:ascii="Times New Roman" w:hAnsi="Times New Roman"/>
          <w:i/>
          <w:sz w:val="28"/>
          <w:szCs w:val="28"/>
        </w:rPr>
        <w:t>D</w:t>
      </w:r>
      <w:r w:rsidRPr="00C3507C">
        <w:rPr>
          <w:rFonts w:ascii="Times New Roman" w:hAnsi="Times New Roman"/>
          <w:i/>
          <w:sz w:val="28"/>
          <w:szCs w:val="28"/>
          <w:vertAlign w:val="subscript"/>
        </w:rPr>
        <w:t>+</w:t>
      </w:r>
      <w:r w:rsidRPr="00C3507C">
        <w:rPr>
          <w:rFonts w:ascii="Times New Roman" w:hAnsi="Times New Roman"/>
          <w:sz w:val="28"/>
          <w:szCs w:val="28"/>
        </w:rPr>
        <w:t xml:space="preserve"> – все здоровые пациенты; </w:t>
      </w:r>
      <w:r w:rsidRPr="00C3507C">
        <w:rPr>
          <w:rFonts w:ascii="Times New Roman" w:hAnsi="Times New Roman"/>
          <w:i/>
          <w:sz w:val="28"/>
          <w:szCs w:val="28"/>
        </w:rPr>
        <w:t>D</w:t>
      </w:r>
      <w:r w:rsidRPr="00C3507C">
        <w:rPr>
          <w:rFonts w:ascii="Times New Roman" w:hAnsi="Times New Roman"/>
          <w:i/>
          <w:sz w:val="28"/>
          <w:szCs w:val="28"/>
          <w:vertAlign w:val="subscript"/>
        </w:rPr>
        <w:t>–</w:t>
      </w:r>
      <w:r w:rsidRPr="00C3507C">
        <w:rPr>
          <w:rFonts w:ascii="Times New Roman" w:hAnsi="Times New Roman"/>
          <w:sz w:val="28"/>
          <w:szCs w:val="28"/>
        </w:rPr>
        <w:t xml:space="preserve"> – все больные пациенты.</w:t>
      </w:r>
    </w:p>
    <w:p w14:paraId="74B3D3F3"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Точность, таким образом, отражает, сколько всего правильных ответов получено в результате испытаний данного теста.</w:t>
      </w:r>
    </w:p>
    <w:p w14:paraId="31D6FEE6"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 xml:space="preserve">Для правильного понимания диагностической эффективности методов исследования важную роль играют критерии апостериорной вероятности – </w:t>
      </w:r>
      <w:proofErr w:type="spellStart"/>
      <w:r w:rsidRPr="00C3507C">
        <w:rPr>
          <w:rFonts w:ascii="Times New Roman" w:hAnsi="Times New Roman"/>
          <w:sz w:val="28"/>
          <w:szCs w:val="28"/>
        </w:rPr>
        <w:t>прогностичность</w:t>
      </w:r>
      <w:proofErr w:type="spellEnd"/>
      <w:r w:rsidRPr="00C3507C">
        <w:rPr>
          <w:rFonts w:ascii="Times New Roman" w:hAnsi="Times New Roman"/>
          <w:sz w:val="28"/>
          <w:szCs w:val="28"/>
        </w:rPr>
        <w:t xml:space="preserve"> положительного и отрицательного результатов. Именно эти критерии показывают, какова вероятность заболевания (или его отсутствия) при известном результате исследования. Нетрудно видеть, что апостериорные показатели имеют большее значение, чем априорные.</w:t>
      </w:r>
    </w:p>
    <w:p w14:paraId="1FFD8D81" w14:textId="77777777" w:rsidR="005C199B" w:rsidRDefault="005C199B" w:rsidP="005C199B">
      <w:pPr>
        <w:widowControl w:val="0"/>
        <w:spacing w:after="0" w:line="240" w:lineRule="auto"/>
        <w:ind w:firstLine="567"/>
        <w:jc w:val="both"/>
        <w:rPr>
          <w:rFonts w:ascii="Times New Roman" w:hAnsi="Times New Roman"/>
          <w:sz w:val="28"/>
          <w:szCs w:val="28"/>
        </w:rPr>
      </w:pPr>
      <w:proofErr w:type="spellStart"/>
      <w:r w:rsidRPr="00C3507C">
        <w:rPr>
          <w:rFonts w:ascii="Times New Roman" w:hAnsi="Times New Roman"/>
          <w:sz w:val="28"/>
          <w:szCs w:val="28"/>
        </w:rPr>
        <w:t>Прогностичность</w:t>
      </w:r>
      <w:proofErr w:type="spellEnd"/>
      <w:r w:rsidRPr="00C3507C">
        <w:rPr>
          <w:rFonts w:ascii="Times New Roman" w:hAnsi="Times New Roman"/>
          <w:sz w:val="28"/>
          <w:szCs w:val="28"/>
        </w:rPr>
        <w:t xml:space="preserve"> положительного результата (+VP) – это пропорция правильно положительных случаев среди всех положительных значений теста. Данный показатель определяется по формуле:</w:t>
      </w:r>
    </w:p>
    <w:p w14:paraId="5D2A606F" w14:textId="77777777" w:rsidR="005C199B" w:rsidRPr="00C3507C" w:rsidRDefault="005C199B" w:rsidP="005C199B">
      <w:pPr>
        <w:widowControl w:val="0"/>
        <w:spacing w:after="0" w:line="240" w:lineRule="auto"/>
        <w:ind w:firstLine="567"/>
        <w:jc w:val="both"/>
        <w:rPr>
          <w:rFonts w:ascii="Times New Roman" w:hAnsi="Times New Roman"/>
          <w:sz w:val="28"/>
          <w:szCs w:val="28"/>
        </w:rPr>
      </w:pPr>
    </w:p>
    <w:p w14:paraId="3DC2629C" w14:textId="77777777" w:rsidR="005C199B" w:rsidRPr="00C3507C" w:rsidRDefault="005C199B" w:rsidP="005C199B">
      <w:pPr>
        <w:widowControl w:val="0"/>
        <w:spacing w:after="0" w:line="240" w:lineRule="auto"/>
        <w:jc w:val="both"/>
        <w:rPr>
          <w:rFonts w:ascii="Times New Roman" w:hAnsi="Times New Roman"/>
          <w:sz w:val="28"/>
          <w:szCs w:val="28"/>
        </w:rPr>
      </w:pPr>
      <m:oMathPara>
        <m:oMath>
          <m:r>
            <w:rPr>
              <w:rFonts w:ascii="Cambria Math" w:hAnsi="Cambria Math"/>
              <w:sz w:val="28"/>
              <w:szCs w:val="28"/>
              <w:lang w:val="en-US"/>
            </w:rPr>
            <m:t>+PV</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TP</m:t>
              </m:r>
            </m:num>
            <m:den>
              <m:r>
                <w:rPr>
                  <w:rFonts w:ascii="Cambria Math" w:hAnsi="Cambria Math"/>
                  <w:sz w:val="28"/>
                  <w:szCs w:val="28"/>
                </w:rPr>
                <m:t>TP+</m:t>
              </m:r>
              <m:r>
                <w:rPr>
                  <w:rFonts w:ascii="Cambria Math" w:hAnsi="Cambria Math"/>
                  <w:sz w:val="28"/>
                  <w:szCs w:val="28"/>
                  <w:lang w:val="en-US"/>
                </w:rPr>
                <m:t>F</m:t>
              </m:r>
              <m:r>
                <w:rPr>
                  <w:rFonts w:ascii="Cambria Math" w:hAnsi="Cambria Math"/>
                  <w:sz w:val="28"/>
                  <w:szCs w:val="28"/>
                </w:rPr>
                <m:t>N</m:t>
              </m:r>
            </m:den>
          </m:f>
          <m:r>
            <w:rPr>
              <w:rFonts w:ascii="Cambria Math" w:hAnsi="Cambria Math"/>
              <w:sz w:val="28"/>
              <w:szCs w:val="28"/>
            </w:rPr>
            <m:t>×100%</m:t>
          </m:r>
        </m:oMath>
      </m:oMathPara>
    </w:p>
    <w:p w14:paraId="654DBDCE" w14:textId="77777777" w:rsidR="005C199B" w:rsidRDefault="005C199B" w:rsidP="005C199B">
      <w:pPr>
        <w:widowControl w:val="0"/>
        <w:spacing w:after="0" w:line="240" w:lineRule="auto"/>
        <w:ind w:firstLine="567"/>
        <w:jc w:val="both"/>
        <w:rPr>
          <w:rFonts w:ascii="Times New Roman" w:hAnsi="Times New Roman"/>
          <w:sz w:val="28"/>
          <w:szCs w:val="28"/>
        </w:rPr>
      </w:pPr>
    </w:p>
    <w:p w14:paraId="72777E72" w14:textId="77777777" w:rsidR="005C199B" w:rsidRPr="00C3507C" w:rsidRDefault="005C199B" w:rsidP="005C199B">
      <w:pPr>
        <w:widowControl w:val="0"/>
        <w:spacing w:after="0" w:line="240" w:lineRule="auto"/>
        <w:ind w:firstLine="567"/>
        <w:jc w:val="both"/>
        <w:rPr>
          <w:rFonts w:ascii="Times New Roman" w:hAnsi="Times New Roman"/>
          <w:sz w:val="28"/>
          <w:szCs w:val="28"/>
        </w:rPr>
      </w:pPr>
      <w:proofErr w:type="gramStart"/>
      <w:r w:rsidRPr="00C3507C">
        <w:rPr>
          <w:rFonts w:ascii="Times New Roman" w:hAnsi="Times New Roman"/>
          <w:sz w:val="28"/>
          <w:szCs w:val="28"/>
        </w:rPr>
        <w:t>где</w:t>
      </w:r>
      <w:proofErr w:type="gramEnd"/>
      <w:r w:rsidRPr="00C3507C">
        <w:rPr>
          <w:rFonts w:ascii="Times New Roman" w:hAnsi="Times New Roman"/>
          <w:sz w:val="28"/>
          <w:szCs w:val="28"/>
        </w:rPr>
        <w:t xml:space="preserve"> </w:t>
      </w:r>
      <w:r w:rsidRPr="00C3507C">
        <w:rPr>
          <w:rFonts w:ascii="Times New Roman" w:hAnsi="Times New Roman"/>
          <w:i/>
          <w:sz w:val="28"/>
          <w:szCs w:val="28"/>
        </w:rPr>
        <w:t>+PV</w:t>
      </w:r>
      <w:r w:rsidRPr="00C3507C">
        <w:rPr>
          <w:rFonts w:ascii="Times New Roman" w:hAnsi="Times New Roman"/>
          <w:sz w:val="28"/>
          <w:szCs w:val="28"/>
        </w:rPr>
        <w:t xml:space="preserve"> – </w:t>
      </w:r>
      <w:proofErr w:type="spellStart"/>
      <w:r w:rsidRPr="00C3507C">
        <w:rPr>
          <w:rFonts w:ascii="Times New Roman" w:hAnsi="Times New Roman"/>
          <w:sz w:val="28"/>
          <w:szCs w:val="28"/>
        </w:rPr>
        <w:t>прогностичность</w:t>
      </w:r>
      <w:proofErr w:type="spellEnd"/>
      <w:r w:rsidRPr="00C3507C">
        <w:rPr>
          <w:rFonts w:ascii="Times New Roman" w:hAnsi="Times New Roman"/>
          <w:sz w:val="28"/>
          <w:szCs w:val="28"/>
        </w:rPr>
        <w:t xml:space="preserve"> положительного результата; </w:t>
      </w:r>
      <w:r w:rsidRPr="00C3507C">
        <w:rPr>
          <w:rFonts w:ascii="Times New Roman" w:hAnsi="Times New Roman"/>
          <w:i/>
          <w:sz w:val="28"/>
          <w:szCs w:val="28"/>
        </w:rPr>
        <w:t>TP</w:t>
      </w:r>
      <w:r w:rsidRPr="00C3507C">
        <w:rPr>
          <w:rFonts w:ascii="Times New Roman" w:hAnsi="Times New Roman"/>
          <w:sz w:val="28"/>
          <w:szCs w:val="28"/>
        </w:rPr>
        <w:t xml:space="preserve"> – истинно положительные случаи; </w:t>
      </w:r>
      <w:r w:rsidRPr="00C3507C">
        <w:rPr>
          <w:rFonts w:ascii="Times New Roman" w:hAnsi="Times New Roman"/>
          <w:i/>
          <w:sz w:val="28"/>
          <w:szCs w:val="28"/>
        </w:rPr>
        <w:t>FN</w:t>
      </w:r>
      <w:r w:rsidRPr="00C3507C">
        <w:rPr>
          <w:rFonts w:ascii="Times New Roman" w:hAnsi="Times New Roman"/>
          <w:sz w:val="28"/>
          <w:szCs w:val="28"/>
        </w:rPr>
        <w:t xml:space="preserve"> – ложно отрицательные случаи.</w:t>
      </w:r>
    </w:p>
    <w:p w14:paraId="6D3AC9DB" w14:textId="77777777" w:rsidR="005C199B" w:rsidRPr="00C3507C" w:rsidRDefault="005C199B" w:rsidP="005C199B">
      <w:pPr>
        <w:widowControl w:val="0"/>
        <w:spacing w:after="0" w:line="240" w:lineRule="auto"/>
        <w:ind w:firstLine="567"/>
        <w:jc w:val="both"/>
        <w:rPr>
          <w:rFonts w:ascii="Times New Roman" w:hAnsi="Times New Roman"/>
          <w:sz w:val="28"/>
          <w:szCs w:val="28"/>
        </w:rPr>
      </w:pPr>
      <w:proofErr w:type="spellStart"/>
      <w:r w:rsidRPr="00C3507C">
        <w:rPr>
          <w:rFonts w:ascii="Times New Roman" w:hAnsi="Times New Roman"/>
          <w:sz w:val="28"/>
          <w:szCs w:val="28"/>
        </w:rPr>
        <w:t>Прогностичность</w:t>
      </w:r>
      <w:proofErr w:type="spellEnd"/>
      <w:r w:rsidRPr="00C3507C">
        <w:rPr>
          <w:rFonts w:ascii="Times New Roman" w:hAnsi="Times New Roman"/>
          <w:sz w:val="28"/>
          <w:szCs w:val="28"/>
        </w:rPr>
        <w:t xml:space="preserve"> положительного результата, таким образом, напрямую показывает, насколько велика вероятность болезни при положительных результатах исследования.</w:t>
      </w:r>
    </w:p>
    <w:p w14:paraId="035ECCE0" w14:textId="77777777" w:rsidR="005C199B" w:rsidRDefault="005C199B" w:rsidP="005C199B">
      <w:pPr>
        <w:widowControl w:val="0"/>
        <w:spacing w:after="0" w:line="240" w:lineRule="auto"/>
        <w:ind w:firstLine="567"/>
        <w:jc w:val="both"/>
        <w:rPr>
          <w:rFonts w:ascii="Times New Roman" w:hAnsi="Times New Roman"/>
          <w:sz w:val="28"/>
          <w:szCs w:val="28"/>
        </w:rPr>
      </w:pPr>
      <w:proofErr w:type="spellStart"/>
      <w:r w:rsidRPr="00C3507C">
        <w:rPr>
          <w:rFonts w:ascii="Times New Roman" w:hAnsi="Times New Roman"/>
          <w:sz w:val="28"/>
          <w:szCs w:val="28"/>
        </w:rPr>
        <w:t>Прогностичность</w:t>
      </w:r>
      <w:proofErr w:type="spellEnd"/>
      <w:r w:rsidRPr="00C3507C">
        <w:rPr>
          <w:rFonts w:ascii="Times New Roman" w:hAnsi="Times New Roman"/>
          <w:sz w:val="28"/>
          <w:szCs w:val="28"/>
        </w:rPr>
        <w:t xml:space="preserve"> отрицательного результата (</w:t>
      </w:r>
      <w:r w:rsidRPr="00C3507C">
        <w:rPr>
          <w:rFonts w:ascii="Times New Roman" w:hAnsi="Times New Roman"/>
          <w:i/>
          <w:sz w:val="28"/>
          <w:szCs w:val="28"/>
        </w:rPr>
        <w:t>−VP</w:t>
      </w:r>
      <w:r w:rsidRPr="00C3507C">
        <w:rPr>
          <w:rFonts w:ascii="Times New Roman" w:hAnsi="Times New Roman"/>
          <w:sz w:val="28"/>
          <w:szCs w:val="28"/>
        </w:rPr>
        <w:t>) – это пропорция верно отрицательных случаев среди всех отрицательных решений. Этот критерий определяется по формуле:</w:t>
      </w:r>
    </w:p>
    <w:p w14:paraId="66E659A8" w14:textId="77777777" w:rsidR="005C199B" w:rsidRPr="00C3507C" w:rsidRDefault="005C199B" w:rsidP="005C199B">
      <w:pPr>
        <w:widowControl w:val="0"/>
        <w:spacing w:after="0" w:line="240" w:lineRule="auto"/>
        <w:ind w:firstLine="567"/>
        <w:jc w:val="both"/>
        <w:rPr>
          <w:rFonts w:ascii="Times New Roman" w:hAnsi="Times New Roman"/>
          <w:sz w:val="28"/>
          <w:szCs w:val="28"/>
        </w:rPr>
      </w:pPr>
    </w:p>
    <w:p w14:paraId="2E0A6949" w14:textId="77777777" w:rsidR="005C199B" w:rsidRPr="00C3507C" w:rsidRDefault="005C199B" w:rsidP="005C199B">
      <w:pPr>
        <w:widowControl w:val="0"/>
        <w:spacing w:after="0" w:line="240" w:lineRule="auto"/>
        <w:jc w:val="both"/>
        <w:rPr>
          <w:rFonts w:ascii="Times New Roman" w:hAnsi="Times New Roman"/>
          <w:sz w:val="28"/>
          <w:szCs w:val="28"/>
        </w:rPr>
      </w:pPr>
      <m:oMathPara>
        <m:oMath>
          <m:r>
            <w:rPr>
              <w:rFonts w:ascii="Cambria Math" w:hAnsi="Cambria Math"/>
              <w:sz w:val="28"/>
              <w:szCs w:val="28"/>
              <w:lang w:val="en-US"/>
            </w:rPr>
            <m:t>-PV</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TP</m:t>
              </m:r>
            </m:num>
            <m:den>
              <m:r>
                <w:rPr>
                  <w:rFonts w:ascii="Cambria Math" w:hAnsi="Cambria Math"/>
                  <w:sz w:val="28"/>
                  <w:szCs w:val="28"/>
                </w:rPr>
                <m:t>TP+</m:t>
              </m:r>
              <m:r>
                <w:rPr>
                  <w:rFonts w:ascii="Cambria Math" w:hAnsi="Cambria Math"/>
                  <w:sz w:val="28"/>
                  <w:szCs w:val="28"/>
                  <w:lang w:val="en-US"/>
                </w:rPr>
                <m:t>F</m:t>
              </m:r>
              <m:r>
                <w:rPr>
                  <w:rFonts w:ascii="Cambria Math" w:hAnsi="Cambria Math"/>
                  <w:sz w:val="28"/>
                  <w:szCs w:val="28"/>
                </w:rPr>
                <m:t>P</m:t>
              </m:r>
            </m:den>
          </m:f>
          <m:r>
            <w:rPr>
              <w:rFonts w:ascii="Cambria Math" w:hAnsi="Cambria Math"/>
              <w:sz w:val="28"/>
              <w:szCs w:val="28"/>
            </w:rPr>
            <m:t>×100%</m:t>
          </m:r>
        </m:oMath>
      </m:oMathPara>
    </w:p>
    <w:p w14:paraId="6075D488" w14:textId="77777777" w:rsidR="005C199B" w:rsidRDefault="005C199B" w:rsidP="005C199B">
      <w:pPr>
        <w:autoSpaceDE w:val="0"/>
        <w:autoSpaceDN w:val="0"/>
        <w:adjustRightInd w:val="0"/>
        <w:spacing w:after="0" w:line="240" w:lineRule="auto"/>
        <w:ind w:firstLine="567"/>
        <w:jc w:val="both"/>
        <w:rPr>
          <w:rFonts w:ascii="Times New Roman" w:hAnsi="Times New Roman"/>
          <w:sz w:val="28"/>
          <w:szCs w:val="28"/>
        </w:rPr>
      </w:pPr>
    </w:p>
    <w:p w14:paraId="23675C65" w14:textId="77777777" w:rsidR="005C199B" w:rsidRPr="00C3507C" w:rsidRDefault="005C199B" w:rsidP="005C199B">
      <w:pPr>
        <w:autoSpaceDE w:val="0"/>
        <w:autoSpaceDN w:val="0"/>
        <w:adjustRightInd w:val="0"/>
        <w:spacing w:after="0" w:line="240" w:lineRule="auto"/>
        <w:ind w:firstLine="567"/>
        <w:jc w:val="both"/>
        <w:rPr>
          <w:rFonts w:ascii="Times New Roman" w:hAnsi="Times New Roman"/>
          <w:sz w:val="28"/>
          <w:szCs w:val="28"/>
        </w:rPr>
      </w:pPr>
      <w:proofErr w:type="gramStart"/>
      <w:r w:rsidRPr="00C3507C">
        <w:rPr>
          <w:rFonts w:ascii="Times New Roman" w:hAnsi="Times New Roman"/>
          <w:sz w:val="28"/>
          <w:szCs w:val="28"/>
        </w:rPr>
        <w:t>где</w:t>
      </w:r>
      <w:proofErr w:type="gramEnd"/>
      <w:r w:rsidRPr="00C3507C">
        <w:rPr>
          <w:rFonts w:ascii="Times New Roman" w:hAnsi="Times New Roman"/>
          <w:sz w:val="28"/>
          <w:szCs w:val="28"/>
        </w:rPr>
        <w:t xml:space="preserve"> </w:t>
      </w:r>
      <w:r w:rsidRPr="00C3507C">
        <w:rPr>
          <w:rFonts w:ascii="Times New Roman" w:hAnsi="Times New Roman"/>
          <w:i/>
          <w:sz w:val="28"/>
          <w:szCs w:val="28"/>
        </w:rPr>
        <w:t>−PV</w:t>
      </w:r>
      <w:r w:rsidRPr="00C3507C">
        <w:rPr>
          <w:rFonts w:ascii="Times New Roman" w:hAnsi="Times New Roman"/>
          <w:sz w:val="28"/>
          <w:szCs w:val="28"/>
        </w:rPr>
        <w:t xml:space="preserve"> – </w:t>
      </w:r>
      <w:proofErr w:type="spellStart"/>
      <w:r w:rsidRPr="00C3507C">
        <w:rPr>
          <w:rFonts w:ascii="Times New Roman" w:hAnsi="Times New Roman"/>
          <w:sz w:val="28"/>
          <w:szCs w:val="28"/>
        </w:rPr>
        <w:t>прогностичность</w:t>
      </w:r>
      <w:proofErr w:type="spellEnd"/>
      <w:r w:rsidRPr="00C3507C">
        <w:rPr>
          <w:rFonts w:ascii="Times New Roman" w:hAnsi="Times New Roman"/>
          <w:sz w:val="28"/>
          <w:szCs w:val="28"/>
        </w:rPr>
        <w:t xml:space="preserve"> отрицательного результата; </w:t>
      </w:r>
      <w:r w:rsidRPr="00C3507C">
        <w:rPr>
          <w:rFonts w:ascii="Times New Roman" w:hAnsi="Times New Roman"/>
          <w:i/>
          <w:sz w:val="28"/>
          <w:szCs w:val="28"/>
        </w:rPr>
        <w:t>TN</w:t>
      </w:r>
      <w:r w:rsidRPr="00C3507C">
        <w:rPr>
          <w:rFonts w:ascii="Times New Roman" w:hAnsi="Times New Roman"/>
          <w:sz w:val="28"/>
          <w:szCs w:val="28"/>
        </w:rPr>
        <w:t xml:space="preserve"> – истинно отрицательные случаи; </w:t>
      </w:r>
      <w:r w:rsidRPr="00C3507C">
        <w:rPr>
          <w:rFonts w:ascii="Times New Roman" w:hAnsi="Times New Roman"/>
          <w:i/>
          <w:sz w:val="28"/>
          <w:szCs w:val="28"/>
        </w:rPr>
        <w:t>FP</w:t>
      </w:r>
      <w:r w:rsidRPr="00C3507C">
        <w:rPr>
          <w:rFonts w:ascii="Times New Roman" w:hAnsi="Times New Roman"/>
          <w:sz w:val="28"/>
          <w:szCs w:val="28"/>
        </w:rPr>
        <w:t xml:space="preserve"> – ложно положительные случаи.</w:t>
      </w:r>
    </w:p>
    <w:p w14:paraId="4F505340" w14:textId="77777777" w:rsidR="005C199B" w:rsidRPr="00C3507C" w:rsidRDefault="005C199B" w:rsidP="005C199B">
      <w:pPr>
        <w:autoSpaceDE w:val="0"/>
        <w:autoSpaceDN w:val="0"/>
        <w:adjustRightInd w:val="0"/>
        <w:spacing w:after="0" w:line="240" w:lineRule="auto"/>
        <w:ind w:firstLine="567"/>
        <w:jc w:val="both"/>
        <w:rPr>
          <w:rFonts w:ascii="Times New Roman" w:hAnsi="Times New Roman"/>
          <w:sz w:val="28"/>
          <w:szCs w:val="28"/>
        </w:rPr>
      </w:pPr>
      <w:r w:rsidRPr="00C3507C">
        <w:rPr>
          <w:rFonts w:ascii="Times New Roman" w:hAnsi="Times New Roman"/>
          <w:sz w:val="28"/>
          <w:szCs w:val="28"/>
        </w:rPr>
        <w:t>Данный критерий, таким образом, показывает, насколько велика вероятность того, что пациент здоров, если результаты теста отрицательные.</w:t>
      </w:r>
    </w:p>
    <w:p w14:paraId="57969FCE" w14:textId="77777777" w:rsidR="005C199B" w:rsidRPr="00C3507C" w:rsidRDefault="005C199B" w:rsidP="005C199B">
      <w:pPr>
        <w:widowControl w:val="0"/>
        <w:spacing w:after="0" w:line="240" w:lineRule="auto"/>
        <w:ind w:firstLine="567"/>
        <w:jc w:val="both"/>
        <w:rPr>
          <w:rFonts w:ascii="Times New Roman" w:hAnsi="Times New Roman"/>
          <w:sz w:val="28"/>
          <w:szCs w:val="28"/>
        </w:rPr>
      </w:pPr>
      <w:r w:rsidRPr="00C3507C">
        <w:rPr>
          <w:rFonts w:ascii="Times New Roman" w:hAnsi="Times New Roman"/>
          <w:sz w:val="28"/>
          <w:szCs w:val="28"/>
        </w:rPr>
        <w:t xml:space="preserve">Просмотр и обработка полученных материалов осуществлены при помощи компьютера (пакет программ </w:t>
      </w:r>
      <w:proofErr w:type="spellStart"/>
      <w:r w:rsidRPr="00C3507C">
        <w:rPr>
          <w:rFonts w:ascii="Times New Roman" w:hAnsi="Times New Roman"/>
          <w:sz w:val="28"/>
          <w:szCs w:val="28"/>
        </w:rPr>
        <w:t>Microsoft</w:t>
      </w:r>
      <w:proofErr w:type="spellEnd"/>
      <w:r w:rsidRPr="00C3507C">
        <w:rPr>
          <w:rFonts w:ascii="Times New Roman" w:hAnsi="Times New Roman"/>
          <w:sz w:val="28"/>
          <w:szCs w:val="28"/>
        </w:rPr>
        <w:t xml:space="preserve"> </w:t>
      </w:r>
      <w:r>
        <w:rPr>
          <w:rFonts w:ascii="Times New Roman" w:hAnsi="Times New Roman"/>
          <w:sz w:val="28"/>
          <w:szCs w:val="28"/>
        </w:rPr>
        <w:t>365</w:t>
      </w:r>
      <w:r w:rsidRPr="00C3507C">
        <w:rPr>
          <w:rFonts w:ascii="Times New Roman" w:hAnsi="Times New Roman"/>
          <w:sz w:val="28"/>
          <w:szCs w:val="28"/>
        </w:rPr>
        <w:t xml:space="preserve">: </w:t>
      </w:r>
      <w:proofErr w:type="spellStart"/>
      <w:r w:rsidRPr="00C3507C">
        <w:rPr>
          <w:rFonts w:ascii="Times New Roman" w:hAnsi="Times New Roman"/>
          <w:sz w:val="28"/>
          <w:szCs w:val="28"/>
        </w:rPr>
        <w:t>Excel</w:t>
      </w:r>
      <w:proofErr w:type="spellEnd"/>
      <w:r w:rsidRPr="00C3507C">
        <w:rPr>
          <w:rFonts w:ascii="Times New Roman" w:hAnsi="Times New Roman"/>
          <w:sz w:val="28"/>
          <w:szCs w:val="28"/>
        </w:rPr>
        <w:t xml:space="preserve">, </w:t>
      </w:r>
      <w:proofErr w:type="spellStart"/>
      <w:r w:rsidRPr="00C3507C">
        <w:rPr>
          <w:rFonts w:ascii="Times New Roman" w:hAnsi="Times New Roman"/>
          <w:sz w:val="28"/>
          <w:szCs w:val="28"/>
        </w:rPr>
        <w:t>Word</w:t>
      </w:r>
      <w:proofErr w:type="spellEnd"/>
      <w:r w:rsidRPr="00C3507C">
        <w:rPr>
          <w:rFonts w:ascii="Times New Roman" w:hAnsi="Times New Roman"/>
          <w:sz w:val="28"/>
          <w:szCs w:val="28"/>
        </w:rPr>
        <w:t xml:space="preserve">, и программы </w:t>
      </w:r>
      <w:proofErr w:type="spellStart"/>
      <w:r w:rsidRPr="00C3507C">
        <w:rPr>
          <w:rFonts w:ascii="Times New Roman" w:hAnsi="Times New Roman"/>
          <w:sz w:val="28"/>
          <w:szCs w:val="28"/>
          <w:lang w:val="en-US"/>
        </w:rPr>
        <w:t>EpiInfo</w:t>
      </w:r>
      <w:proofErr w:type="spellEnd"/>
      <w:r w:rsidRPr="00C3507C">
        <w:rPr>
          <w:rFonts w:ascii="Times New Roman" w:hAnsi="Times New Roman"/>
          <w:sz w:val="28"/>
          <w:szCs w:val="28"/>
        </w:rPr>
        <w:t xml:space="preserve"> 7).</w:t>
      </w:r>
    </w:p>
    <w:p w14:paraId="487D8EB5" w14:textId="77777777" w:rsidR="005C199B" w:rsidRPr="003E1608" w:rsidRDefault="005C199B" w:rsidP="005C199B">
      <w:pPr>
        <w:widowControl w:val="0"/>
        <w:spacing w:after="0" w:line="240" w:lineRule="auto"/>
        <w:ind w:firstLine="567"/>
        <w:jc w:val="both"/>
        <w:rPr>
          <w:rFonts w:ascii="Times New Roman" w:hAnsi="Times New Roman"/>
          <w:sz w:val="28"/>
          <w:szCs w:val="28"/>
        </w:rPr>
      </w:pPr>
      <w:r w:rsidRPr="003E1608">
        <w:rPr>
          <w:rFonts w:ascii="Times New Roman" w:hAnsi="Times New Roman"/>
          <w:sz w:val="28"/>
          <w:szCs w:val="28"/>
        </w:rPr>
        <w:t>Методическим вопросам выживаемости онкологических больных в последние время уделено немало внимания. Наиболее корректным способом расчета показателей выживаемости (</w:t>
      </w:r>
      <w:proofErr w:type="spellStart"/>
      <w:r w:rsidRPr="003E1608">
        <w:rPr>
          <w:rFonts w:ascii="Times New Roman" w:hAnsi="Times New Roman"/>
          <w:sz w:val="28"/>
          <w:szCs w:val="28"/>
        </w:rPr>
        <w:t>погодовой</w:t>
      </w:r>
      <w:proofErr w:type="spellEnd"/>
      <w:r w:rsidRPr="003E1608">
        <w:rPr>
          <w:rFonts w:ascii="Times New Roman" w:hAnsi="Times New Roman"/>
          <w:sz w:val="28"/>
          <w:szCs w:val="28"/>
        </w:rPr>
        <w:t xml:space="preserve">, ежегодной, кумулятивной) считается динамический, или </w:t>
      </w:r>
      <w:proofErr w:type="spellStart"/>
      <w:r w:rsidRPr="003E1608">
        <w:rPr>
          <w:rFonts w:ascii="Times New Roman" w:hAnsi="Times New Roman"/>
          <w:sz w:val="28"/>
          <w:szCs w:val="28"/>
        </w:rPr>
        <w:t>актуриальный</w:t>
      </w:r>
      <w:proofErr w:type="spellEnd"/>
      <w:r w:rsidRPr="003E1608">
        <w:rPr>
          <w:rFonts w:ascii="Times New Roman" w:hAnsi="Times New Roman"/>
          <w:sz w:val="28"/>
          <w:szCs w:val="28"/>
        </w:rPr>
        <w:t xml:space="preserve">, статистический метод. В основу данного метода заложена возможность учитывать не только число больных, переживших определенный период, но и время, прожитое ими. При этом главным достоинством динамического метода является возможность использования всей информации, имеющейся в распоряжении исследователя, т.е. расчеты показателей выживаемости включаются данные о больных, прослеженных весь период наблюдения, прослеженных неполный период </w:t>
      </w:r>
      <w:r w:rsidRPr="003E1608">
        <w:rPr>
          <w:rFonts w:ascii="Times New Roman" w:hAnsi="Times New Roman"/>
          <w:sz w:val="28"/>
          <w:szCs w:val="28"/>
        </w:rPr>
        <w:lastRenderedPageBreak/>
        <w:t>наблюдения, выбывших из-под</w:t>
      </w:r>
      <w:r>
        <w:rPr>
          <w:rFonts w:ascii="Times New Roman" w:hAnsi="Times New Roman"/>
          <w:sz w:val="28"/>
          <w:szCs w:val="28"/>
        </w:rPr>
        <w:t xml:space="preserve"> </w:t>
      </w:r>
      <w:r w:rsidRPr="003E1608">
        <w:rPr>
          <w:rFonts w:ascii="Times New Roman" w:hAnsi="Times New Roman"/>
          <w:sz w:val="28"/>
          <w:szCs w:val="28"/>
        </w:rPr>
        <w:t xml:space="preserve">наблюдения. Кроме того, данный метод позволяет учитывать точку отсчета периода наблюдения: дату начала лечения, дату постановки диагноза либо другую дату. Причем одним из достоинств </w:t>
      </w:r>
      <w:proofErr w:type="spellStart"/>
      <w:r w:rsidRPr="003E1608">
        <w:rPr>
          <w:rFonts w:ascii="Times New Roman" w:hAnsi="Times New Roman"/>
          <w:sz w:val="28"/>
          <w:szCs w:val="28"/>
        </w:rPr>
        <w:t>актуриального</w:t>
      </w:r>
      <w:proofErr w:type="spellEnd"/>
      <w:r w:rsidRPr="003E1608">
        <w:rPr>
          <w:rFonts w:ascii="Times New Roman" w:hAnsi="Times New Roman"/>
          <w:sz w:val="28"/>
          <w:szCs w:val="28"/>
        </w:rPr>
        <w:t xml:space="preserve"> метода является то, что он позволяет использовать не только максимум информации, но и дает возможность получения трех видов показателей выживаемости: наблюдаемой, скорректированной и относительной.</w:t>
      </w:r>
    </w:p>
    <w:p w14:paraId="13D88CAC" w14:textId="35C394D1" w:rsidR="005C199B" w:rsidRPr="003E1608" w:rsidRDefault="005C199B" w:rsidP="005C199B">
      <w:pPr>
        <w:widowControl w:val="0"/>
        <w:spacing w:after="0" w:line="240" w:lineRule="auto"/>
        <w:ind w:firstLine="567"/>
        <w:jc w:val="both"/>
        <w:rPr>
          <w:rFonts w:ascii="Times New Roman" w:hAnsi="Times New Roman"/>
          <w:sz w:val="28"/>
          <w:szCs w:val="28"/>
        </w:rPr>
      </w:pPr>
      <w:r w:rsidRPr="003E1608">
        <w:rPr>
          <w:rFonts w:ascii="Times New Roman" w:hAnsi="Times New Roman"/>
          <w:sz w:val="28"/>
          <w:szCs w:val="28"/>
        </w:rPr>
        <w:t xml:space="preserve">В качестве точки отсчета периода наблюдения принята дата установления диагноза </w:t>
      </w:r>
      <w:r w:rsidR="00CF6E44">
        <w:rPr>
          <w:rFonts w:ascii="Times New Roman" w:hAnsi="Times New Roman"/>
          <w:sz w:val="28"/>
          <w:szCs w:val="28"/>
        </w:rPr>
        <w:t>рак ободочной кишки</w:t>
      </w:r>
      <w:r w:rsidRPr="003E1608">
        <w:rPr>
          <w:rFonts w:ascii="Times New Roman" w:hAnsi="Times New Roman"/>
          <w:sz w:val="28"/>
          <w:szCs w:val="28"/>
        </w:rPr>
        <w:t xml:space="preserve"> (операции), а дата окончания исследования – 31 декабря </w:t>
      </w:r>
      <w:r w:rsidR="0013147D">
        <w:rPr>
          <w:rFonts w:ascii="Times New Roman" w:hAnsi="Times New Roman"/>
          <w:sz w:val="28"/>
          <w:szCs w:val="28"/>
        </w:rPr>
        <w:t>2019</w:t>
      </w:r>
      <w:r w:rsidRPr="003E1608">
        <w:rPr>
          <w:rFonts w:ascii="Times New Roman" w:hAnsi="Times New Roman"/>
          <w:sz w:val="28"/>
          <w:szCs w:val="28"/>
        </w:rPr>
        <w:t xml:space="preserve"> года. За период наблюдения приняты </w:t>
      </w:r>
      <w:r w:rsidR="0013147D">
        <w:rPr>
          <w:rFonts w:ascii="Times New Roman" w:hAnsi="Times New Roman"/>
          <w:sz w:val="28"/>
          <w:szCs w:val="28"/>
        </w:rPr>
        <w:t>1</w:t>
      </w:r>
      <w:r w:rsidRPr="003E1608">
        <w:rPr>
          <w:rFonts w:ascii="Times New Roman" w:hAnsi="Times New Roman"/>
          <w:sz w:val="28"/>
          <w:szCs w:val="28"/>
        </w:rPr>
        <w:t xml:space="preserve">, </w:t>
      </w:r>
      <w:r w:rsidR="0013147D">
        <w:rPr>
          <w:rFonts w:ascii="Times New Roman" w:hAnsi="Times New Roman"/>
          <w:sz w:val="28"/>
          <w:szCs w:val="28"/>
        </w:rPr>
        <w:t>3</w:t>
      </w:r>
      <w:r w:rsidRPr="003E1608">
        <w:rPr>
          <w:rFonts w:ascii="Times New Roman" w:hAnsi="Times New Roman"/>
          <w:sz w:val="28"/>
          <w:szCs w:val="28"/>
        </w:rPr>
        <w:t xml:space="preserve">и </w:t>
      </w:r>
      <w:r w:rsidR="0013147D">
        <w:rPr>
          <w:rFonts w:ascii="Times New Roman" w:hAnsi="Times New Roman"/>
          <w:sz w:val="28"/>
          <w:szCs w:val="28"/>
        </w:rPr>
        <w:t>5</w:t>
      </w:r>
      <w:r w:rsidRPr="003E1608">
        <w:rPr>
          <w:rFonts w:ascii="Times New Roman" w:hAnsi="Times New Roman"/>
          <w:sz w:val="28"/>
          <w:szCs w:val="28"/>
        </w:rPr>
        <w:t xml:space="preserve"> лет, а за контрольный интервал – один год. Вычислялись </w:t>
      </w:r>
      <w:proofErr w:type="spellStart"/>
      <w:r w:rsidRPr="003E1608">
        <w:rPr>
          <w:rFonts w:ascii="Times New Roman" w:hAnsi="Times New Roman"/>
          <w:sz w:val="28"/>
          <w:szCs w:val="28"/>
        </w:rPr>
        <w:t>погодовые</w:t>
      </w:r>
      <w:proofErr w:type="spellEnd"/>
      <w:r w:rsidRPr="003E1608">
        <w:rPr>
          <w:rFonts w:ascii="Times New Roman" w:hAnsi="Times New Roman"/>
          <w:sz w:val="28"/>
          <w:szCs w:val="28"/>
        </w:rPr>
        <w:t xml:space="preserve"> (</w:t>
      </w:r>
      <w:proofErr w:type="spellStart"/>
      <w:r w:rsidRPr="003E1608">
        <w:rPr>
          <w:rFonts w:ascii="Times New Roman" w:hAnsi="Times New Roman"/>
          <w:sz w:val="28"/>
          <w:szCs w:val="28"/>
        </w:rPr>
        <w:t>внутриинтервальные</w:t>
      </w:r>
      <w:proofErr w:type="spellEnd"/>
      <w:r w:rsidRPr="003E1608">
        <w:rPr>
          <w:rFonts w:ascii="Times New Roman" w:hAnsi="Times New Roman"/>
          <w:sz w:val="28"/>
          <w:szCs w:val="28"/>
        </w:rPr>
        <w:t xml:space="preserve"> и кумулятивные за период) показатели выживаемости.</w:t>
      </w:r>
    </w:p>
    <w:p w14:paraId="759970EE" w14:textId="77777777" w:rsidR="005C199B" w:rsidRDefault="005C199B" w:rsidP="005C199B">
      <w:pPr>
        <w:widowControl w:val="0"/>
        <w:spacing w:after="0" w:line="240" w:lineRule="auto"/>
        <w:ind w:firstLine="567"/>
        <w:jc w:val="both"/>
        <w:rPr>
          <w:rFonts w:ascii="Times New Roman" w:hAnsi="Times New Roman"/>
          <w:sz w:val="28"/>
          <w:szCs w:val="28"/>
        </w:rPr>
      </w:pPr>
      <w:r w:rsidRPr="003E1608">
        <w:rPr>
          <w:rFonts w:ascii="Times New Roman" w:hAnsi="Times New Roman"/>
          <w:sz w:val="28"/>
          <w:szCs w:val="28"/>
        </w:rPr>
        <w:t>Также в нашем исследовании при расчете выживаемости был использован моментный метод, или метод Каплана-Мейера. Математическое выражение моментного метода:</w:t>
      </w:r>
    </w:p>
    <w:p w14:paraId="1A8E617C" w14:textId="77777777" w:rsidR="005C199B" w:rsidRPr="003E1608" w:rsidRDefault="005C199B" w:rsidP="005C199B">
      <w:pPr>
        <w:widowControl w:val="0"/>
        <w:spacing w:after="0" w:line="240" w:lineRule="auto"/>
        <w:ind w:firstLine="567"/>
        <w:jc w:val="both"/>
        <w:rPr>
          <w:rFonts w:ascii="Times New Roman" w:hAnsi="Times New Roman"/>
          <w:sz w:val="28"/>
          <w:szCs w:val="28"/>
        </w:rPr>
      </w:pPr>
    </w:p>
    <w:p w14:paraId="633E91CF" w14:textId="77777777" w:rsidR="005C199B" w:rsidRPr="003E1608" w:rsidRDefault="005C199B" w:rsidP="005C199B">
      <w:pPr>
        <w:widowControl w:val="0"/>
        <w:spacing w:after="0" w:line="240" w:lineRule="auto"/>
        <w:jc w:val="center"/>
        <w:rPr>
          <w:rFonts w:ascii="Times New Roman" w:hAnsi="Times New Roman"/>
          <w:sz w:val="28"/>
          <w:szCs w:val="28"/>
        </w:rPr>
      </w:pPr>
      <w:r w:rsidRPr="003E1608">
        <w:rPr>
          <w:rFonts w:ascii="Times New Roman" w:hAnsi="Times New Roman"/>
          <w:position w:val="-32"/>
          <w:sz w:val="28"/>
          <w:szCs w:val="28"/>
        </w:rPr>
        <w:object w:dxaOrig="1920" w:dyaOrig="760" w14:anchorId="7F301700">
          <v:shape id="_x0000_i1029" type="#_x0000_t75" style="width:141.9pt;height:56.1pt" o:ole="">
            <v:imagedata r:id="rId27" o:title=""/>
          </v:shape>
          <o:OLEObject Type="Embed" ProgID="Equation.3" ShapeID="_x0000_i1029" DrawAspect="Content" ObjectID="_1715063348" r:id="rId28"/>
        </w:object>
      </w:r>
    </w:p>
    <w:p w14:paraId="726CA224" w14:textId="77777777" w:rsidR="005C199B" w:rsidRDefault="005C199B" w:rsidP="005C199B">
      <w:pPr>
        <w:widowControl w:val="0"/>
        <w:spacing w:after="0" w:line="240" w:lineRule="auto"/>
        <w:ind w:firstLine="567"/>
        <w:jc w:val="both"/>
        <w:rPr>
          <w:rFonts w:ascii="Times New Roman" w:hAnsi="Times New Roman"/>
          <w:sz w:val="28"/>
          <w:szCs w:val="28"/>
        </w:rPr>
      </w:pPr>
    </w:p>
    <w:p w14:paraId="4C952727" w14:textId="77777777" w:rsidR="005C199B" w:rsidRPr="003E1608" w:rsidRDefault="005C199B" w:rsidP="005C199B">
      <w:pPr>
        <w:widowControl w:val="0"/>
        <w:spacing w:after="0" w:line="240" w:lineRule="auto"/>
        <w:ind w:firstLine="567"/>
        <w:jc w:val="both"/>
        <w:rPr>
          <w:rFonts w:ascii="Times New Roman" w:hAnsi="Times New Roman"/>
          <w:sz w:val="28"/>
          <w:szCs w:val="28"/>
        </w:rPr>
      </w:pPr>
      <w:proofErr w:type="gramStart"/>
      <w:r w:rsidRPr="003E1608">
        <w:rPr>
          <w:rFonts w:ascii="Times New Roman" w:hAnsi="Times New Roman"/>
          <w:sz w:val="28"/>
          <w:szCs w:val="28"/>
        </w:rPr>
        <w:t>где</w:t>
      </w:r>
      <w:proofErr w:type="gramEnd"/>
      <w:r w:rsidRPr="003E1608">
        <w:rPr>
          <w:rFonts w:ascii="Times New Roman" w:hAnsi="Times New Roman"/>
          <w:sz w:val="28"/>
          <w:szCs w:val="28"/>
        </w:rPr>
        <w:t xml:space="preserve"> </w:t>
      </w:r>
      <w:proofErr w:type="spellStart"/>
      <w:r w:rsidRPr="003E1608">
        <w:rPr>
          <w:rFonts w:ascii="Times New Roman" w:hAnsi="Times New Roman"/>
          <w:b/>
          <w:i/>
          <w:sz w:val="28"/>
          <w:szCs w:val="28"/>
          <w:lang w:val="en-US"/>
        </w:rPr>
        <w:t>d</w:t>
      </w:r>
      <w:r w:rsidRPr="003E1608">
        <w:rPr>
          <w:rFonts w:ascii="Times New Roman" w:hAnsi="Times New Roman"/>
          <w:b/>
          <w:i/>
          <w:sz w:val="28"/>
          <w:szCs w:val="28"/>
          <w:vertAlign w:val="subscript"/>
          <w:lang w:val="en-US"/>
        </w:rPr>
        <w:t>t</w:t>
      </w:r>
      <w:proofErr w:type="spellEnd"/>
      <w:r w:rsidRPr="003E1608">
        <w:rPr>
          <w:rFonts w:ascii="Times New Roman" w:hAnsi="Times New Roman"/>
          <w:sz w:val="28"/>
          <w:szCs w:val="28"/>
        </w:rPr>
        <w:t xml:space="preserve"> – число умерших в момент </w:t>
      </w:r>
      <w:r w:rsidRPr="003E1608">
        <w:rPr>
          <w:rFonts w:ascii="Times New Roman" w:hAnsi="Times New Roman"/>
          <w:sz w:val="28"/>
          <w:szCs w:val="28"/>
          <w:lang w:val="en-US"/>
        </w:rPr>
        <w:t>t</w:t>
      </w:r>
      <w:r w:rsidRPr="003E1608">
        <w:rPr>
          <w:rFonts w:ascii="Times New Roman" w:hAnsi="Times New Roman"/>
          <w:sz w:val="28"/>
          <w:szCs w:val="28"/>
        </w:rPr>
        <w:t>;</w:t>
      </w:r>
    </w:p>
    <w:p w14:paraId="110BE88D" w14:textId="77777777" w:rsidR="005C199B" w:rsidRPr="003E1608" w:rsidRDefault="005C199B" w:rsidP="005C199B">
      <w:pPr>
        <w:widowControl w:val="0"/>
        <w:spacing w:after="0" w:line="240" w:lineRule="auto"/>
        <w:ind w:firstLine="960"/>
        <w:jc w:val="both"/>
        <w:rPr>
          <w:rFonts w:ascii="Times New Roman" w:hAnsi="Times New Roman"/>
          <w:sz w:val="28"/>
          <w:szCs w:val="28"/>
        </w:rPr>
      </w:pPr>
      <w:proofErr w:type="spellStart"/>
      <w:proofErr w:type="gramStart"/>
      <w:r w:rsidRPr="003E1608">
        <w:rPr>
          <w:rFonts w:ascii="Times New Roman" w:hAnsi="Times New Roman"/>
          <w:b/>
          <w:i/>
          <w:sz w:val="28"/>
          <w:szCs w:val="28"/>
          <w:lang w:val="en-US"/>
        </w:rPr>
        <w:t>n</w:t>
      </w:r>
      <w:r w:rsidRPr="003E1608">
        <w:rPr>
          <w:rFonts w:ascii="Times New Roman" w:hAnsi="Times New Roman"/>
          <w:b/>
          <w:i/>
          <w:sz w:val="28"/>
          <w:szCs w:val="28"/>
          <w:vertAlign w:val="subscript"/>
          <w:lang w:val="en-US"/>
        </w:rPr>
        <w:t>t</w:t>
      </w:r>
      <w:proofErr w:type="spellEnd"/>
      <w:proofErr w:type="gramEnd"/>
      <w:r w:rsidRPr="003E1608">
        <w:rPr>
          <w:rFonts w:ascii="Times New Roman" w:hAnsi="Times New Roman"/>
          <w:sz w:val="28"/>
          <w:szCs w:val="28"/>
        </w:rPr>
        <w:t xml:space="preserve"> – число наблюдавших к моменту </w:t>
      </w:r>
      <w:r w:rsidRPr="003E1608">
        <w:rPr>
          <w:rFonts w:ascii="Times New Roman" w:hAnsi="Times New Roman"/>
          <w:sz w:val="28"/>
          <w:szCs w:val="28"/>
          <w:lang w:val="en-US"/>
        </w:rPr>
        <w:t>t</w:t>
      </w:r>
      <w:r w:rsidRPr="003E1608">
        <w:rPr>
          <w:rFonts w:ascii="Times New Roman" w:hAnsi="Times New Roman"/>
          <w:sz w:val="28"/>
          <w:szCs w:val="28"/>
        </w:rPr>
        <w:t>;</w:t>
      </w:r>
    </w:p>
    <w:p w14:paraId="10E5137C" w14:textId="77777777" w:rsidR="005C199B" w:rsidRPr="003E1608" w:rsidRDefault="005C199B" w:rsidP="005C199B">
      <w:pPr>
        <w:widowControl w:val="0"/>
        <w:spacing w:after="0" w:line="240" w:lineRule="auto"/>
        <w:ind w:firstLine="960"/>
        <w:jc w:val="both"/>
        <w:rPr>
          <w:rFonts w:ascii="Times New Roman" w:hAnsi="Times New Roman"/>
          <w:sz w:val="28"/>
          <w:szCs w:val="28"/>
        </w:rPr>
      </w:pPr>
      <w:r w:rsidRPr="003E1608">
        <w:rPr>
          <w:rFonts w:ascii="Times New Roman" w:hAnsi="Times New Roman"/>
          <w:b/>
          <w:i/>
          <w:sz w:val="28"/>
          <w:szCs w:val="28"/>
        </w:rPr>
        <w:t>Π</w:t>
      </w:r>
      <w:r w:rsidRPr="003E1608">
        <w:rPr>
          <w:rFonts w:ascii="Times New Roman" w:hAnsi="Times New Roman"/>
          <w:sz w:val="28"/>
          <w:szCs w:val="28"/>
        </w:rPr>
        <w:t xml:space="preserve"> (большая греческая буква “пи”) – символ произведения.</w:t>
      </w:r>
    </w:p>
    <w:p w14:paraId="3F29409B" w14:textId="77777777" w:rsidR="005C199B" w:rsidRPr="003E1608" w:rsidRDefault="005C199B" w:rsidP="005C199B">
      <w:pPr>
        <w:widowControl w:val="0"/>
        <w:spacing w:after="0" w:line="240" w:lineRule="auto"/>
        <w:ind w:firstLine="567"/>
        <w:jc w:val="both"/>
        <w:rPr>
          <w:rFonts w:ascii="Times New Roman" w:hAnsi="Times New Roman"/>
          <w:sz w:val="28"/>
          <w:szCs w:val="28"/>
        </w:rPr>
      </w:pPr>
    </w:p>
    <w:p w14:paraId="2CA05BDE" w14:textId="77777777" w:rsidR="005C199B" w:rsidRPr="003E1608" w:rsidRDefault="005C199B" w:rsidP="005C199B">
      <w:pPr>
        <w:widowControl w:val="0"/>
        <w:spacing w:after="0" w:line="240" w:lineRule="auto"/>
        <w:ind w:firstLine="567"/>
        <w:jc w:val="both"/>
        <w:rPr>
          <w:rFonts w:ascii="Times New Roman" w:hAnsi="Times New Roman"/>
          <w:sz w:val="28"/>
          <w:szCs w:val="28"/>
        </w:rPr>
      </w:pPr>
      <w:r w:rsidRPr="003E1608">
        <w:rPr>
          <w:rFonts w:ascii="Times New Roman" w:hAnsi="Times New Roman"/>
          <w:sz w:val="28"/>
          <w:szCs w:val="28"/>
        </w:rPr>
        <w:t xml:space="preserve">Метод Каплана-Мейера почти идентичен </w:t>
      </w:r>
      <w:proofErr w:type="spellStart"/>
      <w:r w:rsidRPr="003E1608">
        <w:rPr>
          <w:rFonts w:ascii="Times New Roman" w:hAnsi="Times New Roman"/>
          <w:sz w:val="28"/>
          <w:szCs w:val="28"/>
        </w:rPr>
        <w:t>актуариальному</w:t>
      </w:r>
      <w:proofErr w:type="spellEnd"/>
      <w:r w:rsidRPr="003E1608">
        <w:rPr>
          <w:rFonts w:ascii="Times New Roman" w:hAnsi="Times New Roman"/>
          <w:sz w:val="28"/>
          <w:szCs w:val="28"/>
        </w:rPr>
        <w:t>, только вместо кумулятивного коэффициента выживаемости в конце каждого года наблюдения можно рассчитать долю доживших пациентов с настолько короткими интервалами, насколько позволяет точность регистрации даты смерти. Еще одно отличие – потерянные для наблюдения пациенты считаются прожившими тот временной интервал, в течение которого они выбыли из наблюдения.</w:t>
      </w:r>
    </w:p>
    <w:p w14:paraId="1EF11A29" w14:textId="32076020" w:rsidR="005C199B" w:rsidRDefault="005C199B" w:rsidP="005C199B">
      <w:pPr>
        <w:widowControl w:val="0"/>
        <w:spacing w:after="0" w:line="240" w:lineRule="auto"/>
        <w:ind w:firstLine="567"/>
        <w:jc w:val="both"/>
        <w:rPr>
          <w:rFonts w:ascii="Times New Roman" w:hAnsi="Times New Roman"/>
          <w:sz w:val="28"/>
          <w:szCs w:val="28"/>
        </w:rPr>
      </w:pPr>
      <w:r w:rsidRPr="003E1608">
        <w:rPr>
          <w:rFonts w:ascii="Times New Roman" w:hAnsi="Times New Roman"/>
          <w:sz w:val="28"/>
          <w:szCs w:val="28"/>
        </w:rPr>
        <w:t xml:space="preserve">Выживаемость больных изучалась в зависимости от пола, возраста, стадии заболевания. Кроме того, выживаемость больных </w:t>
      </w:r>
      <w:r w:rsidR="0013147D">
        <w:rPr>
          <w:rFonts w:ascii="Times New Roman" w:hAnsi="Times New Roman"/>
          <w:sz w:val="28"/>
          <w:szCs w:val="28"/>
        </w:rPr>
        <w:t>раком ободочной кишки</w:t>
      </w:r>
      <w:r w:rsidRPr="003E1608">
        <w:rPr>
          <w:rFonts w:ascii="Times New Roman" w:hAnsi="Times New Roman"/>
          <w:sz w:val="28"/>
          <w:szCs w:val="28"/>
        </w:rPr>
        <w:t xml:space="preserve"> изучалась в зависимости от локализации, морфологической структуры и методов лечения. Для оценки статистической </w:t>
      </w:r>
      <w:r>
        <w:rPr>
          <w:rFonts w:ascii="Times New Roman" w:hAnsi="Times New Roman"/>
          <w:sz w:val="28"/>
          <w:szCs w:val="28"/>
        </w:rPr>
        <w:t>значимости</w:t>
      </w:r>
      <w:r w:rsidRPr="003E1608">
        <w:rPr>
          <w:rFonts w:ascii="Times New Roman" w:hAnsi="Times New Roman"/>
          <w:sz w:val="28"/>
          <w:szCs w:val="28"/>
        </w:rPr>
        <w:t xml:space="preserve"> показателей выживаемости использовались их стандартные ошибки, на основе которых определены 95% доверительные интервалы.</w:t>
      </w:r>
      <w:r>
        <w:rPr>
          <w:rFonts w:ascii="Times New Roman" w:hAnsi="Times New Roman"/>
          <w:sz w:val="28"/>
          <w:szCs w:val="28"/>
        </w:rPr>
        <w:t xml:space="preserve"> </w:t>
      </w:r>
      <w:r w:rsidRPr="003E1608">
        <w:rPr>
          <w:rFonts w:ascii="Times New Roman" w:hAnsi="Times New Roman"/>
          <w:sz w:val="28"/>
          <w:szCs w:val="28"/>
        </w:rPr>
        <w:t xml:space="preserve">Стандартная ошибка показателя выживаемости рассчитывается по формуле </w:t>
      </w:r>
      <w:proofErr w:type="spellStart"/>
      <w:r w:rsidRPr="003E1608">
        <w:rPr>
          <w:rFonts w:ascii="Times New Roman" w:hAnsi="Times New Roman"/>
          <w:sz w:val="28"/>
          <w:szCs w:val="28"/>
        </w:rPr>
        <w:t>Гринвуда</w:t>
      </w:r>
      <w:proofErr w:type="spellEnd"/>
      <w:r w:rsidRPr="003E1608">
        <w:rPr>
          <w:rFonts w:ascii="Times New Roman" w:hAnsi="Times New Roman"/>
          <w:sz w:val="28"/>
          <w:szCs w:val="28"/>
        </w:rPr>
        <w:t>:</w:t>
      </w:r>
    </w:p>
    <w:p w14:paraId="22854773" w14:textId="77777777" w:rsidR="005C199B" w:rsidRPr="003E1608" w:rsidRDefault="005C199B" w:rsidP="005C199B">
      <w:pPr>
        <w:widowControl w:val="0"/>
        <w:spacing w:after="0" w:line="240" w:lineRule="auto"/>
        <w:ind w:firstLine="567"/>
        <w:jc w:val="both"/>
        <w:rPr>
          <w:rFonts w:ascii="Times New Roman" w:hAnsi="Times New Roman"/>
          <w:sz w:val="28"/>
          <w:szCs w:val="28"/>
        </w:rPr>
      </w:pPr>
    </w:p>
    <w:p w14:paraId="6E12D53A" w14:textId="77777777" w:rsidR="005C199B" w:rsidRPr="003E1608" w:rsidRDefault="005C199B" w:rsidP="005C199B">
      <w:pPr>
        <w:widowControl w:val="0"/>
        <w:spacing w:after="0" w:line="240" w:lineRule="auto"/>
        <w:jc w:val="center"/>
        <w:rPr>
          <w:rFonts w:ascii="Times New Roman" w:hAnsi="Times New Roman"/>
          <w:sz w:val="28"/>
          <w:szCs w:val="28"/>
        </w:rPr>
      </w:pPr>
      <w:r w:rsidRPr="003E1608">
        <w:rPr>
          <w:rFonts w:ascii="Times New Roman" w:hAnsi="Times New Roman"/>
          <w:position w:val="-32"/>
          <w:sz w:val="28"/>
          <w:szCs w:val="28"/>
        </w:rPr>
        <w:object w:dxaOrig="2500" w:dyaOrig="760" w14:anchorId="72EF65FD">
          <v:shape id="_x0000_i1030" type="#_x0000_t75" style="width:185.3pt;height:56.1pt" o:ole="">
            <v:imagedata r:id="rId29" o:title=""/>
          </v:shape>
          <o:OLEObject Type="Embed" ProgID="Equation.3" ShapeID="_x0000_i1030" DrawAspect="Content" ObjectID="_1715063349" r:id="rId30"/>
        </w:object>
      </w:r>
    </w:p>
    <w:p w14:paraId="638AF2BA" w14:textId="77777777" w:rsidR="005C199B" w:rsidRDefault="005C199B" w:rsidP="005C199B">
      <w:pPr>
        <w:widowControl w:val="0"/>
        <w:spacing w:after="0" w:line="240" w:lineRule="auto"/>
        <w:ind w:firstLine="567"/>
        <w:jc w:val="both"/>
        <w:rPr>
          <w:rFonts w:ascii="Times New Roman" w:hAnsi="Times New Roman"/>
          <w:sz w:val="28"/>
          <w:szCs w:val="28"/>
        </w:rPr>
      </w:pPr>
      <w:proofErr w:type="gramStart"/>
      <w:r w:rsidRPr="003E1608">
        <w:rPr>
          <w:rFonts w:ascii="Times New Roman" w:hAnsi="Times New Roman"/>
          <w:sz w:val="28"/>
          <w:szCs w:val="28"/>
        </w:rPr>
        <w:t>или</w:t>
      </w:r>
      <w:proofErr w:type="gramEnd"/>
      <w:r w:rsidRPr="003E1608">
        <w:rPr>
          <w:rFonts w:ascii="Times New Roman" w:hAnsi="Times New Roman"/>
          <w:sz w:val="28"/>
          <w:szCs w:val="28"/>
        </w:rPr>
        <w:t xml:space="preserve"> </w:t>
      </w:r>
    </w:p>
    <w:p w14:paraId="648EAFB2" w14:textId="77777777" w:rsidR="005C199B" w:rsidRPr="003E1608" w:rsidRDefault="005C199B" w:rsidP="005C199B">
      <w:pPr>
        <w:widowControl w:val="0"/>
        <w:spacing w:after="0" w:line="240" w:lineRule="auto"/>
        <w:ind w:firstLine="567"/>
        <w:jc w:val="both"/>
        <w:rPr>
          <w:rFonts w:ascii="Times New Roman" w:hAnsi="Times New Roman"/>
          <w:sz w:val="28"/>
          <w:szCs w:val="28"/>
        </w:rPr>
      </w:pPr>
    </w:p>
    <w:p w14:paraId="50F72F9B" w14:textId="77777777" w:rsidR="005C199B" w:rsidRPr="003E1608" w:rsidRDefault="005C199B" w:rsidP="005C199B">
      <w:pPr>
        <w:widowControl w:val="0"/>
        <w:spacing w:after="0" w:line="240" w:lineRule="auto"/>
        <w:jc w:val="center"/>
        <w:rPr>
          <w:rFonts w:ascii="Times New Roman" w:hAnsi="Times New Roman"/>
          <w:sz w:val="28"/>
          <w:szCs w:val="28"/>
        </w:rPr>
      </w:pPr>
      <w:r w:rsidRPr="003E1608">
        <w:rPr>
          <w:rFonts w:ascii="Times New Roman" w:hAnsi="Times New Roman"/>
          <w:position w:val="-36"/>
          <w:sz w:val="28"/>
          <w:szCs w:val="28"/>
        </w:rPr>
        <w:object w:dxaOrig="3080" w:dyaOrig="859" w14:anchorId="65289903">
          <v:shape id="_x0000_i1031" type="#_x0000_t75" style="width:222.35pt;height:62.45pt" o:ole="">
            <v:imagedata r:id="rId31" o:title=""/>
          </v:shape>
          <o:OLEObject Type="Embed" ProgID="Equation.3" ShapeID="_x0000_i1031" DrawAspect="Content" ObjectID="_1715063350" r:id="rId32"/>
        </w:object>
      </w:r>
    </w:p>
    <w:p w14:paraId="35EA3563" w14:textId="77777777" w:rsidR="005C199B" w:rsidRDefault="005C199B" w:rsidP="005C199B">
      <w:pPr>
        <w:widowControl w:val="0"/>
        <w:spacing w:after="0" w:line="240" w:lineRule="auto"/>
        <w:ind w:firstLine="567"/>
        <w:jc w:val="both"/>
        <w:rPr>
          <w:rFonts w:ascii="Times New Roman" w:hAnsi="Times New Roman"/>
          <w:sz w:val="28"/>
          <w:szCs w:val="28"/>
        </w:rPr>
      </w:pPr>
    </w:p>
    <w:p w14:paraId="750ED5E7" w14:textId="77777777" w:rsidR="005C199B" w:rsidRPr="003E1608" w:rsidRDefault="005C199B" w:rsidP="005C199B">
      <w:pPr>
        <w:widowControl w:val="0"/>
        <w:spacing w:after="0" w:line="240" w:lineRule="auto"/>
        <w:ind w:firstLine="567"/>
        <w:jc w:val="both"/>
        <w:rPr>
          <w:rFonts w:ascii="Times New Roman" w:hAnsi="Times New Roman"/>
          <w:sz w:val="28"/>
          <w:szCs w:val="28"/>
        </w:rPr>
      </w:pPr>
      <w:proofErr w:type="gramStart"/>
      <w:r w:rsidRPr="003E1608">
        <w:rPr>
          <w:rFonts w:ascii="Times New Roman" w:hAnsi="Times New Roman"/>
          <w:sz w:val="28"/>
          <w:szCs w:val="28"/>
        </w:rPr>
        <w:t>где</w:t>
      </w:r>
      <w:proofErr w:type="gramEnd"/>
      <w:r w:rsidRPr="003E1608">
        <w:rPr>
          <w:rFonts w:ascii="Times New Roman" w:hAnsi="Times New Roman"/>
          <w:sz w:val="28"/>
          <w:szCs w:val="28"/>
        </w:rPr>
        <w:t xml:space="preserve"> </w:t>
      </w:r>
      <w:r>
        <w:rPr>
          <w:rFonts w:ascii="Times New Roman" w:hAnsi="Times New Roman"/>
          <w:sz w:val="28"/>
          <w:szCs w:val="28"/>
        </w:rPr>
        <w:t xml:space="preserve">  </w:t>
      </w:r>
      <w:r w:rsidRPr="003E1608">
        <w:rPr>
          <w:rFonts w:ascii="Times New Roman" w:hAnsi="Times New Roman"/>
          <w:b/>
          <w:i/>
          <w:sz w:val="28"/>
          <w:szCs w:val="28"/>
          <w:lang w:val="en-US"/>
        </w:rPr>
        <w:t>P</w:t>
      </w:r>
      <w:r w:rsidRPr="003E1608">
        <w:rPr>
          <w:rFonts w:ascii="Times New Roman" w:hAnsi="Times New Roman"/>
          <w:sz w:val="28"/>
          <w:szCs w:val="28"/>
        </w:rPr>
        <w:t xml:space="preserve"> – показатель выживаемости;</w:t>
      </w:r>
    </w:p>
    <w:p w14:paraId="5530EEEF" w14:textId="77777777" w:rsidR="005C199B" w:rsidRPr="003E1608" w:rsidRDefault="005C199B" w:rsidP="005C199B">
      <w:pPr>
        <w:widowControl w:val="0"/>
        <w:spacing w:after="0" w:line="240" w:lineRule="auto"/>
        <w:ind w:firstLine="1134"/>
        <w:jc w:val="both"/>
        <w:rPr>
          <w:rFonts w:ascii="Times New Roman" w:hAnsi="Times New Roman"/>
          <w:sz w:val="28"/>
          <w:szCs w:val="28"/>
        </w:rPr>
      </w:pPr>
      <w:proofErr w:type="gramStart"/>
      <w:r w:rsidRPr="003E1608">
        <w:rPr>
          <w:rFonts w:ascii="Times New Roman" w:hAnsi="Times New Roman"/>
          <w:b/>
          <w:i/>
          <w:sz w:val="28"/>
          <w:szCs w:val="28"/>
          <w:lang w:val="en-US"/>
        </w:rPr>
        <w:t>q</w:t>
      </w:r>
      <w:r w:rsidRPr="003E1608">
        <w:rPr>
          <w:rFonts w:ascii="Times New Roman" w:hAnsi="Times New Roman"/>
          <w:b/>
          <w:i/>
          <w:sz w:val="28"/>
          <w:szCs w:val="28"/>
          <w:vertAlign w:val="subscript"/>
          <w:lang w:val="en-US"/>
        </w:rPr>
        <w:t>i</w:t>
      </w:r>
      <w:proofErr w:type="gramEnd"/>
      <w:r w:rsidRPr="003E1608">
        <w:rPr>
          <w:rFonts w:ascii="Times New Roman" w:hAnsi="Times New Roman"/>
          <w:sz w:val="28"/>
          <w:szCs w:val="28"/>
        </w:rPr>
        <w:t xml:space="preserve"> – доля умерших в определенного времени;</w:t>
      </w:r>
    </w:p>
    <w:p w14:paraId="514B35F1" w14:textId="77777777" w:rsidR="005C199B" w:rsidRPr="003E1608" w:rsidRDefault="005C199B" w:rsidP="005C199B">
      <w:pPr>
        <w:widowControl w:val="0"/>
        <w:spacing w:after="0" w:line="240" w:lineRule="auto"/>
        <w:ind w:firstLine="1134"/>
        <w:jc w:val="both"/>
        <w:rPr>
          <w:rFonts w:ascii="Times New Roman" w:hAnsi="Times New Roman"/>
          <w:sz w:val="28"/>
          <w:szCs w:val="28"/>
        </w:rPr>
      </w:pPr>
      <w:proofErr w:type="spellStart"/>
      <w:proofErr w:type="gramStart"/>
      <w:r w:rsidRPr="003E1608">
        <w:rPr>
          <w:rFonts w:ascii="Times New Roman" w:hAnsi="Times New Roman"/>
          <w:b/>
          <w:i/>
          <w:sz w:val="28"/>
          <w:szCs w:val="28"/>
          <w:lang w:val="en-US"/>
        </w:rPr>
        <w:t>r</w:t>
      </w:r>
      <w:r w:rsidRPr="003E1608">
        <w:rPr>
          <w:rFonts w:ascii="Times New Roman" w:hAnsi="Times New Roman"/>
          <w:b/>
          <w:i/>
          <w:sz w:val="28"/>
          <w:szCs w:val="28"/>
          <w:vertAlign w:val="subscript"/>
          <w:lang w:val="en-US"/>
        </w:rPr>
        <w:t>i</w:t>
      </w:r>
      <w:proofErr w:type="spellEnd"/>
      <w:proofErr w:type="gramEnd"/>
      <w:r w:rsidRPr="003E1608">
        <w:rPr>
          <w:rFonts w:ascii="Times New Roman" w:hAnsi="Times New Roman"/>
          <w:b/>
          <w:i/>
          <w:sz w:val="28"/>
          <w:szCs w:val="28"/>
        </w:rPr>
        <w:t xml:space="preserve"> </w:t>
      </w:r>
      <w:r w:rsidRPr="003E1608">
        <w:rPr>
          <w:rFonts w:ascii="Times New Roman" w:hAnsi="Times New Roman"/>
          <w:sz w:val="28"/>
          <w:szCs w:val="28"/>
        </w:rPr>
        <w:t>– фактическое число подверженных риску умереть;</w:t>
      </w:r>
    </w:p>
    <w:p w14:paraId="4D6146B3" w14:textId="77777777" w:rsidR="005C199B" w:rsidRPr="003E1608" w:rsidRDefault="005C199B" w:rsidP="005C199B">
      <w:pPr>
        <w:widowControl w:val="0"/>
        <w:spacing w:after="0" w:line="240" w:lineRule="auto"/>
        <w:ind w:firstLine="1134"/>
        <w:jc w:val="both"/>
        <w:rPr>
          <w:rFonts w:ascii="Times New Roman" w:hAnsi="Times New Roman"/>
          <w:sz w:val="28"/>
          <w:szCs w:val="28"/>
        </w:rPr>
      </w:pPr>
      <w:proofErr w:type="gramStart"/>
      <w:r w:rsidRPr="003E1608">
        <w:rPr>
          <w:rFonts w:ascii="Times New Roman" w:hAnsi="Times New Roman"/>
          <w:b/>
          <w:i/>
          <w:sz w:val="28"/>
          <w:szCs w:val="28"/>
          <w:lang w:val="en-US"/>
        </w:rPr>
        <w:t>d</w:t>
      </w:r>
      <w:r w:rsidRPr="003E1608">
        <w:rPr>
          <w:rFonts w:ascii="Times New Roman" w:hAnsi="Times New Roman"/>
          <w:b/>
          <w:i/>
          <w:sz w:val="28"/>
          <w:szCs w:val="28"/>
          <w:vertAlign w:val="subscript"/>
          <w:lang w:val="en-US"/>
        </w:rPr>
        <w:t>i</w:t>
      </w:r>
      <w:proofErr w:type="gramEnd"/>
      <w:r w:rsidRPr="003E1608">
        <w:rPr>
          <w:rFonts w:ascii="Times New Roman" w:hAnsi="Times New Roman"/>
          <w:sz w:val="28"/>
          <w:szCs w:val="28"/>
        </w:rPr>
        <w:t xml:space="preserve"> – число умерших в течении определенного времени</w:t>
      </w:r>
    </w:p>
    <w:p w14:paraId="27E22D4D" w14:textId="77777777" w:rsidR="005C199B" w:rsidRPr="003E1608" w:rsidRDefault="005C199B" w:rsidP="005C199B">
      <w:pPr>
        <w:widowControl w:val="0"/>
        <w:spacing w:after="0" w:line="240" w:lineRule="auto"/>
        <w:ind w:firstLine="567"/>
        <w:jc w:val="both"/>
        <w:rPr>
          <w:rFonts w:ascii="Times New Roman" w:hAnsi="Times New Roman"/>
          <w:sz w:val="28"/>
          <w:szCs w:val="28"/>
        </w:rPr>
      </w:pPr>
    </w:p>
    <w:p w14:paraId="2AF0A882" w14:textId="77777777" w:rsidR="005C199B" w:rsidRDefault="005C199B" w:rsidP="005C199B">
      <w:pPr>
        <w:widowControl w:val="0"/>
        <w:spacing w:after="0" w:line="240" w:lineRule="auto"/>
        <w:ind w:firstLine="567"/>
        <w:jc w:val="both"/>
        <w:rPr>
          <w:rFonts w:ascii="Times New Roman" w:hAnsi="Times New Roman"/>
          <w:sz w:val="28"/>
          <w:szCs w:val="28"/>
        </w:rPr>
      </w:pPr>
      <w:r w:rsidRPr="003E1608">
        <w:rPr>
          <w:rFonts w:ascii="Times New Roman" w:hAnsi="Times New Roman"/>
          <w:sz w:val="28"/>
          <w:szCs w:val="28"/>
        </w:rPr>
        <w:t>95% доверительный интервал определяется как:</w:t>
      </w:r>
    </w:p>
    <w:p w14:paraId="6D7D4C47" w14:textId="77777777" w:rsidR="005C199B" w:rsidRPr="003E1608" w:rsidRDefault="005C199B" w:rsidP="005C199B">
      <w:pPr>
        <w:widowControl w:val="0"/>
        <w:spacing w:after="0" w:line="240" w:lineRule="auto"/>
        <w:ind w:firstLine="567"/>
        <w:jc w:val="both"/>
        <w:rPr>
          <w:rFonts w:ascii="Times New Roman" w:hAnsi="Times New Roman"/>
          <w:sz w:val="28"/>
          <w:szCs w:val="28"/>
        </w:rPr>
      </w:pPr>
    </w:p>
    <w:p w14:paraId="7AE443D0" w14:textId="77777777" w:rsidR="005C199B" w:rsidRPr="003E1608" w:rsidRDefault="005C199B" w:rsidP="005C199B">
      <w:pPr>
        <w:widowControl w:val="0"/>
        <w:spacing w:after="0" w:line="240" w:lineRule="auto"/>
        <w:jc w:val="center"/>
        <w:rPr>
          <w:rFonts w:ascii="Times New Roman" w:hAnsi="Times New Roman"/>
          <w:sz w:val="28"/>
          <w:szCs w:val="28"/>
        </w:rPr>
      </w:pPr>
      <w:r w:rsidRPr="003E1608">
        <w:rPr>
          <w:rFonts w:ascii="Times New Roman" w:hAnsi="Times New Roman"/>
          <w:position w:val="-10"/>
          <w:sz w:val="28"/>
          <w:szCs w:val="28"/>
          <w:lang w:val="en-US"/>
        </w:rPr>
        <w:object w:dxaOrig="4360" w:dyaOrig="320" w14:anchorId="6182FCE7">
          <v:shape id="_x0000_i1032" type="#_x0000_t75" style="width:328.25pt;height:24.35pt" o:ole="">
            <v:imagedata r:id="rId33" o:title=""/>
          </v:shape>
          <o:OLEObject Type="Embed" ProgID="Equation.3" ShapeID="_x0000_i1032" DrawAspect="Content" ObjectID="_1715063351" r:id="rId34"/>
        </w:object>
      </w:r>
    </w:p>
    <w:p w14:paraId="220A84DD" w14:textId="77777777" w:rsidR="005C199B" w:rsidRDefault="005C199B" w:rsidP="005C199B">
      <w:pPr>
        <w:widowControl w:val="0"/>
        <w:spacing w:after="0" w:line="240" w:lineRule="auto"/>
        <w:ind w:firstLine="567"/>
        <w:jc w:val="both"/>
        <w:rPr>
          <w:rFonts w:ascii="Times New Roman" w:hAnsi="Times New Roman"/>
          <w:sz w:val="28"/>
          <w:szCs w:val="28"/>
        </w:rPr>
      </w:pPr>
    </w:p>
    <w:p w14:paraId="0897E755" w14:textId="77777777" w:rsidR="005C199B" w:rsidRPr="003E1608" w:rsidRDefault="005C199B" w:rsidP="005C199B">
      <w:pPr>
        <w:widowControl w:val="0"/>
        <w:spacing w:after="0" w:line="240" w:lineRule="auto"/>
        <w:ind w:firstLine="567"/>
        <w:jc w:val="both"/>
        <w:rPr>
          <w:rFonts w:ascii="Times New Roman" w:hAnsi="Times New Roman"/>
          <w:sz w:val="28"/>
          <w:szCs w:val="28"/>
        </w:rPr>
      </w:pPr>
      <w:r w:rsidRPr="003E1608">
        <w:rPr>
          <w:rFonts w:ascii="Times New Roman" w:hAnsi="Times New Roman"/>
          <w:sz w:val="28"/>
          <w:szCs w:val="28"/>
        </w:rPr>
        <w:t xml:space="preserve">Для сравнения выживаемости групп больных в отдельной точке наблюдения использовался </w:t>
      </w:r>
      <w:r w:rsidRPr="003E1608">
        <w:rPr>
          <w:rFonts w:ascii="Times New Roman" w:hAnsi="Times New Roman"/>
          <w:b/>
          <w:i/>
          <w:sz w:val="28"/>
          <w:szCs w:val="28"/>
          <w:lang w:val="en-US"/>
        </w:rPr>
        <w:t>Z</w:t>
      </w:r>
      <w:r w:rsidRPr="003E1608">
        <w:rPr>
          <w:rFonts w:ascii="Times New Roman" w:hAnsi="Times New Roman"/>
          <w:b/>
          <w:i/>
          <w:sz w:val="28"/>
          <w:szCs w:val="28"/>
        </w:rPr>
        <w:t>-тест</w:t>
      </w:r>
      <w:r w:rsidRPr="003E1608">
        <w:rPr>
          <w:rFonts w:ascii="Times New Roman" w:hAnsi="Times New Roman"/>
          <w:sz w:val="28"/>
          <w:szCs w:val="28"/>
        </w:rPr>
        <w:t>, дающий числовую оценку вероятности случайного возникновения различия.</w:t>
      </w:r>
    </w:p>
    <w:p w14:paraId="46926193" w14:textId="77777777" w:rsidR="005C199B" w:rsidRDefault="005C199B" w:rsidP="005C199B">
      <w:pPr>
        <w:widowControl w:val="0"/>
        <w:spacing w:after="0" w:line="240" w:lineRule="auto"/>
        <w:ind w:firstLine="567"/>
        <w:jc w:val="both"/>
        <w:rPr>
          <w:rFonts w:ascii="Times New Roman" w:hAnsi="Times New Roman"/>
          <w:sz w:val="28"/>
          <w:szCs w:val="28"/>
        </w:rPr>
      </w:pPr>
      <w:r w:rsidRPr="003E1608">
        <w:rPr>
          <w:rFonts w:ascii="Times New Roman" w:hAnsi="Times New Roman"/>
          <w:sz w:val="28"/>
          <w:szCs w:val="28"/>
        </w:rPr>
        <w:t xml:space="preserve">Статистическое значение </w:t>
      </w:r>
      <w:r w:rsidRPr="003E1608">
        <w:rPr>
          <w:rFonts w:ascii="Times New Roman" w:hAnsi="Times New Roman"/>
          <w:b/>
          <w:i/>
          <w:sz w:val="28"/>
          <w:szCs w:val="28"/>
          <w:lang w:val="en-US"/>
        </w:rPr>
        <w:t>Z</w:t>
      </w:r>
      <w:r w:rsidRPr="003E1608">
        <w:rPr>
          <w:rFonts w:ascii="Times New Roman" w:hAnsi="Times New Roman"/>
          <w:sz w:val="28"/>
          <w:szCs w:val="28"/>
        </w:rPr>
        <w:t xml:space="preserve"> рассчитывается по формуле:</w:t>
      </w:r>
    </w:p>
    <w:p w14:paraId="78B618FE" w14:textId="77777777" w:rsidR="005C199B" w:rsidRPr="003E1608" w:rsidRDefault="005C199B" w:rsidP="005C199B">
      <w:pPr>
        <w:widowControl w:val="0"/>
        <w:spacing w:after="0" w:line="240" w:lineRule="auto"/>
        <w:ind w:firstLine="567"/>
        <w:jc w:val="both"/>
        <w:rPr>
          <w:rFonts w:ascii="Times New Roman" w:hAnsi="Times New Roman"/>
          <w:sz w:val="28"/>
          <w:szCs w:val="28"/>
        </w:rPr>
      </w:pPr>
    </w:p>
    <w:p w14:paraId="7CE9CB3F" w14:textId="77777777" w:rsidR="005C199B" w:rsidRPr="003E1608" w:rsidRDefault="005C199B" w:rsidP="005C199B">
      <w:pPr>
        <w:widowControl w:val="0"/>
        <w:spacing w:after="0" w:line="240" w:lineRule="auto"/>
        <w:jc w:val="center"/>
        <w:rPr>
          <w:rFonts w:ascii="Times New Roman" w:hAnsi="Times New Roman"/>
          <w:sz w:val="28"/>
          <w:szCs w:val="28"/>
        </w:rPr>
      </w:pPr>
      <w:r w:rsidRPr="003E1608">
        <w:rPr>
          <w:rFonts w:ascii="Times New Roman" w:hAnsi="Times New Roman"/>
          <w:position w:val="-38"/>
          <w:sz w:val="28"/>
          <w:szCs w:val="28"/>
        </w:rPr>
        <w:object w:dxaOrig="3260" w:dyaOrig="820" w14:anchorId="792D0A93">
          <v:shape id="_x0000_i1033" type="#_x0000_t75" style="width:231.9pt;height:59.3pt" o:ole="">
            <v:imagedata r:id="rId35" o:title=""/>
          </v:shape>
          <o:OLEObject Type="Embed" ProgID="Equation.3" ShapeID="_x0000_i1033" DrawAspect="Content" ObjectID="_1715063352" r:id="rId36"/>
        </w:object>
      </w:r>
    </w:p>
    <w:p w14:paraId="30271D35" w14:textId="77777777" w:rsidR="005C199B" w:rsidRPr="003E1608" w:rsidRDefault="005C199B" w:rsidP="005C199B">
      <w:pPr>
        <w:widowControl w:val="0"/>
        <w:spacing w:after="0" w:line="240" w:lineRule="auto"/>
        <w:ind w:firstLine="567"/>
        <w:jc w:val="both"/>
        <w:rPr>
          <w:rFonts w:ascii="Times New Roman" w:hAnsi="Times New Roman"/>
          <w:sz w:val="28"/>
          <w:szCs w:val="28"/>
        </w:rPr>
      </w:pPr>
      <w:r w:rsidRPr="003E1608">
        <w:rPr>
          <w:rFonts w:ascii="Times New Roman" w:hAnsi="Times New Roman"/>
          <w:sz w:val="28"/>
          <w:szCs w:val="28"/>
        </w:rPr>
        <w:t>Где</w:t>
      </w:r>
      <w:r>
        <w:rPr>
          <w:rFonts w:ascii="Times New Roman" w:hAnsi="Times New Roman"/>
          <w:sz w:val="28"/>
          <w:szCs w:val="28"/>
        </w:rPr>
        <w:t xml:space="preserve"> </w:t>
      </w:r>
      <w:r w:rsidRPr="003E1608">
        <w:rPr>
          <w:rFonts w:ascii="Times New Roman" w:hAnsi="Times New Roman"/>
          <w:b/>
          <w:i/>
          <w:sz w:val="28"/>
          <w:szCs w:val="28"/>
          <w:lang w:val="en-US"/>
        </w:rPr>
        <w:t>P</w:t>
      </w:r>
      <w:r w:rsidRPr="003E1608">
        <w:rPr>
          <w:rFonts w:ascii="Times New Roman" w:hAnsi="Times New Roman"/>
          <w:b/>
          <w:i/>
          <w:sz w:val="28"/>
          <w:szCs w:val="28"/>
          <w:vertAlign w:val="subscript"/>
        </w:rPr>
        <w:t>1</w:t>
      </w:r>
      <w:r w:rsidRPr="003E1608">
        <w:rPr>
          <w:rFonts w:ascii="Times New Roman" w:hAnsi="Times New Roman"/>
          <w:b/>
          <w:sz w:val="28"/>
          <w:szCs w:val="28"/>
        </w:rPr>
        <w:t xml:space="preserve"> </w:t>
      </w:r>
      <w:r w:rsidRPr="003E1608">
        <w:rPr>
          <w:rFonts w:ascii="Times New Roman" w:hAnsi="Times New Roman"/>
          <w:sz w:val="28"/>
          <w:szCs w:val="28"/>
        </w:rPr>
        <w:t>– показатель выживаемости для группы 1;</w:t>
      </w:r>
    </w:p>
    <w:p w14:paraId="679854B1" w14:textId="77777777" w:rsidR="005C199B" w:rsidRPr="003E1608" w:rsidRDefault="005C199B" w:rsidP="005C199B">
      <w:pPr>
        <w:widowControl w:val="0"/>
        <w:spacing w:after="0" w:line="240" w:lineRule="auto"/>
        <w:ind w:firstLine="1134"/>
        <w:jc w:val="both"/>
        <w:rPr>
          <w:rFonts w:ascii="Times New Roman" w:hAnsi="Times New Roman"/>
          <w:sz w:val="28"/>
          <w:szCs w:val="28"/>
        </w:rPr>
      </w:pPr>
      <w:r w:rsidRPr="003E1608">
        <w:rPr>
          <w:rFonts w:ascii="Times New Roman" w:hAnsi="Times New Roman"/>
          <w:b/>
          <w:i/>
          <w:sz w:val="28"/>
          <w:szCs w:val="28"/>
          <w:lang w:val="en-US"/>
        </w:rPr>
        <w:t>P</w:t>
      </w:r>
      <w:r w:rsidRPr="003E1608">
        <w:rPr>
          <w:rFonts w:ascii="Times New Roman" w:hAnsi="Times New Roman"/>
          <w:b/>
          <w:i/>
          <w:sz w:val="28"/>
          <w:szCs w:val="28"/>
          <w:vertAlign w:val="subscript"/>
        </w:rPr>
        <w:t>2</w:t>
      </w:r>
      <w:r w:rsidRPr="003E1608">
        <w:rPr>
          <w:rFonts w:ascii="Times New Roman" w:hAnsi="Times New Roman"/>
          <w:sz w:val="28"/>
          <w:szCs w:val="28"/>
        </w:rPr>
        <w:t xml:space="preserve"> – показатель выживаемости для группы 2;</w:t>
      </w:r>
    </w:p>
    <w:p w14:paraId="59F5ED5B" w14:textId="77777777" w:rsidR="005C199B" w:rsidRPr="003E1608" w:rsidRDefault="005C199B" w:rsidP="005C199B">
      <w:pPr>
        <w:widowControl w:val="0"/>
        <w:spacing w:after="0" w:line="240" w:lineRule="auto"/>
        <w:ind w:firstLine="1134"/>
        <w:jc w:val="both"/>
        <w:rPr>
          <w:rFonts w:ascii="Times New Roman" w:hAnsi="Times New Roman"/>
          <w:sz w:val="28"/>
          <w:szCs w:val="28"/>
        </w:rPr>
      </w:pPr>
      <w:r w:rsidRPr="003E1608">
        <w:rPr>
          <w:rFonts w:ascii="Times New Roman" w:hAnsi="Times New Roman"/>
          <w:b/>
          <w:i/>
          <w:sz w:val="28"/>
          <w:szCs w:val="28"/>
        </w:rPr>
        <w:t>/</w:t>
      </w:r>
      <w:r w:rsidRPr="003E1608">
        <w:rPr>
          <w:rFonts w:ascii="Times New Roman" w:hAnsi="Times New Roman"/>
          <w:b/>
          <w:i/>
          <w:sz w:val="28"/>
          <w:szCs w:val="28"/>
          <w:lang w:val="en-US"/>
        </w:rPr>
        <w:t>P</w:t>
      </w:r>
      <w:r w:rsidRPr="003E1608">
        <w:rPr>
          <w:rFonts w:ascii="Times New Roman" w:hAnsi="Times New Roman"/>
          <w:b/>
          <w:i/>
          <w:sz w:val="28"/>
          <w:szCs w:val="28"/>
          <w:vertAlign w:val="subscript"/>
        </w:rPr>
        <w:t>1</w:t>
      </w:r>
      <w:r w:rsidRPr="003E1608">
        <w:rPr>
          <w:rFonts w:ascii="Times New Roman" w:hAnsi="Times New Roman"/>
          <w:b/>
          <w:i/>
          <w:sz w:val="28"/>
          <w:szCs w:val="28"/>
        </w:rPr>
        <w:t xml:space="preserve"> − </w:t>
      </w:r>
      <w:r w:rsidRPr="003E1608">
        <w:rPr>
          <w:rFonts w:ascii="Times New Roman" w:hAnsi="Times New Roman"/>
          <w:b/>
          <w:i/>
          <w:sz w:val="28"/>
          <w:szCs w:val="28"/>
          <w:lang w:val="en-US"/>
        </w:rPr>
        <w:t>P</w:t>
      </w:r>
      <w:r w:rsidRPr="003E1608">
        <w:rPr>
          <w:rFonts w:ascii="Times New Roman" w:hAnsi="Times New Roman"/>
          <w:b/>
          <w:i/>
          <w:sz w:val="28"/>
          <w:szCs w:val="28"/>
          <w:vertAlign w:val="subscript"/>
        </w:rPr>
        <w:t>2</w:t>
      </w:r>
      <w:r w:rsidRPr="003E1608">
        <w:rPr>
          <w:rFonts w:ascii="Times New Roman" w:hAnsi="Times New Roman"/>
          <w:b/>
          <w:i/>
          <w:sz w:val="28"/>
          <w:szCs w:val="28"/>
        </w:rPr>
        <w:t>/</w:t>
      </w:r>
      <w:r w:rsidRPr="003E1608">
        <w:rPr>
          <w:rFonts w:ascii="Times New Roman" w:hAnsi="Times New Roman"/>
          <w:sz w:val="28"/>
          <w:szCs w:val="28"/>
        </w:rPr>
        <w:t xml:space="preserve"> - абсолютное значение разности;</w:t>
      </w:r>
    </w:p>
    <w:p w14:paraId="4A9F9AD8" w14:textId="77777777" w:rsidR="005C199B" w:rsidRPr="003E1608" w:rsidRDefault="005C199B" w:rsidP="005C199B">
      <w:pPr>
        <w:widowControl w:val="0"/>
        <w:spacing w:after="0" w:line="240" w:lineRule="auto"/>
        <w:ind w:firstLine="1134"/>
        <w:jc w:val="both"/>
        <w:rPr>
          <w:rFonts w:ascii="Times New Roman" w:hAnsi="Times New Roman"/>
          <w:sz w:val="28"/>
          <w:szCs w:val="28"/>
        </w:rPr>
      </w:pPr>
      <w:r w:rsidRPr="003E1608">
        <w:rPr>
          <w:rFonts w:ascii="Times New Roman" w:hAnsi="Times New Roman"/>
          <w:b/>
          <w:i/>
          <w:sz w:val="28"/>
          <w:szCs w:val="28"/>
          <w:lang w:val="en-US"/>
        </w:rPr>
        <w:t>s</w:t>
      </w:r>
      <w:r w:rsidRPr="003E1608">
        <w:rPr>
          <w:rFonts w:ascii="Times New Roman" w:hAnsi="Times New Roman"/>
          <w:b/>
          <w:i/>
          <w:sz w:val="28"/>
          <w:szCs w:val="28"/>
        </w:rPr>
        <w:t>.</w:t>
      </w:r>
      <w:r w:rsidRPr="003E1608">
        <w:rPr>
          <w:rFonts w:ascii="Times New Roman" w:hAnsi="Times New Roman"/>
          <w:b/>
          <w:i/>
          <w:sz w:val="28"/>
          <w:szCs w:val="28"/>
          <w:lang w:val="en-US"/>
        </w:rPr>
        <w:t>e</w:t>
      </w:r>
      <w:r w:rsidRPr="003E1608">
        <w:rPr>
          <w:rFonts w:ascii="Times New Roman" w:hAnsi="Times New Roman"/>
          <w:b/>
          <w:i/>
          <w:sz w:val="28"/>
          <w:szCs w:val="28"/>
        </w:rPr>
        <w:t>. (</w:t>
      </w:r>
      <w:r w:rsidRPr="003E1608">
        <w:rPr>
          <w:rFonts w:ascii="Times New Roman" w:hAnsi="Times New Roman"/>
          <w:b/>
          <w:i/>
          <w:sz w:val="28"/>
          <w:szCs w:val="28"/>
          <w:lang w:val="en-US"/>
        </w:rPr>
        <w:t>P</w:t>
      </w:r>
      <w:r w:rsidRPr="003E1608">
        <w:rPr>
          <w:rFonts w:ascii="Times New Roman" w:hAnsi="Times New Roman"/>
          <w:b/>
          <w:i/>
          <w:sz w:val="28"/>
          <w:szCs w:val="28"/>
          <w:vertAlign w:val="subscript"/>
        </w:rPr>
        <w:t>1</w:t>
      </w:r>
      <w:r w:rsidRPr="003E1608">
        <w:rPr>
          <w:rFonts w:ascii="Times New Roman" w:hAnsi="Times New Roman"/>
          <w:b/>
          <w:i/>
          <w:sz w:val="28"/>
          <w:szCs w:val="28"/>
        </w:rPr>
        <w:t>)</w:t>
      </w:r>
      <w:r w:rsidRPr="003E1608">
        <w:rPr>
          <w:rFonts w:ascii="Times New Roman" w:hAnsi="Times New Roman"/>
          <w:sz w:val="28"/>
          <w:szCs w:val="28"/>
        </w:rPr>
        <w:t xml:space="preserve"> – стандартная ошибка </w:t>
      </w:r>
      <w:r w:rsidRPr="003E1608">
        <w:rPr>
          <w:rFonts w:ascii="Times New Roman" w:hAnsi="Times New Roman"/>
          <w:b/>
          <w:i/>
          <w:sz w:val="28"/>
          <w:szCs w:val="28"/>
          <w:lang w:val="en-US"/>
        </w:rPr>
        <w:t>P</w:t>
      </w:r>
      <w:r w:rsidRPr="003E1608">
        <w:rPr>
          <w:rFonts w:ascii="Times New Roman" w:hAnsi="Times New Roman"/>
          <w:b/>
          <w:i/>
          <w:sz w:val="28"/>
          <w:szCs w:val="28"/>
          <w:vertAlign w:val="subscript"/>
        </w:rPr>
        <w:t>1</w:t>
      </w:r>
    </w:p>
    <w:p w14:paraId="680421B0" w14:textId="77777777" w:rsidR="005C199B" w:rsidRPr="003E1608" w:rsidRDefault="005C199B" w:rsidP="005C199B">
      <w:pPr>
        <w:widowControl w:val="0"/>
        <w:spacing w:after="0" w:line="240" w:lineRule="auto"/>
        <w:ind w:firstLine="1134"/>
        <w:jc w:val="both"/>
        <w:rPr>
          <w:rFonts w:ascii="Times New Roman" w:hAnsi="Times New Roman"/>
          <w:sz w:val="28"/>
          <w:szCs w:val="28"/>
        </w:rPr>
      </w:pPr>
      <w:r w:rsidRPr="003E1608">
        <w:rPr>
          <w:rFonts w:ascii="Times New Roman" w:hAnsi="Times New Roman"/>
          <w:b/>
          <w:i/>
          <w:sz w:val="28"/>
          <w:szCs w:val="28"/>
          <w:lang w:val="en-US"/>
        </w:rPr>
        <w:t>s</w:t>
      </w:r>
      <w:r w:rsidRPr="003E1608">
        <w:rPr>
          <w:rFonts w:ascii="Times New Roman" w:hAnsi="Times New Roman"/>
          <w:b/>
          <w:i/>
          <w:sz w:val="28"/>
          <w:szCs w:val="28"/>
        </w:rPr>
        <w:t>.</w:t>
      </w:r>
      <w:r w:rsidRPr="003E1608">
        <w:rPr>
          <w:rFonts w:ascii="Times New Roman" w:hAnsi="Times New Roman"/>
          <w:b/>
          <w:i/>
          <w:sz w:val="28"/>
          <w:szCs w:val="28"/>
          <w:lang w:val="en-US"/>
        </w:rPr>
        <w:t>e</w:t>
      </w:r>
      <w:r w:rsidRPr="003E1608">
        <w:rPr>
          <w:rFonts w:ascii="Times New Roman" w:hAnsi="Times New Roman"/>
          <w:b/>
          <w:i/>
          <w:sz w:val="28"/>
          <w:szCs w:val="28"/>
        </w:rPr>
        <w:t>. (</w:t>
      </w:r>
      <w:r w:rsidRPr="003E1608">
        <w:rPr>
          <w:rFonts w:ascii="Times New Roman" w:hAnsi="Times New Roman"/>
          <w:b/>
          <w:i/>
          <w:sz w:val="28"/>
          <w:szCs w:val="28"/>
          <w:lang w:val="en-US"/>
        </w:rPr>
        <w:t>P</w:t>
      </w:r>
      <w:r w:rsidRPr="003E1608">
        <w:rPr>
          <w:rFonts w:ascii="Times New Roman" w:hAnsi="Times New Roman"/>
          <w:b/>
          <w:i/>
          <w:sz w:val="28"/>
          <w:szCs w:val="28"/>
          <w:vertAlign w:val="subscript"/>
        </w:rPr>
        <w:t>2</w:t>
      </w:r>
      <w:r w:rsidRPr="003E1608">
        <w:rPr>
          <w:rFonts w:ascii="Times New Roman" w:hAnsi="Times New Roman"/>
          <w:b/>
          <w:i/>
          <w:sz w:val="28"/>
          <w:szCs w:val="28"/>
        </w:rPr>
        <w:t>)</w:t>
      </w:r>
      <w:r w:rsidRPr="003E1608">
        <w:rPr>
          <w:rFonts w:ascii="Times New Roman" w:hAnsi="Times New Roman"/>
          <w:sz w:val="28"/>
          <w:szCs w:val="28"/>
        </w:rPr>
        <w:t xml:space="preserve"> – стандартная ошибка </w:t>
      </w:r>
      <w:r w:rsidRPr="003E1608">
        <w:rPr>
          <w:rFonts w:ascii="Times New Roman" w:hAnsi="Times New Roman"/>
          <w:b/>
          <w:i/>
          <w:sz w:val="28"/>
          <w:szCs w:val="28"/>
          <w:lang w:val="en-US"/>
        </w:rPr>
        <w:t>P</w:t>
      </w:r>
      <w:r w:rsidRPr="003E1608">
        <w:rPr>
          <w:rFonts w:ascii="Times New Roman" w:hAnsi="Times New Roman"/>
          <w:b/>
          <w:i/>
          <w:sz w:val="28"/>
          <w:szCs w:val="28"/>
          <w:vertAlign w:val="subscript"/>
        </w:rPr>
        <w:t>2</w:t>
      </w:r>
    </w:p>
    <w:p w14:paraId="018D593F" w14:textId="77777777" w:rsidR="005C199B" w:rsidRDefault="005C199B" w:rsidP="005C199B">
      <w:pPr>
        <w:widowControl w:val="0"/>
        <w:spacing w:after="0" w:line="240" w:lineRule="auto"/>
        <w:ind w:firstLine="567"/>
        <w:jc w:val="both"/>
        <w:rPr>
          <w:rFonts w:ascii="Times New Roman" w:hAnsi="Times New Roman"/>
          <w:sz w:val="28"/>
          <w:szCs w:val="28"/>
        </w:rPr>
      </w:pPr>
    </w:p>
    <w:p w14:paraId="26A5867A" w14:textId="77777777" w:rsidR="005C199B" w:rsidRPr="003E1608" w:rsidRDefault="005C199B" w:rsidP="005C199B">
      <w:pPr>
        <w:widowControl w:val="0"/>
        <w:spacing w:after="0" w:line="240" w:lineRule="auto"/>
        <w:ind w:firstLine="567"/>
        <w:jc w:val="both"/>
        <w:rPr>
          <w:rFonts w:ascii="Times New Roman" w:hAnsi="Times New Roman"/>
          <w:sz w:val="28"/>
          <w:szCs w:val="28"/>
        </w:rPr>
      </w:pPr>
      <w:r w:rsidRPr="003E1608">
        <w:rPr>
          <w:rFonts w:ascii="Times New Roman" w:hAnsi="Times New Roman"/>
          <w:sz w:val="28"/>
          <w:szCs w:val="28"/>
        </w:rPr>
        <w:t xml:space="preserve">Статистическое значение </w:t>
      </w:r>
      <w:r w:rsidRPr="003E1608">
        <w:rPr>
          <w:rFonts w:ascii="Times New Roman" w:hAnsi="Times New Roman"/>
          <w:b/>
          <w:i/>
          <w:sz w:val="28"/>
          <w:szCs w:val="28"/>
          <w:lang w:val="en-US"/>
        </w:rPr>
        <w:t>Z</w:t>
      </w:r>
      <w:r w:rsidRPr="003E1608">
        <w:rPr>
          <w:rFonts w:ascii="Times New Roman" w:hAnsi="Times New Roman"/>
          <w:sz w:val="28"/>
          <w:szCs w:val="28"/>
        </w:rPr>
        <w:t xml:space="preserve"> является нормальным отклонением, поэтому если </w:t>
      </w:r>
      <w:r w:rsidRPr="003E1608">
        <w:rPr>
          <w:rFonts w:ascii="Times New Roman" w:hAnsi="Times New Roman"/>
          <w:b/>
          <w:i/>
          <w:sz w:val="28"/>
          <w:szCs w:val="28"/>
          <w:lang w:val="en-US"/>
        </w:rPr>
        <w:t>Z</w:t>
      </w:r>
      <w:r w:rsidRPr="003E1608">
        <w:rPr>
          <w:rFonts w:ascii="Times New Roman" w:hAnsi="Times New Roman"/>
          <w:b/>
          <w:i/>
          <w:sz w:val="28"/>
          <w:szCs w:val="28"/>
        </w:rPr>
        <w:t>&gt;1,96</w:t>
      </w:r>
      <w:r w:rsidRPr="003E1608">
        <w:rPr>
          <w:rFonts w:ascii="Times New Roman" w:hAnsi="Times New Roman"/>
          <w:sz w:val="28"/>
          <w:szCs w:val="28"/>
        </w:rPr>
        <w:t xml:space="preserve">, вероятность случайного возникновения такого различия составляет </w:t>
      </w:r>
      <w:proofErr w:type="gramStart"/>
      <w:r w:rsidRPr="003E1608">
        <w:rPr>
          <w:rFonts w:ascii="Times New Roman" w:hAnsi="Times New Roman"/>
          <w:b/>
          <w:i/>
          <w:sz w:val="28"/>
          <w:szCs w:val="28"/>
        </w:rPr>
        <w:t>&lt; 5</w:t>
      </w:r>
      <w:proofErr w:type="gramEnd"/>
      <w:r w:rsidRPr="003E1608">
        <w:rPr>
          <w:rFonts w:ascii="Times New Roman" w:hAnsi="Times New Roman"/>
          <w:b/>
          <w:i/>
          <w:sz w:val="28"/>
          <w:szCs w:val="28"/>
        </w:rPr>
        <w:t>%</w:t>
      </w:r>
      <w:r w:rsidRPr="003E1608">
        <w:rPr>
          <w:rFonts w:ascii="Times New Roman" w:hAnsi="Times New Roman"/>
          <w:sz w:val="28"/>
          <w:szCs w:val="28"/>
        </w:rPr>
        <w:t xml:space="preserve">, а если </w:t>
      </w:r>
      <w:r w:rsidRPr="003E1608">
        <w:rPr>
          <w:rFonts w:ascii="Times New Roman" w:hAnsi="Times New Roman"/>
          <w:b/>
          <w:i/>
          <w:sz w:val="28"/>
          <w:szCs w:val="28"/>
          <w:lang w:val="en-US"/>
        </w:rPr>
        <w:t>Z</w:t>
      </w:r>
      <w:r w:rsidRPr="003E1608">
        <w:rPr>
          <w:rFonts w:ascii="Times New Roman" w:hAnsi="Times New Roman"/>
          <w:b/>
          <w:i/>
          <w:sz w:val="28"/>
          <w:szCs w:val="28"/>
        </w:rPr>
        <w:t>&gt;2,56</w:t>
      </w:r>
      <w:r w:rsidRPr="003E1608">
        <w:rPr>
          <w:rFonts w:ascii="Times New Roman" w:hAnsi="Times New Roman"/>
          <w:sz w:val="28"/>
          <w:szCs w:val="28"/>
        </w:rPr>
        <w:t xml:space="preserve">, такая вероятность </w:t>
      </w:r>
      <w:r w:rsidRPr="003E1608">
        <w:rPr>
          <w:rFonts w:ascii="Times New Roman" w:hAnsi="Times New Roman"/>
          <w:b/>
          <w:i/>
          <w:sz w:val="28"/>
          <w:szCs w:val="28"/>
        </w:rPr>
        <w:t>&lt; 1%</w:t>
      </w:r>
      <w:r w:rsidRPr="003E1608">
        <w:rPr>
          <w:rFonts w:ascii="Times New Roman" w:hAnsi="Times New Roman"/>
          <w:sz w:val="28"/>
          <w:szCs w:val="28"/>
        </w:rPr>
        <w:t xml:space="preserve"> и т.д. </w:t>
      </w:r>
    </w:p>
    <w:p w14:paraId="3724BFD4" w14:textId="13D5E7CC" w:rsidR="005C199B" w:rsidRPr="003E1608" w:rsidRDefault="005C199B" w:rsidP="005C199B">
      <w:pPr>
        <w:widowControl w:val="0"/>
        <w:spacing w:after="0" w:line="240" w:lineRule="auto"/>
        <w:ind w:firstLine="567"/>
        <w:jc w:val="both"/>
        <w:rPr>
          <w:rFonts w:ascii="Times New Roman" w:hAnsi="Times New Roman"/>
          <w:sz w:val="28"/>
          <w:szCs w:val="28"/>
        </w:rPr>
      </w:pPr>
      <w:r w:rsidRPr="003E1608">
        <w:rPr>
          <w:rFonts w:ascii="Times New Roman" w:hAnsi="Times New Roman"/>
          <w:sz w:val="28"/>
          <w:szCs w:val="28"/>
        </w:rPr>
        <w:t>На современном этапе развития онкологии одним из наиболее важных аспектов противораковой борьбы является изучение отдаленных результатов лечения больных со злокачественными новообразованиями. Поэтому изучение выживаемости больных злокачественными новообразованиями в настоящее время стало одним из важных направлений онкологической статистики. В дополнение к таким традиционным статистическим показателям как заболеваемость, смертность и распространенность, выживаемость больных является важным критерием оценки эффективности противораковой борьбы. С помощью показателя выживаемости можно судить об эффективности лечения, качестве медицинского обслуживания населения и строить некоторые прогнозы. В связи, с чем проведение одновременных анализов всех этих взаимосвязанных показателей позволит адекватно оценить состояние противораковой борьбы.</w:t>
      </w:r>
    </w:p>
    <w:p w14:paraId="02DEA25B" w14:textId="77777777" w:rsidR="00A9409C" w:rsidRPr="00E56745" w:rsidRDefault="00A9409C" w:rsidP="00A9409C">
      <w:pPr>
        <w:tabs>
          <w:tab w:val="left" w:pos="0"/>
          <w:tab w:val="left" w:pos="1134"/>
        </w:tabs>
        <w:spacing w:after="0" w:line="240" w:lineRule="auto"/>
        <w:ind w:firstLine="567"/>
        <w:jc w:val="both"/>
        <w:rPr>
          <w:rFonts w:ascii="Times New Roman" w:hAnsi="Times New Roman"/>
          <w:b/>
          <w:bCs/>
          <w:caps/>
          <w:sz w:val="28"/>
          <w:szCs w:val="28"/>
        </w:rPr>
      </w:pPr>
      <w:r w:rsidRPr="00E56745">
        <w:rPr>
          <w:rFonts w:ascii="Times New Roman" w:hAnsi="Times New Roman"/>
          <w:b/>
          <w:bCs/>
          <w:caps/>
          <w:sz w:val="28"/>
          <w:szCs w:val="28"/>
        </w:rPr>
        <w:lastRenderedPageBreak/>
        <w:t xml:space="preserve">3 Прогностические факторы и выживаемость </w:t>
      </w:r>
      <w:r>
        <w:rPr>
          <w:rFonts w:ascii="Times New Roman" w:hAnsi="Times New Roman"/>
          <w:b/>
          <w:bCs/>
          <w:caps/>
          <w:sz w:val="28"/>
          <w:szCs w:val="28"/>
        </w:rPr>
        <w:t xml:space="preserve">больных </w:t>
      </w:r>
      <w:r w:rsidRPr="00E56745">
        <w:rPr>
          <w:rFonts w:ascii="Times New Roman" w:hAnsi="Times New Roman"/>
          <w:b/>
          <w:bCs/>
          <w:caps/>
          <w:sz w:val="28"/>
          <w:szCs w:val="28"/>
        </w:rPr>
        <w:t>при раке ободочной кишки после радикального хирургического лечения</w:t>
      </w:r>
    </w:p>
    <w:p w14:paraId="32073050" w14:textId="77777777" w:rsidR="00A9409C" w:rsidRPr="001C6187" w:rsidRDefault="00A9409C" w:rsidP="00A9409C">
      <w:pPr>
        <w:tabs>
          <w:tab w:val="left" w:pos="0"/>
          <w:tab w:val="left" w:pos="1134"/>
        </w:tabs>
        <w:spacing w:after="0" w:line="240" w:lineRule="auto"/>
        <w:ind w:firstLine="567"/>
        <w:rPr>
          <w:rFonts w:ascii="Times New Roman" w:hAnsi="Times New Roman"/>
          <w:b/>
          <w:bCs/>
          <w:sz w:val="28"/>
          <w:szCs w:val="28"/>
        </w:rPr>
      </w:pPr>
    </w:p>
    <w:p w14:paraId="58D529D5" w14:textId="77777777" w:rsidR="00A9409C" w:rsidRPr="001C6187" w:rsidRDefault="00A9409C" w:rsidP="00A9409C">
      <w:pPr>
        <w:tabs>
          <w:tab w:val="left" w:pos="0"/>
          <w:tab w:val="left" w:pos="1134"/>
        </w:tabs>
        <w:spacing w:after="0" w:line="240" w:lineRule="auto"/>
        <w:ind w:firstLine="567"/>
        <w:jc w:val="both"/>
        <w:rPr>
          <w:rFonts w:ascii="Times New Roman" w:hAnsi="Times New Roman"/>
          <w:b/>
          <w:sz w:val="28"/>
          <w:szCs w:val="28"/>
        </w:rPr>
      </w:pPr>
      <w:r w:rsidRPr="001C6187">
        <w:rPr>
          <w:rFonts w:ascii="Times New Roman" w:hAnsi="Times New Roman"/>
          <w:b/>
          <w:sz w:val="28"/>
          <w:szCs w:val="28"/>
        </w:rPr>
        <w:t xml:space="preserve">3.1 </w:t>
      </w:r>
      <w:r>
        <w:rPr>
          <w:rFonts w:ascii="Times New Roman" w:hAnsi="Times New Roman"/>
          <w:b/>
          <w:sz w:val="28"/>
          <w:szCs w:val="28"/>
          <w:lang w:bidi="kn-IN"/>
        </w:rPr>
        <w:t>А</w:t>
      </w:r>
      <w:r w:rsidRPr="001C6187">
        <w:rPr>
          <w:rFonts w:ascii="Times New Roman" w:hAnsi="Times New Roman"/>
          <w:b/>
          <w:sz w:val="28"/>
          <w:szCs w:val="28"/>
          <w:lang w:bidi="kn-IN"/>
        </w:rPr>
        <w:t xml:space="preserve">нализа </w:t>
      </w:r>
      <w:r>
        <w:rPr>
          <w:rFonts w:ascii="Times New Roman" w:hAnsi="Times New Roman"/>
          <w:b/>
          <w:sz w:val="28"/>
          <w:szCs w:val="28"/>
          <w:lang w:bidi="kn-IN"/>
        </w:rPr>
        <w:t>предикторов</w:t>
      </w:r>
      <w:r w:rsidRPr="001C6187">
        <w:rPr>
          <w:rFonts w:ascii="Times New Roman" w:hAnsi="Times New Roman"/>
          <w:b/>
          <w:sz w:val="28"/>
          <w:szCs w:val="28"/>
          <w:lang w:bidi="kn-IN"/>
        </w:rPr>
        <w:t xml:space="preserve">, влияющих на выживаемость </w:t>
      </w:r>
      <w:r>
        <w:rPr>
          <w:rFonts w:ascii="Times New Roman" w:hAnsi="Times New Roman"/>
          <w:b/>
          <w:sz w:val="28"/>
          <w:szCs w:val="28"/>
          <w:lang w:bidi="kn-IN"/>
        </w:rPr>
        <w:t>больных при раке ободочной кишки</w:t>
      </w:r>
      <w:r w:rsidRPr="001C6187">
        <w:rPr>
          <w:rFonts w:ascii="Times New Roman" w:hAnsi="Times New Roman"/>
          <w:b/>
          <w:sz w:val="28"/>
          <w:szCs w:val="28"/>
          <w:lang w:bidi="kn-IN"/>
        </w:rPr>
        <w:t xml:space="preserve"> после радикального хирургического лечения</w:t>
      </w:r>
    </w:p>
    <w:p w14:paraId="54B4BDF7" w14:textId="77777777" w:rsidR="00A9409C" w:rsidRPr="001C6187" w:rsidRDefault="00A9409C" w:rsidP="00A9409C">
      <w:pPr>
        <w:pStyle w:val="a6"/>
        <w:tabs>
          <w:tab w:val="left" w:pos="0"/>
        </w:tabs>
        <w:spacing w:after="0" w:line="240" w:lineRule="auto"/>
        <w:ind w:left="0" w:firstLine="567"/>
        <w:jc w:val="both"/>
        <w:rPr>
          <w:rFonts w:ascii="Times New Roman" w:hAnsi="Times New Roman"/>
          <w:sz w:val="28"/>
          <w:szCs w:val="28"/>
        </w:rPr>
      </w:pPr>
      <w:r w:rsidRPr="001C6187">
        <w:rPr>
          <w:rFonts w:ascii="Times New Roman" w:hAnsi="Times New Roman"/>
          <w:sz w:val="28"/>
          <w:szCs w:val="28"/>
        </w:rPr>
        <w:t>Проведен анализ влияния факторов на одногодичную общую, 3-летнюю общую, 3-летнюю безрецидивную,</w:t>
      </w:r>
      <w:r w:rsidRPr="001C6187">
        <w:rPr>
          <w:rFonts w:ascii="Times New Roman" w:hAnsi="Times New Roman"/>
          <w:bCs/>
          <w:sz w:val="28"/>
          <w:szCs w:val="28"/>
        </w:rPr>
        <w:t xml:space="preserve"> 5-летняя общая </w:t>
      </w:r>
      <w:r w:rsidRPr="001C6187">
        <w:rPr>
          <w:rFonts w:ascii="Times New Roman" w:hAnsi="Times New Roman"/>
          <w:sz w:val="28"/>
          <w:szCs w:val="28"/>
        </w:rPr>
        <w:t>выживаемость больных после радикального хирургического лечения рака ободочной кишки. Были выделены следующие факторы:</w:t>
      </w:r>
    </w:p>
    <w:p w14:paraId="34E883E0" w14:textId="77777777" w:rsidR="00A9409C" w:rsidRPr="001C6187" w:rsidRDefault="00A9409C" w:rsidP="00A9409C">
      <w:pPr>
        <w:pStyle w:val="a6"/>
        <w:numPr>
          <w:ilvl w:val="0"/>
          <w:numId w:val="4"/>
        </w:numPr>
        <w:tabs>
          <w:tab w:val="left" w:pos="0"/>
          <w:tab w:val="left" w:pos="993"/>
        </w:tabs>
        <w:spacing w:after="0" w:line="240" w:lineRule="auto"/>
        <w:ind w:left="0" w:firstLine="567"/>
        <w:jc w:val="both"/>
        <w:rPr>
          <w:rFonts w:ascii="Times New Roman" w:hAnsi="Times New Roman"/>
          <w:sz w:val="28"/>
          <w:szCs w:val="28"/>
        </w:rPr>
      </w:pPr>
      <w:r w:rsidRPr="001C6187">
        <w:rPr>
          <w:rFonts w:ascii="Times New Roman" w:hAnsi="Times New Roman"/>
          <w:sz w:val="28"/>
          <w:szCs w:val="28"/>
        </w:rPr>
        <w:t>Демографические факторы: возраст, пол.</w:t>
      </w:r>
    </w:p>
    <w:p w14:paraId="5717E55E" w14:textId="77777777" w:rsidR="00A9409C" w:rsidRPr="001C6187" w:rsidRDefault="00A9409C" w:rsidP="00A9409C">
      <w:pPr>
        <w:pStyle w:val="a6"/>
        <w:numPr>
          <w:ilvl w:val="0"/>
          <w:numId w:val="4"/>
        </w:numPr>
        <w:tabs>
          <w:tab w:val="left" w:pos="0"/>
          <w:tab w:val="left" w:pos="993"/>
        </w:tabs>
        <w:spacing w:after="0" w:line="240" w:lineRule="auto"/>
        <w:ind w:left="0" w:firstLine="567"/>
        <w:jc w:val="both"/>
        <w:rPr>
          <w:rFonts w:ascii="Times New Roman" w:hAnsi="Times New Roman"/>
          <w:sz w:val="28"/>
          <w:szCs w:val="28"/>
        </w:rPr>
      </w:pPr>
      <w:r w:rsidRPr="001C6187">
        <w:rPr>
          <w:rFonts w:ascii="Times New Roman" w:hAnsi="Times New Roman"/>
          <w:sz w:val="28"/>
          <w:szCs w:val="28"/>
        </w:rPr>
        <w:t xml:space="preserve">Тумор-ассоциированные факторы: локализация опухоли по Международной классификации болезней 10-го пересмотра, стадия </w:t>
      </w:r>
      <w:r w:rsidRPr="001C6187">
        <w:rPr>
          <w:rFonts w:ascii="Times New Roman" w:hAnsi="Times New Roman"/>
          <w:sz w:val="28"/>
          <w:szCs w:val="28"/>
          <w:lang w:val="en-US"/>
        </w:rPr>
        <w:t>TNM</w:t>
      </w:r>
      <w:r w:rsidRPr="001C6187">
        <w:rPr>
          <w:rFonts w:ascii="Times New Roman" w:hAnsi="Times New Roman"/>
          <w:sz w:val="28"/>
          <w:szCs w:val="28"/>
        </w:rPr>
        <w:t xml:space="preserve"> – классификации злокачественных опухолей 7-й редакции, гистологический тип опухоли, дифференцировка опухолевой клетки.</w:t>
      </w:r>
    </w:p>
    <w:p w14:paraId="4AC71B71" w14:textId="77777777" w:rsidR="00A9409C" w:rsidRPr="001C6187" w:rsidRDefault="00A9409C" w:rsidP="00A9409C">
      <w:pPr>
        <w:pStyle w:val="a6"/>
        <w:numPr>
          <w:ilvl w:val="0"/>
          <w:numId w:val="4"/>
        </w:numPr>
        <w:tabs>
          <w:tab w:val="left" w:pos="0"/>
          <w:tab w:val="left" w:pos="993"/>
        </w:tabs>
        <w:spacing w:after="0" w:line="240" w:lineRule="auto"/>
        <w:ind w:left="0" w:firstLine="567"/>
        <w:jc w:val="both"/>
        <w:rPr>
          <w:rFonts w:ascii="Times New Roman" w:hAnsi="Times New Roman"/>
          <w:sz w:val="28"/>
          <w:szCs w:val="28"/>
        </w:rPr>
      </w:pPr>
      <w:r w:rsidRPr="001C6187">
        <w:rPr>
          <w:rFonts w:ascii="Times New Roman" w:hAnsi="Times New Roman"/>
          <w:sz w:val="28"/>
          <w:szCs w:val="28"/>
        </w:rPr>
        <w:t>Хирургические осложнения в раннем послеоперационном периоде: несостоятельность анастомоза, кишечная непроходимость, интраабдоминальная инфекция, сепсис, кровотечение.</w:t>
      </w:r>
    </w:p>
    <w:p w14:paraId="5374A527" w14:textId="77777777" w:rsidR="00A9409C" w:rsidRPr="001C6187" w:rsidRDefault="00A9409C" w:rsidP="00A9409C">
      <w:pPr>
        <w:pStyle w:val="a6"/>
        <w:numPr>
          <w:ilvl w:val="0"/>
          <w:numId w:val="4"/>
        </w:numPr>
        <w:tabs>
          <w:tab w:val="left" w:pos="0"/>
          <w:tab w:val="left" w:pos="993"/>
        </w:tabs>
        <w:spacing w:after="0" w:line="240" w:lineRule="auto"/>
        <w:ind w:left="0" w:firstLine="567"/>
        <w:jc w:val="both"/>
        <w:rPr>
          <w:rFonts w:ascii="Times New Roman" w:hAnsi="Times New Roman"/>
          <w:sz w:val="28"/>
          <w:szCs w:val="28"/>
        </w:rPr>
      </w:pPr>
      <w:r w:rsidRPr="001C6187">
        <w:rPr>
          <w:rFonts w:ascii="Times New Roman" w:hAnsi="Times New Roman"/>
          <w:sz w:val="28"/>
          <w:szCs w:val="28"/>
        </w:rPr>
        <w:t xml:space="preserve">Функциональные нарушения ободочной кишки: энтероколит (синдром хронической диареи, констипация, метеоризм и т.д.), электролитные нарушения, нутритивная недостаточность. </w:t>
      </w:r>
    </w:p>
    <w:p w14:paraId="3CF0A09C" w14:textId="77777777" w:rsidR="00A9409C" w:rsidRPr="001C6187" w:rsidRDefault="00A9409C" w:rsidP="00A9409C">
      <w:pPr>
        <w:pStyle w:val="a6"/>
        <w:numPr>
          <w:ilvl w:val="0"/>
          <w:numId w:val="4"/>
        </w:numPr>
        <w:tabs>
          <w:tab w:val="left" w:pos="0"/>
          <w:tab w:val="left" w:pos="993"/>
        </w:tabs>
        <w:spacing w:after="0" w:line="240" w:lineRule="auto"/>
        <w:ind w:left="0" w:firstLine="567"/>
        <w:jc w:val="both"/>
        <w:rPr>
          <w:rFonts w:ascii="Times New Roman" w:hAnsi="Times New Roman"/>
          <w:sz w:val="28"/>
          <w:szCs w:val="28"/>
        </w:rPr>
      </w:pPr>
      <w:r w:rsidRPr="001C6187">
        <w:rPr>
          <w:rFonts w:ascii="Times New Roman" w:hAnsi="Times New Roman"/>
          <w:sz w:val="28"/>
          <w:szCs w:val="28"/>
        </w:rPr>
        <w:t>Коморбидность: патология сердечно-сосудистой системы, дыхательной системы, пищеварительной системы, мочеполовой системы, сахарный диабет.</w:t>
      </w:r>
    </w:p>
    <w:p w14:paraId="764E5989" w14:textId="77777777" w:rsidR="00A9409C" w:rsidRPr="001C6187" w:rsidRDefault="00A9409C" w:rsidP="00A9409C">
      <w:pPr>
        <w:pStyle w:val="a6"/>
        <w:numPr>
          <w:ilvl w:val="0"/>
          <w:numId w:val="4"/>
        </w:numPr>
        <w:tabs>
          <w:tab w:val="left" w:pos="0"/>
          <w:tab w:val="left" w:pos="993"/>
        </w:tabs>
        <w:spacing w:after="0" w:line="240" w:lineRule="auto"/>
        <w:ind w:left="0" w:firstLine="567"/>
        <w:jc w:val="both"/>
        <w:rPr>
          <w:rFonts w:ascii="Times New Roman" w:hAnsi="Times New Roman"/>
          <w:sz w:val="28"/>
          <w:szCs w:val="28"/>
        </w:rPr>
      </w:pPr>
      <w:r w:rsidRPr="001C6187">
        <w:rPr>
          <w:rFonts w:ascii="Times New Roman" w:hAnsi="Times New Roman"/>
          <w:sz w:val="28"/>
          <w:szCs w:val="28"/>
        </w:rPr>
        <w:t>Адьювантная химиотерапия.</w:t>
      </w:r>
    </w:p>
    <w:p w14:paraId="36CDC6F2" w14:textId="77777777" w:rsidR="00A9409C" w:rsidRPr="001C6187" w:rsidRDefault="00A9409C" w:rsidP="00A9409C">
      <w:pPr>
        <w:pStyle w:val="a6"/>
        <w:tabs>
          <w:tab w:val="left" w:pos="0"/>
        </w:tabs>
        <w:spacing w:after="0" w:line="240" w:lineRule="auto"/>
        <w:ind w:left="0" w:firstLine="567"/>
        <w:jc w:val="both"/>
        <w:rPr>
          <w:rFonts w:ascii="Times New Roman" w:hAnsi="Times New Roman"/>
          <w:sz w:val="28"/>
          <w:szCs w:val="28"/>
        </w:rPr>
      </w:pPr>
      <w:r w:rsidRPr="001C6187">
        <w:rPr>
          <w:rFonts w:ascii="Times New Roman" w:hAnsi="Times New Roman"/>
          <w:sz w:val="28"/>
          <w:szCs w:val="28"/>
        </w:rPr>
        <w:t xml:space="preserve">При анализе вышеперечисленных факторов с использованием регрессии Кокса фундаментальный интерес представляли три параметра: выживаемость, период наблюдения и факторы. То есть мы оценивали влияния множества факторов на исход с учетом периода наблюдения. </w:t>
      </w:r>
    </w:p>
    <w:p w14:paraId="0F55F43B" w14:textId="77777777" w:rsidR="00A9409C" w:rsidRDefault="00A9409C" w:rsidP="00A9409C">
      <w:pPr>
        <w:pStyle w:val="a6"/>
        <w:tabs>
          <w:tab w:val="left" w:pos="0"/>
        </w:tabs>
        <w:spacing w:after="0" w:line="240" w:lineRule="auto"/>
        <w:ind w:left="0" w:firstLine="567"/>
        <w:jc w:val="both"/>
        <w:rPr>
          <w:rFonts w:ascii="Times New Roman" w:hAnsi="Times New Roman"/>
          <w:sz w:val="28"/>
          <w:szCs w:val="28"/>
        </w:rPr>
      </w:pPr>
      <w:r w:rsidRPr="001C6187">
        <w:rPr>
          <w:rFonts w:ascii="Times New Roman" w:hAnsi="Times New Roman"/>
          <w:sz w:val="28"/>
          <w:szCs w:val="28"/>
        </w:rPr>
        <w:t xml:space="preserve">Для применения регрессии Кокса нами были соблюдены ряд условий. Одним из них является оценка отсутствия </w:t>
      </w:r>
      <w:proofErr w:type="spellStart"/>
      <w:r w:rsidRPr="001C6187">
        <w:rPr>
          <w:rFonts w:ascii="Times New Roman" w:hAnsi="Times New Roman"/>
          <w:sz w:val="28"/>
          <w:szCs w:val="28"/>
        </w:rPr>
        <w:t>коллинеарности</w:t>
      </w:r>
      <w:proofErr w:type="spellEnd"/>
      <w:r w:rsidRPr="001C6187">
        <w:rPr>
          <w:rFonts w:ascii="Times New Roman" w:hAnsi="Times New Roman"/>
          <w:sz w:val="28"/>
          <w:szCs w:val="28"/>
        </w:rPr>
        <w:t xml:space="preserve">. Для проверки отсутствия </w:t>
      </w:r>
      <w:proofErr w:type="spellStart"/>
      <w:r w:rsidRPr="001C6187">
        <w:rPr>
          <w:rFonts w:ascii="Times New Roman" w:hAnsi="Times New Roman"/>
          <w:sz w:val="28"/>
          <w:szCs w:val="28"/>
        </w:rPr>
        <w:t>коллинеарности</w:t>
      </w:r>
      <w:proofErr w:type="spellEnd"/>
      <w:r w:rsidRPr="001C6187">
        <w:rPr>
          <w:rFonts w:ascii="Times New Roman" w:hAnsi="Times New Roman"/>
          <w:sz w:val="28"/>
          <w:szCs w:val="28"/>
        </w:rPr>
        <w:t>, то есть условия отсутствия тесной корреляционной связи между всеми анализируемыми факторами построена корреляционная матрица. Соответственно выявленная корреляционная связь между факторами не является препятствием для применения регрессии Кокса.</w:t>
      </w:r>
    </w:p>
    <w:p w14:paraId="6F872564" w14:textId="77777777" w:rsidR="00A9409C" w:rsidRPr="001C6187" w:rsidRDefault="00A9409C" w:rsidP="00A9409C">
      <w:pPr>
        <w:pStyle w:val="a6"/>
        <w:tabs>
          <w:tab w:val="left" w:pos="0"/>
        </w:tabs>
        <w:spacing w:after="0" w:line="240" w:lineRule="auto"/>
        <w:ind w:left="0" w:firstLine="567"/>
        <w:jc w:val="both"/>
        <w:rPr>
          <w:rFonts w:ascii="Times New Roman" w:hAnsi="Times New Roman"/>
          <w:sz w:val="28"/>
          <w:szCs w:val="28"/>
        </w:rPr>
      </w:pPr>
      <w:r w:rsidRPr="001C6187">
        <w:rPr>
          <w:rFonts w:ascii="Times New Roman" w:hAnsi="Times New Roman"/>
          <w:sz w:val="28"/>
          <w:szCs w:val="28"/>
        </w:rPr>
        <w:t>Так же была проведена оценка пропорциональности риска наступления неблагоприятного исхода (смерти/рецидива) для объектов исследования в любой период времени. Оценка пропорциональности риска проводилась для каждого фактора отдельно.</w:t>
      </w:r>
    </w:p>
    <w:p w14:paraId="2EB262BE" w14:textId="77777777" w:rsidR="00A9409C" w:rsidRDefault="00A9409C" w:rsidP="00A9409C">
      <w:pPr>
        <w:tabs>
          <w:tab w:val="left" w:pos="0"/>
        </w:tabs>
        <w:spacing w:after="0" w:line="240" w:lineRule="auto"/>
        <w:ind w:firstLine="567"/>
        <w:jc w:val="both"/>
        <w:rPr>
          <w:rFonts w:ascii="Times New Roman" w:hAnsi="Times New Roman"/>
          <w:sz w:val="28"/>
          <w:szCs w:val="28"/>
        </w:rPr>
      </w:pPr>
      <w:r w:rsidRPr="001C6187">
        <w:rPr>
          <w:rFonts w:ascii="Times New Roman" w:hAnsi="Times New Roman"/>
          <w:sz w:val="28"/>
          <w:szCs w:val="28"/>
        </w:rPr>
        <w:t>Кодирование номинальных переменных производилось путем присвоения цифрового значения (пол, локализация опухоли, стадия, гистологический тип опухоли, дифференцировка опухолевой клетки), количественным переменным присвоено значение «больше» или «меньше» медианы изучаемого признака (возраст).</w:t>
      </w:r>
    </w:p>
    <w:p w14:paraId="0C82DEC8" w14:textId="77777777" w:rsidR="00A9409C" w:rsidRPr="001334B9" w:rsidRDefault="00A9409C" w:rsidP="00A9409C">
      <w:pPr>
        <w:tabs>
          <w:tab w:val="left" w:pos="0"/>
        </w:tabs>
        <w:spacing w:after="0" w:line="240" w:lineRule="auto"/>
        <w:ind w:firstLine="567"/>
        <w:jc w:val="both"/>
        <w:rPr>
          <w:rFonts w:ascii="Times New Roman" w:hAnsi="Times New Roman"/>
          <w:sz w:val="28"/>
          <w:szCs w:val="28"/>
        </w:rPr>
      </w:pPr>
      <w:r w:rsidRPr="006A4A68">
        <w:rPr>
          <w:rFonts w:ascii="Times New Roman" w:hAnsi="Times New Roman"/>
          <w:bCs/>
          <w:iCs/>
          <w:sz w:val="28"/>
          <w:szCs w:val="28"/>
        </w:rPr>
        <w:t xml:space="preserve">Средний возраст больных, исследуемых на </w:t>
      </w:r>
      <w:r w:rsidRPr="006A4A68">
        <w:rPr>
          <w:rFonts w:ascii="Times New Roman" w:hAnsi="Times New Roman"/>
          <w:bCs/>
          <w:iCs/>
          <w:sz w:val="28"/>
          <w:szCs w:val="28"/>
          <w:lang w:val="en-US"/>
        </w:rPr>
        <w:t>I</w:t>
      </w:r>
      <w:r w:rsidRPr="00870ADF">
        <w:rPr>
          <w:rFonts w:ascii="Times New Roman" w:hAnsi="Times New Roman"/>
          <w:bCs/>
          <w:iCs/>
          <w:sz w:val="28"/>
          <w:szCs w:val="28"/>
        </w:rPr>
        <w:t xml:space="preserve"> </w:t>
      </w:r>
      <w:r w:rsidRPr="006A4A68">
        <w:rPr>
          <w:rFonts w:ascii="Times New Roman" w:hAnsi="Times New Roman"/>
          <w:bCs/>
          <w:iCs/>
          <w:sz w:val="28"/>
          <w:szCs w:val="28"/>
        </w:rPr>
        <w:t xml:space="preserve">этапе, составил 60,8±0,8 лет (95% ДИ=59,2-62,3), при этом средний возраст мужчин – 61,7±1,2 лет (95% </w:t>
      </w:r>
      <w:r w:rsidRPr="006A4A68">
        <w:rPr>
          <w:rFonts w:ascii="Times New Roman" w:hAnsi="Times New Roman"/>
          <w:bCs/>
          <w:iCs/>
          <w:sz w:val="28"/>
          <w:szCs w:val="28"/>
        </w:rPr>
        <w:lastRenderedPageBreak/>
        <w:t>ДИ=59,4-63,9) статистически значимо не отличался от среднего возраста женщин – 59,9±1,0 лет (95% ДИ=57,9-61,9)</w:t>
      </w:r>
      <w:r>
        <w:rPr>
          <w:rFonts w:ascii="Times New Roman" w:hAnsi="Times New Roman"/>
          <w:bCs/>
          <w:iCs/>
          <w:sz w:val="28"/>
          <w:szCs w:val="28"/>
        </w:rPr>
        <w:t xml:space="preserve">. </w:t>
      </w:r>
      <w:r>
        <w:rPr>
          <w:rFonts w:ascii="Times New Roman" w:hAnsi="Times New Roman"/>
          <w:sz w:val="28"/>
          <w:szCs w:val="28"/>
        </w:rPr>
        <w:t xml:space="preserve">Распределение больных по возрастным группам показало, что наибольший удельный вес был установлен в возрастной группе 60-69 лет (66,7%), аналогичная картина наблюдалась как у женщин (68,5%), так и у мужчин (64,9%) (таблица </w:t>
      </w:r>
      <w:r w:rsidRPr="00870ADF">
        <w:rPr>
          <w:rFonts w:ascii="Times New Roman" w:hAnsi="Times New Roman"/>
          <w:sz w:val="28"/>
          <w:szCs w:val="28"/>
        </w:rPr>
        <w:t>12</w:t>
      </w:r>
      <w:r>
        <w:rPr>
          <w:rFonts w:ascii="Times New Roman" w:hAnsi="Times New Roman"/>
          <w:sz w:val="28"/>
          <w:szCs w:val="28"/>
        </w:rPr>
        <w:t>).</w:t>
      </w:r>
    </w:p>
    <w:p w14:paraId="13A94446" w14:textId="77777777" w:rsidR="00A9409C" w:rsidRDefault="00A9409C" w:rsidP="00A9409C">
      <w:pPr>
        <w:spacing w:after="0" w:line="240" w:lineRule="auto"/>
        <w:ind w:firstLine="567"/>
        <w:jc w:val="both"/>
        <w:rPr>
          <w:rFonts w:ascii="Times New Roman" w:hAnsi="Times New Roman"/>
          <w:sz w:val="28"/>
          <w:szCs w:val="28"/>
        </w:rPr>
      </w:pPr>
    </w:p>
    <w:p w14:paraId="5FACEBF2" w14:textId="77777777" w:rsidR="00A9409C" w:rsidRDefault="00A9409C" w:rsidP="00A9409C">
      <w:pPr>
        <w:spacing w:after="0" w:line="240" w:lineRule="auto"/>
        <w:ind w:firstLine="567"/>
        <w:jc w:val="both"/>
        <w:rPr>
          <w:rFonts w:ascii="Times New Roman" w:hAnsi="Times New Roman"/>
          <w:sz w:val="28"/>
          <w:szCs w:val="28"/>
        </w:rPr>
      </w:pPr>
    </w:p>
    <w:p w14:paraId="07E49DCD" w14:textId="77777777" w:rsidR="00A9409C" w:rsidRPr="00EC0153" w:rsidRDefault="00A9409C" w:rsidP="00A9409C">
      <w:pPr>
        <w:tabs>
          <w:tab w:val="left" w:pos="0"/>
        </w:tabs>
        <w:spacing w:after="0" w:line="240" w:lineRule="auto"/>
        <w:jc w:val="both"/>
        <w:rPr>
          <w:rFonts w:ascii="Times New Roman" w:hAnsi="Times New Roman"/>
          <w:sz w:val="28"/>
          <w:szCs w:val="28"/>
        </w:rPr>
      </w:pPr>
      <w:r>
        <w:rPr>
          <w:rFonts w:ascii="Times New Roman" w:hAnsi="Times New Roman"/>
          <w:sz w:val="28"/>
          <w:szCs w:val="28"/>
        </w:rPr>
        <w:t xml:space="preserve">Таблица </w:t>
      </w:r>
      <w:r w:rsidRPr="00870ADF">
        <w:rPr>
          <w:rFonts w:ascii="Times New Roman" w:hAnsi="Times New Roman"/>
          <w:sz w:val="28"/>
          <w:szCs w:val="28"/>
        </w:rPr>
        <w:t>12</w:t>
      </w:r>
      <w:r>
        <w:rPr>
          <w:rFonts w:ascii="Times New Roman" w:hAnsi="Times New Roman"/>
          <w:sz w:val="28"/>
          <w:szCs w:val="28"/>
        </w:rPr>
        <w:t xml:space="preserve"> – Распределение больных раком ободочной кишки по возрасту и полу</w:t>
      </w:r>
    </w:p>
    <w:p w14:paraId="688670C0" w14:textId="77777777" w:rsidR="00A9409C" w:rsidRDefault="00A9409C" w:rsidP="00A9409C">
      <w:pPr>
        <w:tabs>
          <w:tab w:val="left" w:pos="0"/>
        </w:tabs>
        <w:spacing w:after="0" w:line="240" w:lineRule="auto"/>
        <w:ind w:firstLine="709"/>
        <w:jc w:val="both"/>
        <w:rPr>
          <w:rFonts w:ascii="Times New Roman" w:hAnsi="Times New Roman"/>
          <w:sz w:val="28"/>
          <w:szCs w:val="28"/>
        </w:rPr>
      </w:pPr>
    </w:p>
    <w:tbl>
      <w:tblPr>
        <w:tblW w:w="8505" w:type="dxa"/>
        <w:jc w:val="center"/>
        <w:tblLook w:val="04A0" w:firstRow="1" w:lastRow="0" w:firstColumn="1" w:lastColumn="0" w:noHBand="0" w:noVBand="1"/>
      </w:tblPr>
      <w:tblGrid>
        <w:gridCol w:w="1701"/>
        <w:gridCol w:w="1134"/>
        <w:gridCol w:w="1134"/>
        <w:gridCol w:w="1134"/>
        <w:gridCol w:w="1134"/>
        <w:gridCol w:w="1134"/>
        <w:gridCol w:w="1134"/>
      </w:tblGrid>
      <w:tr w:rsidR="00A9409C" w:rsidRPr="00B330C5" w14:paraId="39840B49" w14:textId="77777777" w:rsidTr="00094F6F">
        <w:trPr>
          <w:trHeight w:val="340"/>
          <w:jc w:val="center"/>
        </w:trPr>
        <w:tc>
          <w:tcPr>
            <w:tcW w:w="1701" w:type="dxa"/>
            <w:vMerge w:val="restart"/>
            <w:tcBorders>
              <w:top w:val="single" w:sz="4" w:space="0" w:color="auto"/>
              <w:left w:val="single" w:sz="4" w:space="0" w:color="auto"/>
              <w:right w:val="single" w:sz="4" w:space="0" w:color="auto"/>
            </w:tcBorders>
            <w:shd w:val="clear" w:color="auto" w:fill="auto"/>
            <w:noWrap/>
            <w:vAlign w:val="center"/>
            <w:hideMark/>
          </w:tcPr>
          <w:p w14:paraId="08A06732"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Возрастные группы, лет</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CA39CCB"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Мужчины</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7BC2D0FD"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Женщины</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7BD8716B"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Оба пола</w:t>
            </w:r>
          </w:p>
        </w:tc>
      </w:tr>
      <w:tr w:rsidR="00A9409C" w:rsidRPr="00B330C5" w14:paraId="1D261869" w14:textId="77777777" w:rsidTr="00094F6F">
        <w:trPr>
          <w:trHeight w:val="340"/>
          <w:jc w:val="center"/>
        </w:trPr>
        <w:tc>
          <w:tcPr>
            <w:tcW w:w="1701" w:type="dxa"/>
            <w:vMerge/>
            <w:tcBorders>
              <w:left w:val="single" w:sz="4" w:space="0" w:color="auto"/>
              <w:bottom w:val="single" w:sz="4" w:space="0" w:color="auto"/>
              <w:right w:val="single" w:sz="4" w:space="0" w:color="auto"/>
            </w:tcBorders>
            <w:shd w:val="clear" w:color="auto" w:fill="auto"/>
            <w:noWrap/>
            <w:vAlign w:val="center"/>
            <w:hideMark/>
          </w:tcPr>
          <w:p w14:paraId="19B1BB46" w14:textId="77777777" w:rsidR="00A9409C" w:rsidRPr="00B330C5" w:rsidRDefault="00A9409C" w:rsidP="00094F6F">
            <w:pPr>
              <w:spacing w:after="0" w:line="240" w:lineRule="auto"/>
              <w:jc w:val="center"/>
              <w:rPr>
                <w:rFonts w:ascii="Times New Roman" w:hAnsi="Times New Roman"/>
                <w:color w:val="000000"/>
                <w:sz w:val="24"/>
                <w:szCs w:val="24"/>
              </w:rPr>
            </w:pPr>
          </w:p>
        </w:tc>
        <w:tc>
          <w:tcPr>
            <w:tcW w:w="1134" w:type="dxa"/>
            <w:tcBorders>
              <w:top w:val="nil"/>
              <w:left w:val="nil"/>
              <w:bottom w:val="single" w:sz="4" w:space="0" w:color="auto"/>
              <w:right w:val="single" w:sz="4" w:space="0" w:color="auto"/>
            </w:tcBorders>
            <w:shd w:val="clear" w:color="auto" w:fill="auto"/>
            <w:noWrap/>
            <w:vAlign w:val="center"/>
            <w:hideMark/>
          </w:tcPr>
          <w:p w14:paraId="526A3868"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АЧ</w:t>
            </w:r>
          </w:p>
        </w:tc>
        <w:tc>
          <w:tcPr>
            <w:tcW w:w="1134" w:type="dxa"/>
            <w:tcBorders>
              <w:top w:val="nil"/>
              <w:left w:val="nil"/>
              <w:bottom w:val="single" w:sz="4" w:space="0" w:color="auto"/>
              <w:right w:val="single" w:sz="4" w:space="0" w:color="auto"/>
            </w:tcBorders>
            <w:shd w:val="clear" w:color="auto" w:fill="auto"/>
            <w:noWrap/>
            <w:vAlign w:val="center"/>
            <w:hideMark/>
          </w:tcPr>
          <w:p w14:paraId="5002CEAA"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14:paraId="16BF2448"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АЧ</w:t>
            </w:r>
          </w:p>
        </w:tc>
        <w:tc>
          <w:tcPr>
            <w:tcW w:w="1134" w:type="dxa"/>
            <w:tcBorders>
              <w:top w:val="nil"/>
              <w:left w:val="nil"/>
              <w:bottom w:val="single" w:sz="4" w:space="0" w:color="auto"/>
              <w:right w:val="single" w:sz="4" w:space="0" w:color="auto"/>
            </w:tcBorders>
            <w:shd w:val="clear" w:color="auto" w:fill="auto"/>
            <w:noWrap/>
            <w:vAlign w:val="center"/>
            <w:hideMark/>
          </w:tcPr>
          <w:p w14:paraId="3DDF8D70"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14:paraId="4441CCC4"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АЧ</w:t>
            </w:r>
          </w:p>
        </w:tc>
        <w:tc>
          <w:tcPr>
            <w:tcW w:w="1134" w:type="dxa"/>
            <w:tcBorders>
              <w:top w:val="nil"/>
              <w:left w:val="nil"/>
              <w:bottom w:val="single" w:sz="4" w:space="0" w:color="auto"/>
              <w:right w:val="single" w:sz="4" w:space="0" w:color="auto"/>
            </w:tcBorders>
            <w:shd w:val="clear" w:color="auto" w:fill="auto"/>
            <w:noWrap/>
            <w:vAlign w:val="center"/>
            <w:hideMark/>
          </w:tcPr>
          <w:p w14:paraId="2B595532"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w:t>
            </w:r>
          </w:p>
        </w:tc>
      </w:tr>
      <w:tr w:rsidR="00A9409C" w:rsidRPr="00B330C5" w14:paraId="0DABFC00" w14:textId="77777777" w:rsidTr="00094F6F">
        <w:trPr>
          <w:trHeight w:val="34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983454A" w14:textId="77777777" w:rsidR="00A9409C" w:rsidRPr="00B330C5" w:rsidRDefault="00A9409C" w:rsidP="00094F6F">
            <w:pPr>
              <w:spacing w:after="0" w:line="240" w:lineRule="auto"/>
              <w:jc w:val="center"/>
              <w:rPr>
                <w:rFonts w:ascii="Times New Roman" w:hAnsi="Times New Roman"/>
                <w:color w:val="000000"/>
                <w:sz w:val="24"/>
                <w:szCs w:val="24"/>
              </w:rPr>
            </w:pPr>
            <w:proofErr w:type="gramStart"/>
            <w:r w:rsidRPr="00B330C5">
              <w:rPr>
                <w:rFonts w:ascii="Times New Roman" w:hAnsi="Times New Roman"/>
                <w:color w:val="000000"/>
                <w:sz w:val="24"/>
                <w:szCs w:val="24"/>
              </w:rPr>
              <w:t>до</w:t>
            </w:r>
            <w:proofErr w:type="gramEnd"/>
            <w:r w:rsidRPr="00B330C5">
              <w:rPr>
                <w:rFonts w:ascii="Times New Roman" w:hAnsi="Times New Roman"/>
                <w:color w:val="000000"/>
                <w:sz w:val="24"/>
                <w:szCs w:val="24"/>
              </w:rPr>
              <w:t xml:space="preserve"> 40</w:t>
            </w:r>
          </w:p>
        </w:tc>
        <w:tc>
          <w:tcPr>
            <w:tcW w:w="1134" w:type="dxa"/>
            <w:tcBorders>
              <w:top w:val="nil"/>
              <w:left w:val="nil"/>
              <w:bottom w:val="single" w:sz="4" w:space="0" w:color="auto"/>
              <w:right w:val="single" w:sz="4" w:space="0" w:color="auto"/>
            </w:tcBorders>
            <w:shd w:val="clear" w:color="auto" w:fill="auto"/>
            <w:noWrap/>
            <w:vAlign w:val="center"/>
            <w:hideMark/>
          </w:tcPr>
          <w:p w14:paraId="1C061D39"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4</w:t>
            </w:r>
          </w:p>
        </w:tc>
        <w:tc>
          <w:tcPr>
            <w:tcW w:w="1134" w:type="dxa"/>
            <w:tcBorders>
              <w:top w:val="nil"/>
              <w:left w:val="nil"/>
              <w:bottom w:val="single" w:sz="4" w:space="0" w:color="auto"/>
              <w:right w:val="single" w:sz="4" w:space="0" w:color="auto"/>
            </w:tcBorders>
            <w:shd w:val="clear" w:color="auto" w:fill="auto"/>
            <w:noWrap/>
            <w:vAlign w:val="center"/>
            <w:hideMark/>
          </w:tcPr>
          <w:p w14:paraId="319BD86B"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5,5</w:t>
            </w:r>
          </w:p>
        </w:tc>
        <w:tc>
          <w:tcPr>
            <w:tcW w:w="1134" w:type="dxa"/>
            <w:tcBorders>
              <w:top w:val="nil"/>
              <w:left w:val="nil"/>
              <w:bottom w:val="single" w:sz="4" w:space="0" w:color="auto"/>
              <w:right w:val="single" w:sz="4" w:space="0" w:color="auto"/>
            </w:tcBorders>
            <w:shd w:val="clear" w:color="auto" w:fill="auto"/>
            <w:noWrap/>
            <w:vAlign w:val="center"/>
            <w:hideMark/>
          </w:tcPr>
          <w:p w14:paraId="42CA4A00"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3</w:t>
            </w:r>
          </w:p>
        </w:tc>
        <w:tc>
          <w:tcPr>
            <w:tcW w:w="1134" w:type="dxa"/>
            <w:tcBorders>
              <w:top w:val="nil"/>
              <w:left w:val="nil"/>
              <w:bottom w:val="single" w:sz="4" w:space="0" w:color="auto"/>
              <w:right w:val="single" w:sz="4" w:space="0" w:color="auto"/>
            </w:tcBorders>
            <w:shd w:val="clear" w:color="auto" w:fill="auto"/>
            <w:noWrap/>
            <w:vAlign w:val="center"/>
            <w:hideMark/>
          </w:tcPr>
          <w:p w14:paraId="6585C6A0"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3,9</w:t>
            </w:r>
          </w:p>
        </w:tc>
        <w:tc>
          <w:tcPr>
            <w:tcW w:w="1134" w:type="dxa"/>
            <w:tcBorders>
              <w:top w:val="nil"/>
              <w:left w:val="nil"/>
              <w:bottom w:val="single" w:sz="4" w:space="0" w:color="auto"/>
              <w:right w:val="single" w:sz="4" w:space="0" w:color="auto"/>
            </w:tcBorders>
            <w:shd w:val="clear" w:color="auto" w:fill="auto"/>
            <w:noWrap/>
            <w:vAlign w:val="center"/>
            <w:hideMark/>
          </w:tcPr>
          <w:p w14:paraId="5821E627"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7</w:t>
            </w:r>
          </w:p>
        </w:tc>
        <w:tc>
          <w:tcPr>
            <w:tcW w:w="1134" w:type="dxa"/>
            <w:tcBorders>
              <w:top w:val="nil"/>
              <w:left w:val="nil"/>
              <w:bottom w:val="single" w:sz="4" w:space="0" w:color="auto"/>
              <w:right w:val="single" w:sz="4" w:space="0" w:color="auto"/>
            </w:tcBorders>
            <w:shd w:val="clear" w:color="auto" w:fill="auto"/>
            <w:noWrap/>
            <w:vAlign w:val="center"/>
            <w:hideMark/>
          </w:tcPr>
          <w:p w14:paraId="278753F1"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4,7</w:t>
            </w:r>
          </w:p>
        </w:tc>
      </w:tr>
      <w:tr w:rsidR="00A9409C" w:rsidRPr="00B330C5" w14:paraId="3F223C1D" w14:textId="77777777" w:rsidTr="00094F6F">
        <w:trPr>
          <w:trHeight w:val="34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9EF4F5D"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40-49</w:t>
            </w:r>
          </w:p>
        </w:tc>
        <w:tc>
          <w:tcPr>
            <w:tcW w:w="1134" w:type="dxa"/>
            <w:tcBorders>
              <w:top w:val="nil"/>
              <w:left w:val="nil"/>
              <w:bottom w:val="single" w:sz="4" w:space="0" w:color="auto"/>
              <w:right w:val="single" w:sz="4" w:space="0" w:color="auto"/>
            </w:tcBorders>
            <w:shd w:val="clear" w:color="auto" w:fill="auto"/>
            <w:noWrap/>
            <w:vAlign w:val="center"/>
            <w:hideMark/>
          </w:tcPr>
          <w:p w14:paraId="0CC46194"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64E0267B"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2,7</w:t>
            </w:r>
          </w:p>
        </w:tc>
        <w:tc>
          <w:tcPr>
            <w:tcW w:w="1134" w:type="dxa"/>
            <w:tcBorders>
              <w:top w:val="nil"/>
              <w:left w:val="nil"/>
              <w:bottom w:val="single" w:sz="4" w:space="0" w:color="auto"/>
              <w:right w:val="single" w:sz="4" w:space="0" w:color="auto"/>
            </w:tcBorders>
            <w:shd w:val="clear" w:color="auto" w:fill="auto"/>
            <w:noWrap/>
            <w:vAlign w:val="center"/>
            <w:hideMark/>
          </w:tcPr>
          <w:p w14:paraId="063133F9"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8</w:t>
            </w:r>
          </w:p>
        </w:tc>
        <w:tc>
          <w:tcPr>
            <w:tcW w:w="1134" w:type="dxa"/>
            <w:tcBorders>
              <w:top w:val="nil"/>
              <w:left w:val="nil"/>
              <w:bottom w:val="single" w:sz="4" w:space="0" w:color="auto"/>
              <w:right w:val="single" w:sz="4" w:space="0" w:color="auto"/>
            </w:tcBorders>
            <w:shd w:val="clear" w:color="auto" w:fill="auto"/>
            <w:noWrap/>
            <w:vAlign w:val="center"/>
            <w:hideMark/>
          </w:tcPr>
          <w:p w14:paraId="28A39187"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10,4</w:t>
            </w:r>
          </w:p>
        </w:tc>
        <w:tc>
          <w:tcPr>
            <w:tcW w:w="1134" w:type="dxa"/>
            <w:tcBorders>
              <w:top w:val="nil"/>
              <w:left w:val="nil"/>
              <w:bottom w:val="single" w:sz="4" w:space="0" w:color="auto"/>
              <w:right w:val="single" w:sz="4" w:space="0" w:color="auto"/>
            </w:tcBorders>
            <w:shd w:val="clear" w:color="auto" w:fill="auto"/>
            <w:noWrap/>
            <w:vAlign w:val="center"/>
            <w:hideMark/>
          </w:tcPr>
          <w:p w14:paraId="2612B91E"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10</w:t>
            </w:r>
          </w:p>
        </w:tc>
        <w:tc>
          <w:tcPr>
            <w:tcW w:w="1134" w:type="dxa"/>
            <w:tcBorders>
              <w:top w:val="nil"/>
              <w:left w:val="nil"/>
              <w:bottom w:val="single" w:sz="4" w:space="0" w:color="auto"/>
              <w:right w:val="single" w:sz="4" w:space="0" w:color="auto"/>
            </w:tcBorders>
            <w:shd w:val="clear" w:color="auto" w:fill="auto"/>
            <w:noWrap/>
            <w:vAlign w:val="center"/>
            <w:hideMark/>
          </w:tcPr>
          <w:p w14:paraId="37547BE8"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6,7</w:t>
            </w:r>
          </w:p>
        </w:tc>
      </w:tr>
      <w:tr w:rsidR="00A9409C" w:rsidRPr="00B330C5" w14:paraId="0A16A8D1" w14:textId="77777777" w:rsidTr="00094F6F">
        <w:trPr>
          <w:trHeight w:val="34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F68ED4B"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50-59</w:t>
            </w:r>
          </w:p>
        </w:tc>
        <w:tc>
          <w:tcPr>
            <w:tcW w:w="1134" w:type="dxa"/>
            <w:tcBorders>
              <w:top w:val="nil"/>
              <w:left w:val="nil"/>
              <w:bottom w:val="single" w:sz="4" w:space="0" w:color="auto"/>
              <w:right w:val="single" w:sz="4" w:space="0" w:color="auto"/>
            </w:tcBorders>
            <w:shd w:val="clear" w:color="auto" w:fill="auto"/>
            <w:noWrap/>
            <w:vAlign w:val="center"/>
            <w:hideMark/>
          </w:tcPr>
          <w:p w14:paraId="17641809"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12</w:t>
            </w:r>
          </w:p>
        </w:tc>
        <w:tc>
          <w:tcPr>
            <w:tcW w:w="1134" w:type="dxa"/>
            <w:tcBorders>
              <w:top w:val="nil"/>
              <w:left w:val="nil"/>
              <w:bottom w:val="single" w:sz="4" w:space="0" w:color="auto"/>
              <w:right w:val="single" w:sz="4" w:space="0" w:color="auto"/>
            </w:tcBorders>
            <w:shd w:val="clear" w:color="auto" w:fill="auto"/>
            <w:noWrap/>
            <w:vAlign w:val="center"/>
            <w:hideMark/>
          </w:tcPr>
          <w:p w14:paraId="75FAD72D"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16,4</w:t>
            </w:r>
          </w:p>
        </w:tc>
        <w:tc>
          <w:tcPr>
            <w:tcW w:w="1134" w:type="dxa"/>
            <w:tcBorders>
              <w:top w:val="nil"/>
              <w:left w:val="nil"/>
              <w:bottom w:val="single" w:sz="4" w:space="0" w:color="auto"/>
              <w:right w:val="single" w:sz="4" w:space="0" w:color="auto"/>
            </w:tcBorders>
            <w:shd w:val="clear" w:color="auto" w:fill="auto"/>
            <w:noWrap/>
            <w:vAlign w:val="center"/>
            <w:hideMark/>
          </w:tcPr>
          <w:p w14:paraId="331DC53F"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14</w:t>
            </w:r>
          </w:p>
        </w:tc>
        <w:tc>
          <w:tcPr>
            <w:tcW w:w="1134" w:type="dxa"/>
            <w:tcBorders>
              <w:top w:val="nil"/>
              <w:left w:val="nil"/>
              <w:bottom w:val="single" w:sz="4" w:space="0" w:color="auto"/>
              <w:right w:val="single" w:sz="4" w:space="0" w:color="auto"/>
            </w:tcBorders>
            <w:shd w:val="clear" w:color="auto" w:fill="auto"/>
            <w:noWrap/>
            <w:vAlign w:val="center"/>
            <w:hideMark/>
          </w:tcPr>
          <w:p w14:paraId="1824CAF2"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18,2</w:t>
            </w:r>
          </w:p>
        </w:tc>
        <w:tc>
          <w:tcPr>
            <w:tcW w:w="1134" w:type="dxa"/>
            <w:tcBorders>
              <w:top w:val="nil"/>
              <w:left w:val="nil"/>
              <w:bottom w:val="single" w:sz="4" w:space="0" w:color="auto"/>
              <w:right w:val="single" w:sz="4" w:space="0" w:color="auto"/>
            </w:tcBorders>
            <w:shd w:val="clear" w:color="auto" w:fill="auto"/>
            <w:noWrap/>
            <w:vAlign w:val="center"/>
            <w:hideMark/>
          </w:tcPr>
          <w:p w14:paraId="568A5D36"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26</w:t>
            </w:r>
          </w:p>
        </w:tc>
        <w:tc>
          <w:tcPr>
            <w:tcW w:w="1134" w:type="dxa"/>
            <w:tcBorders>
              <w:top w:val="nil"/>
              <w:left w:val="nil"/>
              <w:bottom w:val="single" w:sz="4" w:space="0" w:color="auto"/>
              <w:right w:val="single" w:sz="4" w:space="0" w:color="auto"/>
            </w:tcBorders>
            <w:shd w:val="clear" w:color="auto" w:fill="auto"/>
            <w:noWrap/>
            <w:vAlign w:val="center"/>
            <w:hideMark/>
          </w:tcPr>
          <w:p w14:paraId="1526BC68"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17,3</w:t>
            </w:r>
          </w:p>
        </w:tc>
      </w:tr>
      <w:tr w:rsidR="00A9409C" w:rsidRPr="00B330C5" w14:paraId="015ACA6B" w14:textId="77777777" w:rsidTr="00094F6F">
        <w:trPr>
          <w:trHeight w:val="34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25714E6"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60-69</w:t>
            </w:r>
          </w:p>
        </w:tc>
        <w:tc>
          <w:tcPr>
            <w:tcW w:w="1134" w:type="dxa"/>
            <w:tcBorders>
              <w:top w:val="nil"/>
              <w:left w:val="nil"/>
              <w:bottom w:val="single" w:sz="4" w:space="0" w:color="auto"/>
              <w:right w:val="single" w:sz="4" w:space="0" w:color="auto"/>
            </w:tcBorders>
            <w:shd w:val="clear" w:color="auto" w:fill="auto"/>
            <w:noWrap/>
            <w:vAlign w:val="center"/>
            <w:hideMark/>
          </w:tcPr>
          <w:p w14:paraId="01C96D29"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50</w:t>
            </w:r>
          </w:p>
        </w:tc>
        <w:tc>
          <w:tcPr>
            <w:tcW w:w="1134" w:type="dxa"/>
            <w:tcBorders>
              <w:top w:val="nil"/>
              <w:left w:val="nil"/>
              <w:bottom w:val="single" w:sz="4" w:space="0" w:color="auto"/>
              <w:right w:val="single" w:sz="4" w:space="0" w:color="auto"/>
            </w:tcBorders>
            <w:shd w:val="clear" w:color="auto" w:fill="auto"/>
            <w:noWrap/>
            <w:vAlign w:val="center"/>
            <w:hideMark/>
          </w:tcPr>
          <w:p w14:paraId="276D7AD0"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68,5</w:t>
            </w:r>
          </w:p>
        </w:tc>
        <w:tc>
          <w:tcPr>
            <w:tcW w:w="1134" w:type="dxa"/>
            <w:tcBorders>
              <w:top w:val="nil"/>
              <w:left w:val="nil"/>
              <w:bottom w:val="single" w:sz="4" w:space="0" w:color="auto"/>
              <w:right w:val="single" w:sz="4" w:space="0" w:color="auto"/>
            </w:tcBorders>
            <w:shd w:val="clear" w:color="auto" w:fill="auto"/>
            <w:noWrap/>
            <w:vAlign w:val="center"/>
            <w:hideMark/>
          </w:tcPr>
          <w:p w14:paraId="2E0D4AE4"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50</w:t>
            </w:r>
          </w:p>
        </w:tc>
        <w:tc>
          <w:tcPr>
            <w:tcW w:w="1134" w:type="dxa"/>
            <w:tcBorders>
              <w:top w:val="nil"/>
              <w:left w:val="nil"/>
              <w:bottom w:val="single" w:sz="4" w:space="0" w:color="auto"/>
              <w:right w:val="single" w:sz="4" w:space="0" w:color="auto"/>
            </w:tcBorders>
            <w:shd w:val="clear" w:color="auto" w:fill="auto"/>
            <w:noWrap/>
            <w:vAlign w:val="center"/>
            <w:hideMark/>
          </w:tcPr>
          <w:p w14:paraId="4EFEE8B1"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64,9</w:t>
            </w:r>
          </w:p>
        </w:tc>
        <w:tc>
          <w:tcPr>
            <w:tcW w:w="1134" w:type="dxa"/>
            <w:tcBorders>
              <w:top w:val="nil"/>
              <w:left w:val="nil"/>
              <w:bottom w:val="single" w:sz="4" w:space="0" w:color="auto"/>
              <w:right w:val="single" w:sz="4" w:space="0" w:color="auto"/>
            </w:tcBorders>
            <w:shd w:val="clear" w:color="auto" w:fill="auto"/>
            <w:noWrap/>
            <w:vAlign w:val="center"/>
            <w:hideMark/>
          </w:tcPr>
          <w:p w14:paraId="24319C4E"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100</w:t>
            </w:r>
          </w:p>
        </w:tc>
        <w:tc>
          <w:tcPr>
            <w:tcW w:w="1134" w:type="dxa"/>
            <w:tcBorders>
              <w:top w:val="nil"/>
              <w:left w:val="nil"/>
              <w:bottom w:val="single" w:sz="4" w:space="0" w:color="auto"/>
              <w:right w:val="single" w:sz="4" w:space="0" w:color="auto"/>
            </w:tcBorders>
            <w:shd w:val="clear" w:color="auto" w:fill="auto"/>
            <w:noWrap/>
            <w:vAlign w:val="center"/>
            <w:hideMark/>
          </w:tcPr>
          <w:p w14:paraId="1E461330"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66,7</w:t>
            </w:r>
          </w:p>
        </w:tc>
      </w:tr>
      <w:tr w:rsidR="00A9409C" w:rsidRPr="00B330C5" w14:paraId="209D0CB5" w14:textId="77777777" w:rsidTr="00094F6F">
        <w:trPr>
          <w:trHeight w:val="34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3142445"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70+</w:t>
            </w:r>
          </w:p>
        </w:tc>
        <w:tc>
          <w:tcPr>
            <w:tcW w:w="1134" w:type="dxa"/>
            <w:tcBorders>
              <w:top w:val="nil"/>
              <w:left w:val="nil"/>
              <w:bottom w:val="single" w:sz="4" w:space="0" w:color="auto"/>
              <w:right w:val="single" w:sz="4" w:space="0" w:color="auto"/>
            </w:tcBorders>
            <w:shd w:val="clear" w:color="auto" w:fill="auto"/>
            <w:noWrap/>
            <w:vAlign w:val="center"/>
            <w:hideMark/>
          </w:tcPr>
          <w:p w14:paraId="06C023CB"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5</w:t>
            </w:r>
          </w:p>
        </w:tc>
        <w:tc>
          <w:tcPr>
            <w:tcW w:w="1134" w:type="dxa"/>
            <w:tcBorders>
              <w:top w:val="nil"/>
              <w:left w:val="nil"/>
              <w:bottom w:val="single" w:sz="4" w:space="0" w:color="auto"/>
              <w:right w:val="single" w:sz="4" w:space="0" w:color="auto"/>
            </w:tcBorders>
            <w:shd w:val="clear" w:color="auto" w:fill="auto"/>
            <w:noWrap/>
            <w:vAlign w:val="center"/>
            <w:hideMark/>
          </w:tcPr>
          <w:p w14:paraId="1429CE9F"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6,8</w:t>
            </w:r>
          </w:p>
        </w:tc>
        <w:tc>
          <w:tcPr>
            <w:tcW w:w="1134" w:type="dxa"/>
            <w:tcBorders>
              <w:top w:val="nil"/>
              <w:left w:val="nil"/>
              <w:bottom w:val="single" w:sz="4" w:space="0" w:color="auto"/>
              <w:right w:val="single" w:sz="4" w:space="0" w:color="auto"/>
            </w:tcBorders>
            <w:shd w:val="clear" w:color="auto" w:fill="auto"/>
            <w:noWrap/>
            <w:vAlign w:val="center"/>
            <w:hideMark/>
          </w:tcPr>
          <w:p w14:paraId="22E85782"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4671D8BA"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2,6</w:t>
            </w:r>
          </w:p>
        </w:tc>
        <w:tc>
          <w:tcPr>
            <w:tcW w:w="1134" w:type="dxa"/>
            <w:tcBorders>
              <w:top w:val="nil"/>
              <w:left w:val="nil"/>
              <w:bottom w:val="single" w:sz="4" w:space="0" w:color="auto"/>
              <w:right w:val="single" w:sz="4" w:space="0" w:color="auto"/>
            </w:tcBorders>
            <w:shd w:val="clear" w:color="auto" w:fill="auto"/>
            <w:noWrap/>
            <w:vAlign w:val="center"/>
            <w:hideMark/>
          </w:tcPr>
          <w:p w14:paraId="18942623"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7</w:t>
            </w:r>
          </w:p>
        </w:tc>
        <w:tc>
          <w:tcPr>
            <w:tcW w:w="1134" w:type="dxa"/>
            <w:tcBorders>
              <w:top w:val="nil"/>
              <w:left w:val="nil"/>
              <w:bottom w:val="single" w:sz="4" w:space="0" w:color="auto"/>
              <w:right w:val="single" w:sz="4" w:space="0" w:color="auto"/>
            </w:tcBorders>
            <w:shd w:val="clear" w:color="auto" w:fill="auto"/>
            <w:noWrap/>
            <w:vAlign w:val="center"/>
            <w:hideMark/>
          </w:tcPr>
          <w:p w14:paraId="0687BE52"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4,7</w:t>
            </w:r>
          </w:p>
        </w:tc>
      </w:tr>
      <w:tr w:rsidR="00A9409C" w:rsidRPr="00B330C5" w14:paraId="47EB2C96" w14:textId="77777777" w:rsidTr="00094F6F">
        <w:trPr>
          <w:trHeight w:val="34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3FD4914"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Всего</w:t>
            </w:r>
          </w:p>
        </w:tc>
        <w:tc>
          <w:tcPr>
            <w:tcW w:w="1134" w:type="dxa"/>
            <w:tcBorders>
              <w:top w:val="nil"/>
              <w:left w:val="nil"/>
              <w:bottom w:val="single" w:sz="4" w:space="0" w:color="auto"/>
              <w:right w:val="single" w:sz="4" w:space="0" w:color="auto"/>
            </w:tcBorders>
            <w:shd w:val="clear" w:color="auto" w:fill="auto"/>
            <w:noWrap/>
            <w:vAlign w:val="center"/>
            <w:hideMark/>
          </w:tcPr>
          <w:p w14:paraId="66E96F7C"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73</w:t>
            </w:r>
          </w:p>
        </w:tc>
        <w:tc>
          <w:tcPr>
            <w:tcW w:w="1134" w:type="dxa"/>
            <w:tcBorders>
              <w:top w:val="nil"/>
              <w:left w:val="nil"/>
              <w:bottom w:val="single" w:sz="4" w:space="0" w:color="auto"/>
              <w:right w:val="single" w:sz="4" w:space="0" w:color="auto"/>
            </w:tcBorders>
            <w:shd w:val="clear" w:color="auto" w:fill="auto"/>
            <w:noWrap/>
            <w:vAlign w:val="center"/>
            <w:hideMark/>
          </w:tcPr>
          <w:p w14:paraId="2466E57B"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100,0</w:t>
            </w:r>
          </w:p>
        </w:tc>
        <w:tc>
          <w:tcPr>
            <w:tcW w:w="1134" w:type="dxa"/>
            <w:tcBorders>
              <w:top w:val="nil"/>
              <w:left w:val="nil"/>
              <w:bottom w:val="single" w:sz="4" w:space="0" w:color="auto"/>
              <w:right w:val="single" w:sz="4" w:space="0" w:color="auto"/>
            </w:tcBorders>
            <w:shd w:val="clear" w:color="auto" w:fill="auto"/>
            <w:noWrap/>
            <w:vAlign w:val="center"/>
            <w:hideMark/>
          </w:tcPr>
          <w:p w14:paraId="1A7E55B6"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77</w:t>
            </w:r>
          </w:p>
        </w:tc>
        <w:tc>
          <w:tcPr>
            <w:tcW w:w="1134" w:type="dxa"/>
            <w:tcBorders>
              <w:top w:val="nil"/>
              <w:left w:val="nil"/>
              <w:bottom w:val="single" w:sz="4" w:space="0" w:color="auto"/>
              <w:right w:val="single" w:sz="4" w:space="0" w:color="auto"/>
            </w:tcBorders>
            <w:shd w:val="clear" w:color="auto" w:fill="auto"/>
            <w:noWrap/>
            <w:vAlign w:val="center"/>
            <w:hideMark/>
          </w:tcPr>
          <w:p w14:paraId="7BAAD92A"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100,0</w:t>
            </w:r>
          </w:p>
        </w:tc>
        <w:tc>
          <w:tcPr>
            <w:tcW w:w="1134" w:type="dxa"/>
            <w:tcBorders>
              <w:top w:val="nil"/>
              <w:left w:val="nil"/>
              <w:bottom w:val="single" w:sz="4" w:space="0" w:color="auto"/>
              <w:right w:val="single" w:sz="4" w:space="0" w:color="auto"/>
            </w:tcBorders>
            <w:shd w:val="clear" w:color="auto" w:fill="auto"/>
            <w:noWrap/>
            <w:vAlign w:val="center"/>
            <w:hideMark/>
          </w:tcPr>
          <w:p w14:paraId="645A2D59"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150</w:t>
            </w:r>
          </w:p>
        </w:tc>
        <w:tc>
          <w:tcPr>
            <w:tcW w:w="1134" w:type="dxa"/>
            <w:tcBorders>
              <w:top w:val="nil"/>
              <w:left w:val="nil"/>
              <w:bottom w:val="single" w:sz="4" w:space="0" w:color="auto"/>
              <w:right w:val="single" w:sz="4" w:space="0" w:color="auto"/>
            </w:tcBorders>
            <w:shd w:val="clear" w:color="auto" w:fill="auto"/>
            <w:noWrap/>
            <w:vAlign w:val="center"/>
            <w:hideMark/>
          </w:tcPr>
          <w:p w14:paraId="728A8A5E" w14:textId="77777777" w:rsidR="00A9409C" w:rsidRPr="00B330C5" w:rsidRDefault="00A9409C" w:rsidP="00094F6F">
            <w:pPr>
              <w:spacing w:after="0" w:line="240" w:lineRule="auto"/>
              <w:jc w:val="center"/>
              <w:rPr>
                <w:rFonts w:ascii="Times New Roman" w:hAnsi="Times New Roman"/>
                <w:color w:val="000000"/>
                <w:sz w:val="24"/>
                <w:szCs w:val="24"/>
              </w:rPr>
            </w:pPr>
            <w:r w:rsidRPr="00B330C5">
              <w:rPr>
                <w:rFonts w:ascii="Times New Roman" w:hAnsi="Times New Roman"/>
                <w:color w:val="000000"/>
                <w:sz w:val="24"/>
                <w:szCs w:val="24"/>
              </w:rPr>
              <w:t>100,0</w:t>
            </w:r>
          </w:p>
        </w:tc>
      </w:tr>
    </w:tbl>
    <w:p w14:paraId="241A5AD3" w14:textId="77777777" w:rsidR="00A9409C" w:rsidRDefault="00A9409C" w:rsidP="00A9409C">
      <w:pPr>
        <w:tabs>
          <w:tab w:val="left" w:pos="0"/>
        </w:tabs>
        <w:spacing w:after="0" w:line="240" w:lineRule="auto"/>
        <w:ind w:firstLine="567"/>
        <w:jc w:val="both"/>
        <w:rPr>
          <w:rFonts w:ascii="Times New Roman" w:hAnsi="Times New Roman"/>
          <w:sz w:val="28"/>
          <w:szCs w:val="28"/>
        </w:rPr>
      </w:pPr>
    </w:p>
    <w:p w14:paraId="221B0C73" w14:textId="77777777" w:rsidR="00A9409C" w:rsidRDefault="00A9409C" w:rsidP="00A9409C">
      <w:pPr>
        <w:tabs>
          <w:tab w:val="left" w:pos="0"/>
        </w:tabs>
        <w:spacing w:after="0" w:line="240" w:lineRule="auto"/>
        <w:ind w:firstLine="567"/>
        <w:jc w:val="both"/>
        <w:rPr>
          <w:rFonts w:ascii="Times New Roman" w:hAnsi="Times New Roman"/>
          <w:sz w:val="28"/>
          <w:szCs w:val="28"/>
        </w:rPr>
      </w:pPr>
    </w:p>
    <w:p w14:paraId="02B9494F" w14:textId="77777777" w:rsidR="00A9409C" w:rsidRPr="00623E78" w:rsidRDefault="00A9409C" w:rsidP="00A9409C">
      <w:pPr>
        <w:tabs>
          <w:tab w:val="left" w:pos="0"/>
        </w:tabs>
        <w:spacing w:after="0" w:line="240" w:lineRule="auto"/>
        <w:ind w:firstLine="567"/>
        <w:jc w:val="both"/>
        <w:rPr>
          <w:rFonts w:ascii="Times New Roman" w:hAnsi="Times New Roman"/>
          <w:bCs/>
          <w:iCs/>
          <w:sz w:val="28"/>
          <w:szCs w:val="28"/>
        </w:rPr>
      </w:pPr>
      <w:r>
        <w:rPr>
          <w:rFonts w:ascii="Times New Roman" w:hAnsi="Times New Roman"/>
          <w:sz w:val="28"/>
          <w:szCs w:val="28"/>
        </w:rPr>
        <w:t>При этом анализ показал, что связи между изучаемыми возрастными группами и полом не установлено (</w:t>
      </w:r>
      <w:r w:rsidRPr="00F1144D">
        <w:rPr>
          <w:rFonts w:ascii="Times New Roman" w:hAnsi="Times New Roman"/>
          <w:b/>
          <w:i/>
          <w:sz w:val="28"/>
          <w:szCs w:val="28"/>
        </w:rPr>
        <w:t>χ</w:t>
      </w:r>
      <w:r w:rsidRPr="00F1144D">
        <w:rPr>
          <w:rFonts w:ascii="Times New Roman" w:hAnsi="Times New Roman"/>
          <w:b/>
          <w:i/>
          <w:sz w:val="28"/>
          <w:szCs w:val="28"/>
          <w:vertAlign w:val="superscript"/>
        </w:rPr>
        <w:t>2</w:t>
      </w:r>
      <w:r>
        <w:rPr>
          <w:rFonts w:ascii="Times New Roman" w:hAnsi="Times New Roman"/>
          <w:b/>
          <w:i/>
          <w:sz w:val="28"/>
          <w:szCs w:val="28"/>
        </w:rPr>
        <w:t>=5,079</w:t>
      </w:r>
      <w:r w:rsidRPr="00623E78">
        <w:rPr>
          <w:rFonts w:ascii="Times New Roman" w:hAnsi="Times New Roman"/>
          <w:bCs/>
          <w:iCs/>
          <w:sz w:val="28"/>
          <w:szCs w:val="28"/>
        </w:rPr>
        <w:t xml:space="preserve">, </w:t>
      </w:r>
      <w:r w:rsidRPr="00623E78">
        <w:rPr>
          <w:rFonts w:ascii="Times New Roman" w:hAnsi="Times New Roman"/>
          <w:bCs/>
          <w:iCs/>
          <w:sz w:val="28"/>
          <w:szCs w:val="28"/>
          <w:lang w:val="en-US"/>
        </w:rPr>
        <w:t>p</w:t>
      </w:r>
      <w:r w:rsidRPr="00870ADF">
        <w:rPr>
          <w:rFonts w:ascii="Times New Roman" w:hAnsi="Times New Roman"/>
          <w:bCs/>
          <w:iCs/>
          <w:sz w:val="28"/>
          <w:szCs w:val="28"/>
        </w:rPr>
        <w:t>=0,</w:t>
      </w:r>
      <w:r>
        <w:rPr>
          <w:rFonts w:ascii="Times New Roman" w:hAnsi="Times New Roman"/>
          <w:bCs/>
          <w:iCs/>
          <w:sz w:val="28"/>
          <w:szCs w:val="28"/>
        </w:rPr>
        <w:t>280)</w:t>
      </w:r>
      <w:r w:rsidRPr="00623E78">
        <w:rPr>
          <w:rFonts w:ascii="Times New Roman" w:hAnsi="Times New Roman"/>
          <w:bCs/>
          <w:iCs/>
          <w:sz w:val="28"/>
          <w:szCs w:val="28"/>
        </w:rPr>
        <w:t>.</w:t>
      </w:r>
      <w:r>
        <w:rPr>
          <w:rFonts w:ascii="Times New Roman" w:hAnsi="Times New Roman"/>
          <w:bCs/>
          <w:iCs/>
          <w:sz w:val="28"/>
          <w:szCs w:val="28"/>
        </w:rPr>
        <w:t xml:space="preserve"> </w:t>
      </w:r>
    </w:p>
    <w:p w14:paraId="193E11A6" w14:textId="77777777" w:rsidR="00A9409C" w:rsidRDefault="00A9409C" w:rsidP="00A9409C">
      <w:pPr>
        <w:tabs>
          <w:tab w:val="left" w:pos="0"/>
        </w:tabs>
        <w:spacing w:after="0" w:line="240" w:lineRule="auto"/>
        <w:ind w:firstLine="567"/>
        <w:jc w:val="both"/>
        <w:rPr>
          <w:rFonts w:ascii="Times New Roman" w:hAnsi="Times New Roman"/>
          <w:sz w:val="28"/>
          <w:szCs w:val="28"/>
        </w:rPr>
      </w:pPr>
      <w:r>
        <w:rPr>
          <w:rFonts w:ascii="Times New Roman" w:hAnsi="Times New Roman"/>
          <w:sz w:val="28"/>
          <w:szCs w:val="28"/>
        </w:rPr>
        <w:t xml:space="preserve">Анализ связи пола с гистологическим типом опухоли у больных на </w:t>
      </w:r>
      <w:r>
        <w:rPr>
          <w:rFonts w:ascii="Times New Roman" w:hAnsi="Times New Roman"/>
          <w:sz w:val="28"/>
          <w:szCs w:val="28"/>
          <w:lang w:val="en-US"/>
        </w:rPr>
        <w:t>I</w:t>
      </w:r>
      <w:r w:rsidRPr="00870ADF">
        <w:rPr>
          <w:rFonts w:ascii="Times New Roman" w:hAnsi="Times New Roman"/>
          <w:sz w:val="28"/>
          <w:szCs w:val="28"/>
        </w:rPr>
        <w:t xml:space="preserve"> </w:t>
      </w:r>
      <w:r>
        <w:rPr>
          <w:rFonts w:ascii="Times New Roman" w:hAnsi="Times New Roman"/>
          <w:sz w:val="28"/>
          <w:szCs w:val="28"/>
        </w:rPr>
        <w:t>этапе представлен в таблице 1</w:t>
      </w:r>
      <w:r w:rsidRPr="00870ADF">
        <w:rPr>
          <w:rFonts w:ascii="Times New Roman" w:hAnsi="Times New Roman"/>
          <w:sz w:val="28"/>
          <w:szCs w:val="28"/>
        </w:rPr>
        <w:t>3</w:t>
      </w:r>
      <w:r>
        <w:rPr>
          <w:rFonts w:ascii="Times New Roman" w:hAnsi="Times New Roman"/>
          <w:sz w:val="28"/>
          <w:szCs w:val="28"/>
        </w:rPr>
        <w:t>.</w:t>
      </w:r>
    </w:p>
    <w:p w14:paraId="7D37DEC0" w14:textId="77777777" w:rsidR="00A9409C" w:rsidRDefault="00A9409C" w:rsidP="00A9409C">
      <w:pPr>
        <w:tabs>
          <w:tab w:val="left" w:pos="0"/>
        </w:tabs>
        <w:spacing w:after="0" w:line="240" w:lineRule="auto"/>
        <w:ind w:firstLine="567"/>
        <w:jc w:val="both"/>
        <w:rPr>
          <w:rFonts w:ascii="Times New Roman" w:hAnsi="Times New Roman"/>
          <w:sz w:val="28"/>
          <w:szCs w:val="28"/>
        </w:rPr>
      </w:pPr>
    </w:p>
    <w:p w14:paraId="63696D99" w14:textId="77777777" w:rsidR="00A9409C" w:rsidRPr="005E6CEE" w:rsidRDefault="00A9409C" w:rsidP="00A9409C">
      <w:pPr>
        <w:tabs>
          <w:tab w:val="left" w:pos="0"/>
        </w:tabs>
        <w:spacing w:after="0" w:line="240" w:lineRule="auto"/>
        <w:ind w:firstLine="567"/>
        <w:jc w:val="both"/>
        <w:rPr>
          <w:rFonts w:ascii="Times New Roman" w:hAnsi="Times New Roman"/>
          <w:sz w:val="28"/>
          <w:szCs w:val="28"/>
        </w:rPr>
      </w:pPr>
    </w:p>
    <w:p w14:paraId="5E9E7E8A" w14:textId="77777777" w:rsidR="00A9409C" w:rsidRPr="00F1144D" w:rsidRDefault="00A9409C" w:rsidP="00A9409C">
      <w:pPr>
        <w:spacing w:after="0" w:line="240" w:lineRule="auto"/>
        <w:jc w:val="both"/>
        <w:rPr>
          <w:rFonts w:ascii="Times New Roman" w:hAnsi="Times New Roman"/>
          <w:sz w:val="28"/>
          <w:szCs w:val="28"/>
        </w:rPr>
      </w:pPr>
      <w:r w:rsidRPr="00F1144D">
        <w:rPr>
          <w:rFonts w:ascii="Times New Roman" w:hAnsi="Times New Roman"/>
          <w:sz w:val="28"/>
          <w:szCs w:val="28"/>
        </w:rPr>
        <w:t xml:space="preserve">Таблица </w:t>
      </w:r>
      <w:r>
        <w:rPr>
          <w:rFonts w:ascii="Times New Roman" w:hAnsi="Times New Roman"/>
          <w:sz w:val="28"/>
          <w:szCs w:val="28"/>
        </w:rPr>
        <w:t>1</w:t>
      </w:r>
      <w:r w:rsidRPr="00870ADF">
        <w:rPr>
          <w:rFonts w:ascii="Times New Roman" w:hAnsi="Times New Roman"/>
          <w:sz w:val="28"/>
          <w:szCs w:val="28"/>
        </w:rPr>
        <w:t>3</w:t>
      </w:r>
      <w:r w:rsidRPr="00F1144D">
        <w:rPr>
          <w:rFonts w:ascii="Times New Roman" w:hAnsi="Times New Roman"/>
          <w:sz w:val="28"/>
          <w:szCs w:val="28"/>
        </w:rPr>
        <w:t xml:space="preserve"> – Оценка связи между факторным (</w:t>
      </w:r>
      <w:r>
        <w:rPr>
          <w:rFonts w:ascii="Times New Roman" w:hAnsi="Times New Roman"/>
          <w:sz w:val="28"/>
          <w:szCs w:val="28"/>
        </w:rPr>
        <w:t>пол</w:t>
      </w:r>
      <w:r w:rsidRPr="00F1144D">
        <w:rPr>
          <w:rFonts w:ascii="Times New Roman" w:hAnsi="Times New Roman"/>
          <w:sz w:val="28"/>
          <w:szCs w:val="28"/>
        </w:rPr>
        <w:t>) и результативным (</w:t>
      </w:r>
      <w:r>
        <w:rPr>
          <w:rFonts w:ascii="Times New Roman" w:hAnsi="Times New Roman"/>
          <w:sz w:val="28"/>
          <w:szCs w:val="28"/>
        </w:rPr>
        <w:t>гистологический тип опухоли</w:t>
      </w:r>
      <w:r w:rsidRPr="00F1144D">
        <w:rPr>
          <w:rFonts w:ascii="Times New Roman" w:hAnsi="Times New Roman"/>
          <w:sz w:val="28"/>
          <w:szCs w:val="28"/>
        </w:rPr>
        <w:t>) признаками у исследуемых больных</w:t>
      </w:r>
    </w:p>
    <w:p w14:paraId="01696CEC" w14:textId="77777777" w:rsidR="00A9409C" w:rsidRPr="00F1144D" w:rsidRDefault="00A9409C" w:rsidP="00A9409C">
      <w:pPr>
        <w:spacing w:after="0" w:line="240" w:lineRule="auto"/>
        <w:ind w:firstLine="567"/>
        <w:jc w:val="both"/>
        <w:rPr>
          <w:rFonts w:ascii="Times New Roman" w:hAnsi="Times New Roman"/>
          <w:sz w:val="28"/>
          <w:szCs w:val="28"/>
        </w:rPr>
      </w:pPr>
    </w:p>
    <w:tbl>
      <w:tblPr>
        <w:tblStyle w:val="af1"/>
        <w:tblW w:w="8608" w:type="dxa"/>
        <w:jc w:val="center"/>
        <w:tblLook w:val="04A0" w:firstRow="1" w:lastRow="0" w:firstColumn="1" w:lastColumn="0" w:noHBand="0" w:noVBand="1"/>
      </w:tblPr>
      <w:tblGrid>
        <w:gridCol w:w="1405"/>
        <w:gridCol w:w="1529"/>
        <w:gridCol w:w="1417"/>
        <w:gridCol w:w="1417"/>
        <w:gridCol w:w="1418"/>
        <w:gridCol w:w="1422"/>
      </w:tblGrid>
      <w:tr w:rsidR="00A9409C" w:rsidRPr="00F1144D" w14:paraId="55E8E460" w14:textId="77777777" w:rsidTr="00094F6F">
        <w:trPr>
          <w:trHeight w:val="340"/>
          <w:jc w:val="center"/>
        </w:trPr>
        <w:tc>
          <w:tcPr>
            <w:tcW w:w="2934" w:type="dxa"/>
            <w:gridSpan w:val="2"/>
            <w:vMerge w:val="restart"/>
            <w:vAlign w:val="center"/>
          </w:tcPr>
          <w:p w14:paraId="448445B8"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Факторный признак</w:t>
            </w:r>
          </w:p>
          <w:p w14:paraId="21736F3A" w14:textId="77777777" w:rsidR="00A9409C" w:rsidRPr="00537EEC"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пол</w:t>
            </w:r>
            <w:proofErr w:type="gramEnd"/>
          </w:p>
        </w:tc>
        <w:tc>
          <w:tcPr>
            <w:tcW w:w="4252" w:type="dxa"/>
            <w:gridSpan w:val="3"/>
            <w:vAlign w:val="center"/>
          </w:tcPr>
          <w:p w14:paraId="647EB8AB"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Результативный признак</w:t>
            </w:r>
          </w:p>
          <w:p w14:paraId="6C7F6597" w14:textId="77777777" w:rsidR="00A9409C" w:rsidRPr="00F1144D" w:rsidRDefault="00A9409C" w:rsidP="00094F6F">
            <w:pPr>
              <w:spacing w:after="0" w:line="240" w:lineRule="auto"/>
              <w:jc w:val="center"/>
              <w:rPr>
                <w:rFonts w:ascii="Times New Roman" w:hAnsi="Times New Roman"/>
                <w:i/>
                <w:sz w:val="24"/>
                <w:szCs w:val="24"/>
              </w:rPr>
            </w:pPr>
            <w:r>
              <w:rPr>
                <w:rFonts w:ascii="Times New Roman" w:hAnsi="Times New Roman"/>
                <w:i/>
                <w:sz w:val="24"/>
                <w:szCs w:val="24"/>
              </w:rPr>
              <w:t>Гистологический тип опухоли</w:t>
            </w:r>
          </w:p>
        </w:tc>
        <w:tc>
          <w:tcPr>
            <w:tcW w:w="1422" w:type="dxa"/>
            <w:vMerge w:val="restart"/>
            <w:vAlign w:val="center"/>
          </w:tcPr>
          <w:p w14:paraId="6E693A27"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Итого</w:t>
            </w:r>
          </w:p>
        </w:tc>
      </w:tr>
      <w:tr w:rsidR="00A9409C" w:rsidRPr="00F1144D" w14:paraId="18FD7742" w14:textId="77777777" w:rsidTr="00094F6F">
        <w:trPr>
          <w:trHeight w:val="340"/>
          <w:jc w:val="center"/>
        </w:trPr>
        <w:tc>
          <w:tcPr>
            <w:tcW w:w="2934" w:type="dxa"/>
            <w:gridSpan w:val="2"/>
            <w:vMerge/>
            <w:vAlign w:val="center"/>
          </w:tcPr>
          <w:p w14:paraId="628E1A9A" w14:textId="77777777" w:rsidR="00A9409C" w:rsidRPr="00F1144D" w:rsidRDefault="00A9409C" w:rsidP="00094F6F">
            <w:pPr>
              <w:spacing w:after="0" w:line="240" w:lineRule="auto"/>
              <w:jc w:val="center"/>
              <w:rPr>
                <w:rFonts w:ascii="Times New Roman" w:hAnsi="Times New Roman"/>
                <w:sz w:val="24"/>
                <w:szCs w:val="24"/>
              </w:rPr>
            </w:pPr>
          </w:p>
        </w:tc>
        <w:tc>
          <w:tcPr>
            <w:tcW w:w="1417" w:type="dxa"/>
            <w:tcBorders>
              <w:bottom w:val="single" w:sz="12" w:space="0" w:color="auto"/>
            </w:tcBorders>
            <w:vAlign w:val="center"/>
          </w:tcPr>
          <w:p w14:paraId="009F7D16" w14:textId="77777777" w:rsidR="00A9409C" w:rsidRPr="003A4941" w:rsidRDefault="00A9409C" w:rsidP="00094F6F">
            <w:pPr>
              <w:spacing w:after="0" w:line="240" w:lineRule="auto"/>
              <w:jc w:val="center"/>
              <w:rPr>
                <w:rFonts w:ascii="Times New Roman" w:hAnsi="Times New Roman"/>
                <w:i/>
                <w:sz w:val="24"/>
                <w:szCs w:val="24"/>
              </w:rPr>
            </w:pPr>
            <w:r w:rsidRPr="003A4941">
              <w:rPr>
                <w:rFonts w:ascii="Times New Roman" w:hAnsi="Times New Roman"/>
                <w:i/>
                <w:sz w:val="24"/>
                <w:szCs w:val="24"/>
              </w:rPr>
              <w:t>АК</w:t>
            </w:r>
          </w:p>
        </w:tc>
        <w:tc>
          <w:tcPr>
            <w:tcW w:w="1417" w:type="dxa"/>
            <w:vAlign w:val="center"/>
          </w:tcPr>
          <w:p w14:paraId="018E6121" w14:textId="77777777" w:rsidR="00A9409C" w:rsidRPr="003A4941" w:rsidRDefault="00A9409C" w:rsidP="00094F6F">
            <w:pPr>
              <w:spacing w:after="0" w:line="240" w:lineRule="auto"/>
              <w:jc w:val="center"/>
              <w:rPr>
                <w:rFonts w:ascii="Times New Roman" w:hAnsi="Times New Roman"/>
                <w:i/>
                <w:sz w:val="24"/>
                <w:szCs w:val="24"/>
              </w:rPr>
            </w:pPr>
            <w:r w:rsidRPr="003A4941">
              <w:rPr>
                <w:rFonts w:ascii="Times New Roman" w:hAnsi="Times New Roman"/>
                <w:i/>
                <w:sz w:val="24"/>
                <w:szCs w:val="24"/>
              </w:rPr>
              <w:t>НДК</w:t>
            </w:r>
          </w:p>
        </w:tc>
        <w:tc>
          <w:tcPr>
            <w:tcW w:w="1418" w:type="dxa"/>
            <w:vAlign w:val="center"/>
          </w:tcPr>
          <w:p w14:paraId="4E30E1F1" w14:textId="77777777" w:rsidR="00A9409C" w:rsidRPr="003A4941" w:rsidRDefault="00A9409C" w:rsidP="00094F6F">
            <w:pPr>
              <w:spacing w:after="0" w:line="240" w:lineRule="auto"/>
              <w:jc w:val="center"/>
              <w:rPr>
                <w:rFonts w:ascii="Times New Roman" w:hAnsi="Times New Roman"/>
                <w:i/>
                <w:sz w:val="24"/>
                <w:szCs w:val="24"/>
              </w:rPr>
            </w:pPr>
            <w:r w:rsidRPr="003A4941">
              <w:rPr>
                <w:rFonts w:ascii="Times New Roman" w:hAnsi="Times New Roman"/>
                <w:i/>
                <w:sz w:val="24"/>
                <w:szCs w:val="24"/>
              </w:rPr>
              <w:t>ПКК</w:t>
            </w:r>
          </w:p>
        </w:tc>
        <w:tc>
          <w:tcPr>
            <w:tcW w:w="1422" w:type="dxa"/>
            <w:vMerge/>
            <w:vAlign w:val="center"/>
          </w:tcPr>
          <w:p w14:paraId="4458AD4F" w14:textId="77777777" w:rsidR="00A9409C" w:rsidRPr="00F1144D" w:rsidRDefault="00A9409C" w:rsidP="00094F6F">
            <w:pPr>
              <w:spacing w:after="0" w:line="240" w:lineRule="auto"/>
              <w:jc w:val="center"/>
              <w:rPr>
                <w:rFonts w:ascii="Times New Roman" w:hAnsi="Times New Roman"/>
                <w:sz w:val="24"/>
                <w:szCs w:val="24"/>
              </w:rPr>
            </w:pPr>
          </w:p>
        </w:tc>
      </w:tr>
      <w:tr w:rsidR="00A9409C" w:rsidRPr="00F1144D" w14:paraId="783D3A7C" w14:textId="77777777" w:rsidTr="00094F6F">
        <w:trPr>
          <w:trHeight w:val="340"/>
          <w:jc w:val="center"/>
        </w:trPr>
        <w:tc>
          <w:tcPr>
            <w:tcW w:w="1405" w:type="dxa"/>
            <w:vMerge w:val="restart"/>
            <w:tcBorders>
              <w:right w:val="single" w:sz="12" w:space="0" w:color="auto"/>
            </w:tcBorders>
            <w:vAlign w:val="center"/>
          </w:tcPr>
          <w:p w14:paraId="4ED4E45C"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мужской</w:t>
            </w:r>
            <w:proofErr w:type="gramEnd"/>
          </w:p>
        </w:tc>
        <w:tc>
          <w:tcPr>
            <w:tcW w:w="152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58497EE7"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169649D3" w14:textId="77777777" w:rsidR="00A9409C" w:rsidRPr="0039478E" w:rsidRDefault="00A9409C" w:rsidP="00094F6F">
            <w:pPr>
              <w:spacing w:after="0" w:line="240" w:lineRule="auto"/>
              <w:jc w:val="center"/>
              <w:rPr>
                <w:rFonts w:ascii="Times New Roman" w:hAnsi="Times New Roman"/>
                <w:b/>
                <w:sz w:val="24"/>
                <w:szCs w:val="24"/>
              </w:rPr>
            </w:pPr>
            <w:r w:rsidRPr="0039478E">
              <w:rPr>
                <w:rFonts w:ascii="Times New Roman" w:hAnsi="Times New Roman"/>
                <w:color w:val="000000"/>
                <w:sz w:val="24"/>
                <w:szCs w:val="24"/>
              </w:rPr>
              <w:t>37</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1E9AD854" w14:textId="77777777" w:rsidR="00A9409C" w:rsidRPr="0039478E" w:rsidRDefault="00A9409C" w:rsidP="00094F6F">
            <w:pPr>
              <w:spacing w:after="0" w:line="240" w:lineRule="auto"/>
              <w:jc w:val="center"/>
              <w:rPr>
                <w:rFonts w:ascii="Times New Roman" w:hAnsi="Times New Roman"/>
                <w:b/>
                <w:sz w:val="24"/>
                <w:szCs w:val="24"/>
              </w:rPr>
            </w:pPr>
            <w:r w:rsidRPr="0039478E">
              <w:rPr>
                <w:rFonts w:ascii="Times New Roman" w:hAnsi="Times New Roman"/>
                <w:color w:val="000000"/>
                <w:sz w:val="24"/>
                <w:szCs w:val="24"/>
              </w:rPr>
              <w:t>16</w:t>
            </w:r>
          </w:p>
        </w:tc>
        <w:tc>
          <w:tcPr>
            <w:tcW w:w="141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569DC98" w14:textId="77777777" w:rsidR="00A9409C" w:rsidRPr="0039478E" w:rsidRDefault="00A9409C" w:rsidP="00094F6F">
            <w:pPr>
              <w:spacing w:after="0" w:line="240" w:lineRule="auto"/>
              <w:jc w:val="center"/>
              <w:rPr>
                <w:rFonts w:ascii="Times New Roman" w:hAnsi="Times New Roman"/>
                <w:b/>
                <w:sz w:val="24"/>
                <w:szCs w:val="24"/>
              </w:rPr>
            </w:pPr>
            <w:r w:rsidRPr="0039478E">
              <w:rPr>
                <w:rFonts w:ascii="Times New Roman" w:hAnsi="Times New Roman"/>
                <w:color w:val="000000"/>
                <w:sz w:val="24"/>
                <w:szCs w:val="24"/>
              </w:rPr>
              <w:t>24</w:t>
            </w:r>
          </w:p>
        </w:tc>
        <w:tc>
          <w:tcPr>
            <w:tcW w:w="1422"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9407109" w14:textId="77777777" w:rsidR="00A9409C" w:rsidRPr="0039478E" w:rsidRDefault="00A9409C" w:rsidP="00094F6F">
            <w:pPr>
              <w:spacing w:after="0" w:line="240" w:lineRule="auto"/>
              <w:jc w:val="center"/>
              <w:rPr>
                <w:rFonts w:ascii="Times New Roman" w:hAnsi="Times New Roman"/>
                <w:b/>
                <w:sz w:val="24"/>
                <w:szCs w:val="24"/>
              </w:rPr>
            </w:pPr>
            <w:r w:rsidRPr="0039478E">
              <w:rPr>
                <w:rFonts w:ascii="Times New Roman" w:hAnsi="Times New Roman"/>
                <w:color w:val="000000"/>
                <w:sz w:val="24"/>
                <w:szCs w:val="24"/>
              </w:rPr>
              <w:t>77</w:t>
            </w:r>
          </w:p>
        </w:tc>
      </w:tr>
      <w:tr w:rsidR="00A9409C" w:rsidRPr="00F1144D" w14:paraId="728DAD60" w14:textId="77777777" w:rsidTr="00094F6F">
        <w:trPr>
          <w:trHeight w:val="340"/>
          <w:jc w:val="center"/>
        </w:trPr>
        <w:tc>
          <w:tcPr>
            <w:tcW w:w="1405" w:type="dxa"/>
            <w:vMerge/>
            <w:vAlign w:val="center"/>
          </w:tcPr>
          <w:p w14:paraId="5FF9AD8B" w14:textId="77777777" w:rsidR="00A9409C" w:rsidRPr="00F1144D" w:rsidRDefault="00A9409C" w:rsidP="00094F6F">
            <w:pPr>
              <w:spacing w:after="0" w:line="240" w:lineRule="auto"/>
              <w:jc w:val="center"/>
              <w:rPr>
                <w:rFonts w:ascii="Times New Roman" w:hAnsi="Times New Roman"/>
                <w:i/>
                <w:sz w:val="24"/>
                <w:szCs w:val="24"/>
              </w:rPr>
            </w:pPr>
          </w:p>
        </w:tc>
        <w:tc>
          <w:tcPr>
            <w:tcW w:w="1529" w:type="dxa"/>
            <w:tcBorders>
              <w:top w:val="single" w:sz="12" w:space="0" w:color="auto"/>
            </w:tcBorders>
            <w:vAlign w:val="center"/>
          </w:tcPr>
          <w:p w14:paraId="08838923"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417" w:type="dxa"/>
            <w:tcBorders>
              <w:top w:val="single" w:sz="12" w:space="0" w:color="auto"/>
            </w:tcBorders>
            <w:vAlign w:val="center"/>
          </w:tcPr>
          <w:p w14:paraId="3930BCD0"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48,05</w:t>
            </w:r>
          </w:p>
        </w:tc>
        <w:tc>
          <w:tcPr>
            <w:tcW w:w="1417" w:type="dxa"/>
            <w:vAlign w:val="center"/>
          </w:tcPr>
          <w:p w14:paraId="1DC83AC7"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20,78</w:t>
            </w:r>
          </w:p>
        </w:tc>
        <w:tc>
          <w:tcPr>
            <w:tcW w:w="1418" w:type="dxa"/>
            <w:vAlign w:val="center"/>
          </w:tcPr>
          <w:p w14:paraId="25839526"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31,17</w:t>
            </w:r>
          </w:p>
        </w:tc>
        <w:tc>
          <w:tcPr>
            <w:tcW w:w="1422" w:type="dxa"/>
            <w:vAlign w:val="center"/>
          </w:tcPr>
          <w:p w14:paraId="43FD96C4"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100,00</w:t>
            </w:r>
          </w:p>
        </w:tc>
      </w:tr>
      <w:tr w:rsidR="00A9409C" w:rsidRPr="00F1144D" w14:paraId="3C7F2E6F" w14:textId="77777777" w:rsidTr="00094F6F">
        <w:trPr>
          <w:trHeight w:val="340"/>
          <w:jc w:val="center"/>
        </w:trPr>
        <w:tc>
          <w:tcPr>
            <w:tcW w:w="1405" w:type="dxa"/>
            <w:vMerge/>
            <w:vAlign w:val="center"/>
          </w:tcPr>
          <w:p w14:paraId="4041235A" w14:textId="77777777" w:rsidR="00A9409C" w:rsidRPr="00F1144D" w:rsidRDefault="00A9409C" w:rsidP="00094F6F">
            <w:pPr>
              <w:spacing w:after="0" w:line="240" w:lineRule="auto"/>
              <w:jc w:val="center"/>
              <w:rPr>
                <w:rFonts w:ascii="Times New Roman" w:hAnsi="Times New Roman"/>
                <w:i/>
                <w:sz w:val="24"/>
                <w:szCs w:val="24"/>
              </w:rPr>
            </w:pPr>
          </w:p>
        </w:tc>
        <w:tc>
          <w:tcPr>
            <w:tcW w:w="1529" w:type="dxa"/>
            <w:tcBorders>
              <w:bottom w:val="single" w:sz="12" w:space="0" w:color="auto"/>
            </w:tcBorders>
            <w:vAlign w:val="center"/>
          </w:tcPr>
          <w:p w14:paraId="1DF607B1"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417" w:type="dxa"/>
            <w:tcBorders>
              <w:bottom w:val="single" w:sz="12" w:space="0" w:color="auto"/>
            </w:tcBorders>
            <w:vAlign w:val="center"/>
          </w:tcPr>
          <w:p w14:paraId="0291DC88"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43,53</w:t>
            </w:r>
          </w:p>
        </w:tc>
        <w:tc>
          <w:tcPr>
            <w:tcW w:w="1417" w:type="dxa"/>
            <w:tcBorders>
              <w:bottom w:val="single" w:sz="12" w:space="0" w:color="auto"/>
            </w:tcBorders>
            <w:vAlign w:val="center"/>
          </w:tcPr>
          <w:p w14:paraId="30C60EF8"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80,00</w:t>
            </w:r>
          </w:p>
        </w:tc>
        <w:tc>
          <w:tcPr>
            <w:tcW w:w="1418" w:type="dxa"/>
            <w:tcBorders>
              <w:bottom w:val="single" w:sz="12" w:space="0" w:color="auto"/>
            </w:tcBorders>
            <w:vAlign w:val="center"/>
          </w:tcPr>
          <w:p w14:paraId="39391777"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53,33</w:t>
            </w:r>
          </w:p>
        </w:tc>
        <w:tc>
          <w:tcPr>
            <w:tcW w:w="1422" w:type="dxa"/>
            <w:tcBorders>
              <w:bottom w:val="single" w:sz="12" w:space="0" w:color="auto"/>
            </w:tcBorders>
            <w:vAlign w:val="center"/>
          </w:tcPr>
          <w:p w14:paraId="5E45F2C4"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51,33</w:t>
            </w:r>
          </w:p>
        </w:tc>
      </w:tr>
      <w:tr w:rsidR="00A9409C" w:rsidRPr="00F1144D" w14:paraId="6C9DF5FD" w14:textId="77777777" w:rsidTr="00094F6F">
        <w:trPr>
          <w:trHeight w:val="340"/>
          <w:jc w:val="center"/>
        </w:trPr>
        <w:tc>
          <w:tcPr>
            <w:tcW w:w="1405" w:type="dxa"/>
            <w:vMerge w:val="restart"/>
            <w:tcBorders>
              <w:right w:val="single" w:sz="12" w:space="0" w:color="auto"/>
            </w:tcBorders>
            <w:vAlign w:val="center"/>
          </w:tcPr>
          <w:p w14:paraId="76251B02"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женский</w:t>
            </w:r>
            <w:proofErr w:type="gramEnd"/>
          </w:p>
        </w:tc>
        <w:tc>
          <w:tcPr>
            <w:tcW w:w="152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88A0EE5"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36A21B6" w14:textId="77777777" w:rsidR="00A9409C" w:rsidRPr="0039478E" w:rsidRDefault="00A9409C" w:rsidP="00094F6F">
            <w:pPr>
              <w:spacing w:after="0" w:line="240" w:lineRule="auto"/>
              <w:jc w:val="center"/>
              <w:rPr>
                <w:rFonts w:ascii="Times New Roman" w:hAnsi="Times New Roman"/>
                <w:b/>
                <w:sz w:val="24"/>
                <w:szCs w:val="24"/>
              </w:rPr>
            </w:pPr>
            <w:r w:rsidRPr="0039478E">
              <w:rPr>
                <w:rFonts w:ascii="Times New Roman" w:hAnsi="Times New Roman"/>
                <w:color w:val="000000"/>
                <w:sz w:val="24"/>
                <w:szCs w:val="24"/>
              </w:rPr>
              <w:t>48</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99C17A4" w14:textId="77777777" w:rsidR="00A9409C" w:rsidRPr="0039478E" w:rsidRDefault="00A9409C" w:rsidP="00094F6F">
            <w:pPr>
              <w:spacing w:after="0" w:line="240" w:lineRule="auto"/>
              <w:jc w:val="center"/>
              <w:rPr>
                <w:rFonts w:ascii="Times New Roman" w:hAnsi="Times New Roman"/>
                <w:b/>
                <w:sz w:val="24"/>
                <w:szCs w:val="24"/>
              </w:rPr>
            </w:pPr>
            <w:r w:rsidRPr="0039478E">
              <w:rPr>
                <w:rFonts w:ascii="Times New Roman" w:hAnsi="Times New Roman"/>
                <w:color w:val="000000"/>
                <w:sz w:val="24"/>
                <w:szCs w:val="24"/>
              </w:rPr>
              <w:t>4</w:t>
            </w:r>
          </w:p>
        </w:tc>
        <w:tc>
          <w:tcPr>
            <w:tcW w:w="141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44439DDC" w14:textId="77777777" w:rsidR="00A9409C" w:rsidRPr="0039478E" w:rsidRDefault="00A9409C" w:rsidP="00094F6F">
            <w:pPr>
              <w:spacing w:after="0" w:line="240" w:lineRule="auto"/>
              <w:jc w:val="center"/>
              <w:rPr>
                <w:rFonts w:ascii="Times New Roman" w:hAnsi="Times New Roman"/>
                <w:b/>
                <w:sz w:val="24"/>
                <w:szCs w:val="24"/>
              </w:rPr>
            </w:pPr>
            <w:r w:rsidRPr="0039478E">
              <w:rPr>
                <w:rFonts w:ascii="Times New Roman" w:hAnsi="Times New Roman"/>
                <w:color w:val="000000"/>
                <w:sz w:val="24"/>
                <w:szCs w:val="24"/>
              </w:rPr>
              <w:t>21</w:t>
            </w:r>
          </w:p>
        </w:tc>
        <w:tc>
          <w:tcPr>
            <w:tcW w:w="1422"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710BCBFF" w14:textId="77777777" w:rsidR="00A9409C" w:rsidRPr="0039478E" w:rsidRDefault="00A9409C" w:rsidP="00094F6F">
            <w:pPr>
              <w:spacing w:after="0" w:line="240" w:lineRule="auto"/>
              <w:jc w:val="center"/>
              <w:rPr>
                <w:rFonts w:ascii="Times New Roman" w:hAnsi="Times New Roman"/>
                <w:b/>
                <w:sz w:val="24"/>
                <w:szCs w:val="24"/>
              </w:rPr>
            </w:pPr>
            <w:r w:rsidRPr="0039478E">
              <w:rPr>
                <w:rFonts w:ascii="Times New Roman" w:hAnsi="Times New Roman"/>
                <w:color w:val="000000"/>
                <w:sz w:val="24"/>
                <w:szCs w:val="24"/>
              </w:rPr>
              <w:t>73</w:t>
            </w:r>
          </w:p>
        </w:tc>
      </w:tr>
      <w:tr w:rsidR="00A9409C" w:rsidRPr="00F1144D" w14:paraId="2A613C33" w14:textId="77777777" w:rsidTr="00094F6F">
        <w:trPr>
          <w:trHeight w:val="340"/>
          <w:jc w:val="center"/>
        </w:trPr>
        <w:tc>
          <w:tcPr>
            <w:tcW w:w="1405" w:type="dxa"/>
            <w:vMerge/>
            <w:vAlign w:val="center"/>
          </w:tcPr>
          <w:p w14:paraId="02F2CA99" w14:textId="77777777" w:rsidR="00A9409C" w:rsidRPr="00F1144D" w:rsidRDefault="00A9409C" w:rsidP="00094F6F">
            <w:pPr>
              <w:spacing w:after="0" w:line="240" w:lineRule="auto"/>
              <w:jc w:val="center"/>
              <w:rPr>
                <w:rFonts w:ascii="Times New Roman" w:hAnsi="Times New Roman"/>
                <w:sz w:val="24"/>
                <w:szCs w:val="24"/>
              </w:rPr>
            </w:pPr>
          </w:p>
        </w:tc>
        <w:tc>
          <w:tcPr>
            <w:tcW w:w="1529" w:type="dxa"/>
            <w:tcBorders>
              <w:top w:val="single" w:sz="12" w:space="0" w:color="auto"/>
            </w:tcBorders>
            <w:vAlign w:val="center"/>
          </w:tcPr>
          <w:p w14:paraId="37530169"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417" w:type="dxa"/>
            <w:tcBorders>
              <w:top w:val="single" w:sz="12" w:space="0" w:color="auto"/>
            </w:tcBorders>
            <w:vAlign w:val="center"/>
          </w:tcPr>
          <w:p w14:paraId="0669EAF9"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65,75</w:t>
            </w:r>
          </w:p>
        </w:tc>
        <w:tc>
          <w:tcPr>
            <w:tcW w:w="1417" w:type="dxa"/>
            <w:tcBorders>
              <w:top w:val="single" w:sz="12" w:space="0" w:color="auto"/>
            </w:tcBorders>
            <w:vAlign w:val="center"/>
          </w:tcPr>
          <w:p w14:paraId="28680410"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5,48</w:t>
            </w:r>
          </w:p>
        </w:tc>
        <w:tc>
          <w:tcPr>
            <w:tcW w:w="1418" w:type="dxa"/>
            <w:tcBorders>
              <w:top w:val="single" w:sz="12" w:space="0" w:color="auto"/>
            </w:tcBorders>
            <w:vAlign w:val="center"/>
          </w:tcPr>
          <w:p w14:paraId="397096BB"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28,77</w:t>
            </w:r>
          </w:p>
        </w:tc>
        <w:tc>
          <w:tcPr>
            <w:tcW w:w="1422" w:type="dxa"/>
            <w:tcBorders>
              <w:top w:val="single" w:sz="12" w:space="0" w:color="auto"/>
            </w:tcBorders>
            <w:vAlign w:val="center"/>
          </w:tcPr>
          <w:p w14:paraId="2F535143"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100,00</w:t>
            </w:r>
          </w:p>
        </w:tc>
      </w:tr>
      <w:tr w:rsidR="00A9409C" w:rsidRPr="00F1144D" w14:paraId="3E74BD14" w14:textId="77777777" w:rsidTr="00094F6F">
        <w:trPr>
          <w:trHeight w:val="340"/>
          <w:jc w:val="center"/>
        </w:trPr>
        <w:tc>
          <w:tcPr>
            <w:tcW w:w="1405" w:type="dxa"/>
            <w:vMerge/>
            <w:vAlign w:val="center"/>
          </w:tcPr>
          <w:p w14:paraId="6F4F4797" w14:textId="77777777" w:rsidR="00A9409C" w:rsidRPr="00F1144D" w:rsidRDefault="00A9409C" w:rsidP="00094F6F">
            <w:pPr>
              <w:spacing w:after="0" w:line="240" w:lineRule="auto"/>
              <w:jc w:val="center"/>
              <w:rPr>
                <w:rFonts w:ascii="Times New Roman" w:hAnsi="Times New Roman"/>
                <w:sz w:val="24"/>
                <w:szCs w:val="24"/>
              </w:rPr>
            </w:pPr>
          </w:p>
        </w:tc>
        <w:tc>
          <w:tcPr>
            <w:tcW w:w="1529" w:type="dxa"/>
            <w:tcBorders>
              <w:bottom w:val="single" w:sz="12" w:space="0" w:color="auto"/>
            </w:tcBorders>
            <w:vAlign w:val="center"/>
          </w:tcPr>
          <w:p w14:paraId="4F7A6E9B"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417" w:type="dxa"/>
            <w:tcBorders>
              <w:bottom w:val="single" w:sz="12" w:space="0" w:color="auto"/>
            </w:tcBorders>
            <w:vAlign w:val="center"/>
          </w:tcPr>
          <w:p w14:paraId="26F208CD"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56,47</w:t>
            </w:r>
          </w:p>
        </w:tc>
        <w:tc>
          <w:tcPr>
            <w:tcW w:w="1417" w:type="dxa"/>
            <w:tcBorders>
              <w:bottom w:val="single" w:sz="12" w:space="0" w:color="auto"/>
            </w:tcBorders>
            <w:vAlign w:val="center"/>
          </w:tcPr>
          <w:p w14:paraId="2E4867CE"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20,00</w:t>
            </w:r>
          </w:p>
        </w:tc>
        <w:tc>
          <w:tcPr>
            <w:tcW w:w="1418" w:type="dxa"/>
            <w:tcBorders>
              <w:bottom w:val="single" w:sz="12" w:space="0" w:color="auto"/>
            </w:tcBorders>
            <w:vAlign w:val="center"/>
          </w:tcPr>
          <w:p w14:paraId="2AC320AE"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46,67</w:t>
            </w:r>
          </w:p>
        </w:tc>
        <w:tc>
          <w:tcPr>
            <w:tcW w:w="1422" w:type="dxa"/>
            <w:tcBorders>
              <w:bottom w:val="single" w:sz="12" w:space="0" w:color="auto"/>
            </w:tcBorders>
            <w:vAlign w:val="center"/>
          </w:tcPr>
          <w:p w14:paraId="1AC97AB2"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48,67</w:t>
            </w:r>
          </w:p>
        </w:tc>
      </w:tr>
      <w:tr w:rsidR="00A9409C" w:rsidRPr="00F1144D" w14:paraId="216C8522" w14:textId="77777777" w:rsidTr="00094F6F">
        <w:trPr>
          <w:trHeight w:val="340"/>
          <w:jc w:val="center"/>
        </w:trPr>
        <w:tc>
          <w:tcPr>
            <w:tcW w:w="1405" w:type="dxa"/>
            <w:vMerge w:val="restart"/>
            <w:tcBorders>
              <w:right w:val="single" w:sz="12" w:space="0" w:color="auto"/>
            </w:tcBorders>
            <w:vAlign w:val="center"/>
          </w:tcPr>
          <w:p w14:paraId="1F868DDF" w14:textId="77777777" w:rsidR="00A9409C" w:rsidRPr="00F1144D" w:rsidRDefault="00A9409C" w:rsidP="00094F6F">
            <w:pPr>
              <w:spacing w:after="0" w:line="240" w:lineRule="auto"/>
              <w:jc w:val="center"/>
              <w:rPr>
                <w:rFonts w:ascii="Times New Roman" w:hAnsi="Times New Roman"/>
                <w:b/>
                <w:sz w:val="24"/>
                <w:szCs w:val="24"/>
                <w:lang w:val="en-US"/>
              </w:rPr>
            </w:pPr>
            <w:r w:rsidRPr="00F1144D">
              <w:rPr>
                <w:rFonts w:ascii="Times New Roman" w:hAnsi="Times New Roman"/>
                <w:b/>
                <w:sz w:val="24"/>
                <w:szCs w:val="24"/>
              </w:rPr>
              <w:t>Всего</w:t>
            </w:r>
          </w:p>
        </w:tc>
        <w:tc>
          <w:tcPr>
            <w:tcW w:w="152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7FD632E"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1ED293E9" w14:textId="77777777" w:rsidR="00A9409C" w:rsidRPr="0039478E" w:rsidRDefault="00A9409C" w:rsidP="00094F6F">
            <w:pPr>
              <w:spacing w:after="0" w:line="240" w:lineRule="auto"/>
              <w:jc w:val="center"/>
              <w:rPr>
                <w:rFonts w:ascii="Times New Roman" w:hAnsi="Times New Roman"/>
                <w:b/>
                <w:sz w:val="24"/>
                <w:szCs w:val="24"/>
              </w:rPr>
            </w:pPr>
            <w:r w:rsidRPr="0039478E">
              <w:rPr>
                <w:rFonts w:ascii="Times New Roman" w:hAnsi="Times New Roman"/>
                <w:color w:val="000000"/>
                <w:sz w:val="24"/>
                <w:szCs w:val="24"/>
              </w:rPr>
              <w:t>85</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F810DF7" w14:textId="77777777" w:rsidR="00A9409C" w:rsidRPr="0039478E" w:rsidRDefault="00A9409C" w:rsidP="00094F6F">
            <w:pPr>
              <w:spacing w:after="0" w:line="240" w:lineRule="auto"/>
              <w:jc w:val="center"/>
              <w:rPr>
                <w:rFonts w:ascii="Times New Roman" w:hAnsi="Times New Roman"/>
                <w:b/>
                <w:sz w:val="24"/>
                <w:szCs w:val="24"/>
              </w:rPr>
            </w:pPr>
            <w:r w:rsidRPr="0039478E">
              <w:rPr>
                <w:rFonts w:ascii="Times New Roman" w:hAnsi="Times New Roman"/>
                <w:color w:val="000000"/>
                <w:sz w:val="24"/>
                <w:szCs w:val="24"/>
              </w:rPr>
              <w:t>20</w:t>
            </w:r>
          </w:p>
        </w:tc>
        <w:tc>
          <w:tcPr>
            <w:tcW w:w="141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650178AC" w14:textId="77777777" w:rsidR="00A9409C" w:rsidRPr="0039478E" w:rsidRDefault="00A9409C" w:rsidP="00094F6F">
            <w:pPr>
              <w:spacing w:after="0" w:line="240" w:lineRule="auto"/>
              <w:jc w:val="center"/>
              <w:rPr>
                <w:rFonts w:ascii="Times New Roman" w:hAnsi="Times New Roman"/>
                <w:b/>
                <w:sz w:val="24"/>
                <w:szCs w:val="24"/>
              </w:rPr>
            </w:pPr>
            <w:r w:rsidRPr="0039478E">
              <w:rPr>
                <w:rFonts w:ascii="Times New Roman" w:hAnsi="Times New Roman"/>
                <w:color w:val="000000"/>
                <w:sz w:val="24"/>
                <w:szCs w:val="24"/>
              </w:rPr>
              <w:t>45</w:t>
            </w:r>
          </w:p>
        </w:tc>
        <w:tc>
          <w:tcPr>
            <w:tcW w:w="1422"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47F4451" w14:textId="77777777" w:rsidR="00A9409C" w:rsidRPr="0039478E" w:rsidRDefault="00A9409C" w:rsidP="00094F6F">
            <w:pPr>
              <w:spacing w:after="0" w:line="240" w:lineRule="auto"/>
              <w:jc w:val="center"/>
              <w:rPr>
                <w:rFonts w:ascii="Times New Roman" w:hAnsi="Times New Roman"/>
                <w:b/>
                <w:sz w:val="24"/>
                <w:szCs w:val="24"/>
              </w:rPr>
            </w:pPr>
            <w:r w:rsidRPr="0039478E">
              <w:rPr>
                <w:rFonts w:ascii="Times New Roman" w:hAnsi="Times New Roman"/>
                <w:color w:val="000000"/>
                <w:sz w:val="24"/>
                <w:szCs w:val="24"/>
              </w:rPr>
              <w:t>150</w:t>
            </w:r>
          </w:p>
        </w:tc>
      </w:tr>
      <w:tr w:rsidR="00A9409C" w:rsidRPr="00F1144D" w14:paraId="757DD846" w14:textId="77777777" w:rsidTr="00094F6F">
        <w:trPr>
          <w:trHeight w:val="340"/>
          <w:jc w:val="center"/>
        </w:trPr>
        <w:tc>
          <w:tcPr>
            <w:tcW w:w="1405" w:type="dxa"/>
            <w:vMerge/>
            <w:tcBorders>
              <w:right w:val="single" w:sz="12" w:space="0" w:color="auto"/>
            </w:tcBorders>
            <w:vAlign w:val="center"/>
          </w:tcPr>
          <w:p w14:paraId="5B3C3B8C" w14:textId="77777777" w:rsidR="00A9409C" w:rsidRPr="00F1144D" w:rsidRDefault="00A9409C" w:rsidP="00094F6F">
            <w:pPr>
              <w:spacing w:after="0" w:line="240" w:lineRule="auto"/>
              <w:jc w:val="center"/>
              <w:rPr>
                <w:rFonts w:ascii="Times New Roman" w:hAnsi="Times New Roman"/>
                <w:sz w:val="24"/>
                <w:szCs w:val="24"/>
              </w:rPr>
            </w:pPr>
          </w:p>
        </w:tc>
        <w:tc>
          <w:tcPr>
            <w:tcW w:w="1529" w:type="dxa"/>
            <w:tcBorders>
              <w:top w:val="single" w:sz="12" w:space="0" w:color="auto"/>
              <w:left w:val="single" w:sz="12" w:space="0" w:color="auto"/>
            </w:tcBorders>
            <w:vAlign w:val="center"/>
          </w:tcPr>
          <w:p w14:paraId="30C54DAA"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417" w:type="dxa"/>
            <w:tcBorders>
              <w:top w:val="single" w:sz="12" w:space="0" w:color="auto"/>
            </w:tcBorders>
            <w:vAlign w:val="center"/>
          </w:tcPr>
          <w:p w14:paraId="1C414A80"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56,67</w:t>
            </w:r>
          </w:p>
        </w:tc>
        <w:tc>
          <w:tcPr>
            <w:tcW w:w="1417" w:type="dxa"/>
            <w:tcBorders>
              <w:top w:val="single" w:sz="12" w:space="0" w:color="auto"/>
            </w:tcBorders>
            <w:vAlign w:val="center"/>
          </w:tcPr>
          <w:p w14:paraId="0FD3DEE1"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13,33</w:t>
            </w:r>
          </w:p>
        </w:tc>
        <w:tc>
          <w:tcPr>
            <w:tcW w:w="1418" w:type="dxa"/>
            <w:tcBorders>
              <w:top w:val="single" w:sz="12" w:space="0" w:color="auto"/>
            </w:tcBorders>
            <w:vAlign w:val="center"/>
          </w:tcPr>
          <w:p w14:paraId="4E1A1110"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30,00</w:t>
            </w:r>
          </w:p>
        </w:tc>
        <w:tc>
          <w:tcPr>
            <w:tcW w:w="1422" w:type="dxa"/>
            <w:tcBorders>
              <w:top w:val="single" w:sz="12" w:space="0" w:color="auto"/>
            </w:tcBorders>
            <w:vAlign w:val="center"/>
          </w:tcPr>
          <w:p w14:paraId="590D7CE9"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100,00</w:t>
            </w:r>
          </w:p>
        </w:tc>
      </w:tr>
      <w:tr w:rsidR="00A9409C" w:rsidRPr="00F1144D" w14:paraId="006428C4" w14:textId="77777777" w:rsidTr="00094F6F">
        <w:trPr>
          <w:trHeight w:val="340"/>
          <w:jc w:val="center"/>
        </w:trPr>
        <w:tc>
          <w:tcPr>
            <w:tcW w:w="1405" w:type="dxa"/>
            <w:vMerge/>
            <w:tcBorders>
              <w:right w:val="single" w:sz="12" w:space="0" w:color="auto"/>
            </w:tcBorders>
            <w:vAlign w:val="center"/>
          </w:tcPr>
          <w:p w14:paraId="77DEE944" w14:textId="77777777" w:rsidR="00A9409C" w:rsidRPr="00F1144D" w:rsidRDefault="00A9409C" w:rsidP="00094F6F">
            <w:pPr>
              <w:spacing w:after="0" w:line="240" w:lineRule="auto"/>
              <w:jc w:val="center"/>
              <w:rPr>
                <w:rFonts w:ascii="Times New Roman" w:hAnsi="Times New Roman"/>
                <w:sz w:val="24"/>
                <w:szCs w:val="24"/>
              </w:rPr>
            </w:pPr>
          </w:p>
        </w:tc>
        <w:tc>
          <w:tcPr>
            <w:tcW w:w="1529" w:type="dxa"/>
            <w:tcBorders>
              <w:left w:val="single" w:sz="12" w:space="0" w:color="auto"/>
            </w:tcBorders>
            <w:vAlign w:val="center"/>
          </w:tcPr>
          <w:p w14:paraId="3DA7CF03"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417" w:type="dxa"/>
            <w:vAlign w:val="center"/>
          </w:tcPr>
          <w:p w14:paraId="69BD82EC"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100,00</w:t>
            </w:r>
          </w:p>
        </w:tc>
        <w:tc>
          <w:tcPr>
            <w:tcW w:w="1417" w:type="dxa"/>
            <w:vAlign w:val="center"/>
          </w:tcPr>
          <w:p w14:paraId="265499F6"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100,00</w:t>
            </w:r>
          </w:p>
        </w:tc>
        <w:tc>
          <w:tcPr>
            <w:tcW w:w="1418" w:type="dxa"/>
            <w:vAlign w:val="center"/>
          </w:tcPr>
          <w:p w14:paraId="16A3405F"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100,00</w:t>
            </w:r>
          </w:p>
        </w:tc>
        <w:tc>
          <w:tcPr>
            <w:tcW w:w="1422" w:type="dxa"/>
            <w:vAlign w:val="center"/>
          </w:tcPr>
          <w:p w14:paraId="0FE9335D" w14:textId="77777777" w:rsidR="00A9409C" w:rsidRPr="0039478E" w:rsidRDefault="00A9409C" w:rsidP="00094F6F">
            <w:pPr>
              <w:spacing w:after="0" w:line="240" w:lineRule="auto"/>
              <w:jc w:val="center"/>
              <w:rPr>
                <w:rFonts w:ascii="Times New Roman" w:hAnsi="Times New Roman"/>
                <w:sz w:val="24"/>
                <w:szCs w:val="24"/>
              </w:rPr>
            </w:pPr>
            <w:r w:rsidRPr="0039478E">
              <w:rPr>
                <w:rFonts w:ascii="Times New Roman" w:hAnsi="Times New Roman"/>
                <w:color w:val="000000"/>
                <w:sz w:val="24"/>
                <w:szCs w:val="24"/>
              </w:rPr>
              <w:t>100,00</w:t>
            </w:r>
          </w:p>
        </w:tc>
      </w:tr>
    </w:tbl>
    <w:p w14:paraId="1D7CA09A" w14:textId="77777777" w:rsidR="00A9409C" w:rsidRPr="00F1144D" w:rsidRDefault="00A9409C" w:rsidP="00A9409C">
      <w:pPr>
        <w:spacing w:after="0" w:line="240" w:lineRule="auto"/>
        <w:ind w:firstLine="567"/>
        <w:jc w:val="both"/>
        <w:rPr>
          <w:rFonts w:ascii="Times New Roman" w:hAnsi="Times New Roman"/>
          <w:sz w:val="28"/>
          <w:szCs w:val="28"/>
        </w:rPr>
      </w:pPr>
    </w:p>
    <w:p w14:paraId="5129ECAB" w14:textId="77777777" w:rsidR="00A9409C" w:rsidRPr="002E7B5D" w:rsidRDefault="00A9409C" w:rsidP="00A9409C">
      <w:pPr>
        <w:widowControl w:val="0"/>
        <w:spacing w:after="0" w:line="240" w:lineRule="auto"/>
        <w:ind w:firstLine="567"/>
        <w:jc w:val="both"/>
        <w:rPr>
          <w:rFonts w:ascii="Times New Roman" w:hAnsi="Times New Roman"/>
          <w:sz w:val="28"/>
          <w:szCs w:val="28"/>
        </w:rPr>
      </w:pPr>
      <w:r w:rsidRPr="002E7B5D">
        <w:rPr>
          <w:rFonts w:ascii="Times New Roman" w:hAnsi="Times New Roman"/>
          <w:sz w:val="28"/>
          <w:szCs w:val="28"/>
        </w:rPr>
        <w:t>В полученной таблице сопряженности каждая строчка соответствует определенной группе</w:t>
      </w:r>
      <w:r>
        <w:rPr>
          <w:rFonts w:ascii="Times New Roman" w:hAnsi="Times New Roman"/>
          <w:sz w:val="28"/>
          <w:szCs w:val="28"/>
        </w:rPr>
        <w:t xml:space="preserve"> (полу)</w:t>
      </w:r>
      <w:r w:rsidRPr="002E7B5D">
        <w:rPr>
          <w:rFonts w:ascii="Times New Roman" w:hAnsi="Times New Roman"/>
          <w:sz w:val="28"/>
          <w:szCs w:val="28"/>
        </w:rPr>
        <w:t xml:space="preserve"> исследуемых. Столбцы – показывают число </w:t>
      </w:r>
      <w:r>
        <w:rPr>
          <w:rFonts w:ascii="Times New Roman" w:hAnsi="Times New Roman"/>
          <w:sz w:val="28"/>
          <w:szCs w:val="28"/>
        </w:rPr>
        <w:lastRenderedPageBreak/>
        <w:t xml:space="preserve">пациентов с гистологическим типом опухоли: аденокарцинома (АК), недифференцированная карцинома (НДК) и </w:t>
      </w:r>
      <w:proofErr w:type="gramStart"/>
      <w:r>
        <w:rPr>
          <w:rFonts w:ascii="Times New Roman" w:hAnsi="Times New Roman"/>
          <w:sz w:val="28"/>
          <w:szCs w:val="28"/>
        </w:rPr>
        <w:t>плоско-клеточная</w:t>
      </w:r>
      <w:proofErr w:type="gramEnd"/>
      <w:r>
        <w:rPr>
          <w:rFonts w:ascii="Times New Roman" w:hAnsi="Times New Roman"/>
          <w:sz w:val="28"/>
          <w:szCs w:val="28"/>
        </w:rPr>
        <w:t xml:space="preserve"> карцинома (ПКК)</w:t>
      </w:r>
      <w:r w:rsidRPr="002E7B5D">
        <w:rPr>
          <w:rFonts w:ascii="Times New Roman" w:hAnsi="Times New Roman"/>
          <w:sz w:val="28"/>
          <w:szCs w:val="28"/>
        </w:rPr>
        <w:t>.</w:t>
      </w:r>
    </w:p>
    <w:p w14:paraId="5069313D" w14:textId="77777777" w:rsidR="00A9409C" w:rsidRPr="00623E78" w:rsidRDefault="00A9409C" w:rsidP="00A9409C">
      <w:pPr>
        <w:tabs>
          <w:tab w:val="left" w:pos="0"/>
        </w:tabs>
        <w:spacing w:after="0" w:line="240" w:lineRule="auto"/>
        <w:ind w:firstLine="567"/>
        <w:jc w:val="both"/>
        <w:rPr>
          <w:rFonts w:ascii="Times New Roman" w:hAnsi="Times New Roman"/>
          <w:bCs/>
          <w:iCs/>
          <w:sz w:val="28"/>
          <w:szCs w:val="28"/>
        </w:rPr>
      </w:pPr>
      <w:r w:rsidRPr="00F1144D">
        <w:rPr>
          <w:rFonts w:ascii="Times New Roman" w:hAnsi="Times New Roman"/>
          <w:sz w:val="28"/>
          <w:szCs w:val="28"/>
        </w:rPr>
        <w:t xml:space="preserve">Оценка показала, что связь между факторным и результативным признаками статистически значима. Критическое значение </w:t>
      </w:r>
      <w:r w:rsidRPr="00F1144D">
        <w:rPr>
          <w:rFonts w:ascii="Times New Roman" w:hAnsi="Times New Roman"/>
          <w:b/>
          <w:i/>
          <w:sz w:val="28"/>
          <w:szCs w:val="28"/>
        </w:rPr>
        <w:t>χ</w:t>
      </w:r>
      <w:r w:rsidRPr="00F1144D">
        <w:rPr>
          <w:rFonts w:ascii="Times New Roman" w:hAnsi="Times New Roman"/>
          <w:b/>
          <w:i/>
          <w:sz w:val="28"/>
          <w:szCs w:val="28"/>
          <w:vertAlign w:val="superscript"/>
        </w:rPr>
        <w:t>2</w:t>
      </w:r>
      <w:r w:rsidRPr="00F1144D">
        <w:rPr>
          <w:rFonts w:ascii="Times New Roman" w:hAnsi="Times New Roman"/>
          <w:sz w:val="28"/>
          <w:szCs w:val="28"/>
        </w:rPr>
        <w:t xml:space="preserve"> при уровне значимости </w:t>
      </w:r>
      <w:r w:rsidRPr="00F1144D">
        <w:rPr>
          <w:rFonts w:ascii="Times New Roman" w:hAnsi="Times New Roman"/>
          <w:sz w:val="28"/>
          <w:szCs w:val="28"/>
          <w:lang w:val="en-US"/>
        </w:rPr>
        <w:t>p</w:t>
      </w:r>
      <w:r w:rsidRPr="00F1144D">
        <w:rPr>
          <w:rFonts w:ascii="Times New Roman" w:hAnsi="Times New Roman"/>
          <w:sz w:val="28"/>
          <w:szCs w:val="28"/>
        </w:rPr>
        <w:t>=0,0</w:t>
      </w:r>
      <w:r>
        <w:rPr>
          <w:rFonts w:ascii="Times New Roman" w:hAnsi="Times New Roman"/>
          <w:sz w:val="28"/>
          <w:szCs w:val="28"/>
        </w:rPr>
        <w:t>5</w:t>
      </w:r>
      <w:r w:rsidRPr="00F1144D">
        <w:rPr>
          <w:rFonts w:ascii="Times New Roman" w:hAnsi="Times New Roman"/>
          <w:sz w:val="28"/>
          <w:szCs w:val="28"/>
        </w:rPr>
        <w:t xml:space="preserve"> составляет </w:t>
      </w:r>
      <w:r>
        <w:rPr>
          <w:rFonts w:ascii="Times New Roman" w:hAnsi="Times New Roman"/>
          <w:sz w:val="28"/>
          <w:szCs w:val="28"/>
        </w:rPr>
        <w:t xml:space="preserve">5,991 – в нашем случае </w:t>
      </w:r>
      <w:r w:rsidRPr="00F1144D">
        <w:rPr>
          <w:rFonts w:ascii="Times New Roman" w:hAnsi="Times New Roman"/>
          <w:b/>
          <w:i/>
          <w:sz w:val="28"/>
          <w:szCs w:val="28"/>
        </w:rPr>
        <w:t>χ</w:t>
      </w:r>
      <w:r w:rsidRPr="00F1144D">
        <w:rPr>
          <w:rFonts w:ascii="Times New Roman" w:hAnsi="Times New Roman"/>
          <w:b/>
          <w:i/>
          <w:sz w:val="28"/>
          <w:szCs w:val="28"/>
          <w:vertAlign w:val="superscript"/>
        </w:rPr>
        <w:t>2</w:t>
      </w:r>
      <w:r>
        <w:rPr>
          <w:rFonts w:ascii="Times New Roman" w:hAnsi="Times New Roman"/>
          <w:b/>
          <w:i/>
          <w:sz w:val="28"/>
          <w:szCs w:val="28"/>
        </w:rPr>
        <w:t>=8,723</w:t>
      </w:r>
      <w:r w:rsidRPr="00623E78">
        <w:rPr>
          <w:rFonts w:ascii="Times New Roman" w:hAnsi="Times New Roman"/>
          <w:bCs/>
          <w:iCs/>
          <w:sz w:val="28"/>
          <w:szCs w:val="28"/>
        </w:rPr>
        <w:t xml:space="preserve">, а уровень значимости </w:t>
      </w:r>
      <w:r w:rsidRPr="00623E78">
        <w:rPr>
          <w:rFonts w:ascii="Times New Roman" w:hAnsi="Times New Roman"/>
          <w:bCs/>
          <w:iCs/>
          <w:sz w:val="28"/>
          <w:szCs w:val="28"/>
          <w:lang w:val="en-US"/>
        </w:rPr>
        <w:t>p</w:t>
      </w:r>
      <w:r w:rsidRPr="00870ADF">
        <w:rPr>
          <w:rFonts w:ascii="Times New Roman" w:hAnsi="Times New Roman"/>
          <w:bCs/>
          <w:iCs/>
          <w:sz w:val="28"/>
          <w:szCs w:val="28"/>
        </w:rPr>
        <w:t>=0,013</w:t>
      </w:r>
      <w:r w:rsidRPr="00623E78">
        <w:rPr>
          <w:rFonts w:ascii="Times New Roman" w:hAnsi="Times New Roman"/>
          <w:bCs/>
          <w:iCs/>
          <w:sz w:val="28"/>
          <w:szCs w:val="28"/>
        </w:rPr>
        <w:t>.</w:t>
      </w:r>
    </w:p>
    <w:p w14:paraId="6E92D82F" w14:textId="77777777" w:rsidR="00A9409C" w:rsidRDefault="00A9409C" w:rsidP="00A9409C">
      <w:pPr>
        <w:tabs>
          <w:tab w:val="left" w:pos="0"/>
        </w:tabs>
        <w:spacing w:after="0" w:line="240" w:lineRule="auto"/>
        <w:ind w:firstLine="567"/>
        <w:jc w:val="both"/>
        <w:rPr>
          <w:rFonts w:ascii="Times New Roman" w:hAnsi="Times New Roman"/>
          <w:sz w:val="28"/>
          <w:szCs w:val="28"/>
        </w:rPr>
      </w:pPr>
      <w:r>
        <w:rPr>
          <w:rFonts w:ascii="Times New Roman" w:hAnsi="Times New Roman"/>
          <w:sz w:val="28"/>
          <w:szCs w:val="28"/>
        </w:rPr>
        <w:t xml:space="preserve">Распределение больных с учетом объема оперативного вмешательства показало, что больше всего было проведено </w:t>
      </w:r>
      <w:proofErr w:type="spellStart"/>
      <w:r>
        <w:rPr>
          <w:rFonts w:ascii="Times New Roman" w:hAnsi="Times New Roman"/>
          <w:sz w:val="28"/>
          <w:szCs w:val="28"/>
        </w:rPr>
        <w:t>гемиколэктомий</w:t>
      </w:r>
      <w:proofErr w:type="spellEnd"/>
      <w:r>
        <w:rPr>
          <w:rFonts w:ascii="Times New Roman" w:hAnsi="Times New Roman"/>
          <w:sz w:val="28"/>
          <w:szCs w:val="28"/>
        </w:rPr>
        <w:t xml:space="preserve"> левосторонних (63 операции, 42,0%) и правосторонних (60 операции, 40,0%) (таблица 1</w:t>
      </w:r>
      <w:r w:rsidRPr="00870ADF">
        <w:rPr>
          <w:rFonts w:ascii="Times New Roman" w:hAnsi="Times New Roman"/>
          <w:sz w:val="28"/>
          <w:szCs w:val="28"/>
        </w:rPr>
        <w:t>4</w:t>
      </w:r>
      <w:r>
        <w:rPr>
          <w:rFonts w:ascii="Times New Roman" w:hAnsi="Times New Roman"/>
          <w:sz w:val="28"/>
          <w:szCs w:val="28"/>
        </w:rPr>
        <w:t>).</w:t>
      </w:r>
    </w:p>
    <w:p w14:paraId="127C79EA" w14:textId="77777777" w:rsidR="00A9409C" w:rsidRDefault="00A9409C" w:rsidP="00A9409C">
      <w:pPr>
        <w:tabs>
          <w:tab w:val="left" w:pos="0"/>
        </w:tabs>
        <w:spacing w:after="0" w:line="240" w:lineRule="auto"/>
        <w:ind w:firstLine="567"/>
        <w:jc w:val="both"/>
        <w:rPr>
          <w:rFonts w:ascii="Times New Roman" w:hAnsi="Times New Roman"/>
          <w:sz w:val="28"/>
          <w:szCs w:val="28"/>
        </w:rPr>
      </w:pPr>
    </w:p>
    <w:p w14:paraId="4C5DBCC8" w14:textId="77777777" w:rsidR="00A9409C" w:rsidRPr="00BC235E" w:rsidRDefault="00A9409C" w:rsidP="00A9409C">
      <w:pPr>
        <w:tabs>
          <w:tab w:val="left" w:pos="0"/>
        </w:tabs>
        <w:spacing w:after="0" w:line="240" w:lineRule="auto"/>
        <w:ind w:firstLine="567"/>
        <w:jc w:val="both"/>
        <w:rPr>
          <w:rFonts w:ascii="Times New Roman" w:hAnsi="Times New Roman"/>
          <w:sz w:val="28"/>
          <w:szCs w:val="28"/>
        </w:rPr>
      </w:pPr>
    </w:p>
    <w:p w14:paraId="43201607" w14:textId="77777777" w:rsidR="00A9409C" w:rsidRPr="00EC0153" w:rsidRDefault="00A9409C" w:rsidP="00A9409C">
      <w:pPr>
        <w:tabs>
          <w:tab w:val="left" w:pos="0"/>
        </w:tabs>
        <w:spacing w:after="0" w:line="240" w:lineRule="auto"/>
        <w:jc w:val="both"/>
        <w:rPr>
          <w:rFonts w:ascii="Times New Roman" w:hAnsi="Times New Roman"/>
          <w:sz w:val="28"/>
          <w:szCs w:val="28"/>
        </w:rPr>
      </w:pPr>
      <w:r>
        <w:rPr>
          <w:rFonts w:ascii="Times New Roman" w:hAnsi="Times New Roman"/>
          <w:sz w:val="28"/>
          <w:szCs w:val="28"/>
        </w:rPr>
        <w:t>Таблица 1</w:t>
      </w:r>
      <w:r w:rsidRPr="00870ADF">
        <w:rPr>
          <w:rFonts w:ascii="Times New Roman" w:hAnsi="Times New Roman"/>
          <w:sz w:val="28"/>
          <w:szCs w:val="28"/>
        </w:rPr>
        <w:t>4</w:t>
      </w:r>
      <w:r>
        <w:rPr>
          <w:rFonts w:ascii="Times New Roman" w:hAnsi="Times New Roman"/>
          <w:sz w:val="28"/>
          <w:szCs w:val="28"/>
        </w:rPr>
        <w:t xml:space="preserve"> – Распределение больных раком ободочной кишки по полу и виду операции</w:t>
      </w:r>
    </w:p>
    <w:p w14:paraId="40F9EE6C" w14:textId="77777777" w:rsidR="00A9409C" w:rsidRDefault="00A9409C" w:rsidP="00A9409C">
      <w:pPr>
        <w:tabs>
          <w:tab w:val="left" w:pos="0"/>
        </w:tabs>
        <w:spacing w:after="0" w:line="240" w:lineRule="auto"/>
        <w:ind w:firstLine="567"/>
        <w:jc w:val="both"/>
        <w:rPr>
          <w:rFonts w:ascii="Times New Roman" w:hAnsi="Times New Roman"/>
          <w:sz w:val="28"/>
          <w:szCs w:val="28"/>
        </w:rPr>
      </w:pPr>
    </w:p>
    <w:tbl>
      <w:tblPr>
        <w:tblW w:w="9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1"/>
        <w:gridCol w:w="794"/>
        <w:gridCol w:w="794"/>
        <w:gridCol w:w="794"/>
        <w:gridCol w:w="794"/>
        <w:gridCol w:w="794"/>
        <w:gridCol w:w="794"/>
        <w:gridCol w:w="794"/>
        <w:gridCol w:w="794"/>
        <w:gridCol w:w="794"/>
        <w:gridCol w:w="794"/>
      </w:tblGrid>
      <w:tr w:rsidR="00A9409C" w:rsidRPr="00723AC1" w14:paraId="791EAB23" w14:textId="77777777" w:rsidTr="00094F6F">
        <w:trPr>
          <w:trHeight w:val="340"/>
          <w:jc w:val="center"/>
        </w:trPr>
        <w:tc>
          <w:tcPr>
            <w:tcW w:w="1361" w:type="dxa"/>
            <w:vMerge w:val="restart"/>
            <w:shd w:val="clear" w:color="auto" w:fill="auto"/>
            <w:noWrap/>
            <w:vAlign w:val="center"/>
          </w:tcPr>
          <w:p w14:paraId="4F3C83F1" w14:textId="77777777" w:rsidR="00A9409C" w:rsidRPr="0040428F" w:rsidRDefault="00A9409C" w:rsidP="00094F6F">
            <w:pPr>
              <w:spacing w:after="0" w:line="240" w:lineRule="auto"/>
              <w:jc w:val="center"/>
              <w:rPr>
                <w:rFonts w:ascii="Times New Roman" w:hAnsi="Times New Roman"/>
                <w:sz w:val="24"/>
                <w:szCs w:val="24"/>
              </w:rPr>
            </w:pPr>
            <w:r>
              <w:rPr>
                <w:rFonts w:ascii="Times New Roman" w:hAnsi="Times New Roman"/>
                <w:sz w:val="24"/>
                <w:szCs w:val="24"/>
              </w:rPr>
              <w:t>Пол</w:t>
            </w:r>
          </w:p>
        </w:tc>
        <w:tc>
          <w:tcPr>
            <w:tcW w:w="1588" w:type="dxa"/>
            <w:gridSpan w:val="2"/>
            <w:shd w:val="clear" w:color="auto" w:fill="auto"/>
            <w:noWrap/>
            <w:vAlign w:val="center"/>
          </w:tcPr>
          <w:p w14:paraId="5F9EA52B" w14:textId="77777777" w:rsidR="00A9409C" w:rsidRPr="0040428F" w:rsidRDefault="00A9409C" w:rsidP="00094F6F">
            <w:pPr>
              <w:spacing w:after="0" w:line="240" w:lineRule="auto"/>
              <w:jc w:val="center"/>
              <w:rPr>
                <w:rFonts w:ascii="Times New Roman" w:hAnsi="Times New Roman"/>
                <w:sz w:val="24"/>
                <w:szCs w:val="24"/>
              </w:rPr>
            </w:pPr>
            <w:r>
              <w:rPr>
                <w:rFonts w:ascii="Times New Roman" w:hAnsi="Times New Roman"/>
                <w:sz w:val="24"/>
                <w:szCs w:val="24"/>
              </w:rPr>
              <w:t>ЛГЭ</w:t>
            </w:r>
          </w:p>
        </w:tc>
        <w:tc>
          <w:tcPr>
            <w:tcW w:w="1588" w:type="dxa"/>
            <w:gridSpan w:val="2"/>
            <w:shd w:val="clear" w:color="auto" w:fill="auto"/>
            <w:noWrap/>
            <w:vAlign w:val="center"/>
          </w:tcPr>
          <w:p w14:paraId="64333CAF" w14:textId="77777777" w:rsidR="00A9409C" w:rsidRPr="0040428F" w:rsidRDefault="00A9409C" w:rsidP="00094F6F">
            <w:pPr>
              <w:spacing w:after="0" w:line="240" w:lineRule="auto"/>
              <w:jc w:val="center"/>
              <w:rPr>
                <w:rFonts w:ascii="Times New Roman" w:hAnsi="Times New Roman"/>
                <w:sz w:val="24"/>
                <w:szCs w:val="24"/>
              </w:rPr>
            </w:pPr>
            <w:r>
              <w:rPr>
                <w:rFonts w:ascii="Times New Roman" w:hAnsi="Times New Roman"/>
                <w:sz w:val="24"/>
                <w:szCs w:val="24"/>
              </w:rPr>
              <w:t>ПГЭ</w:t>
            </w:r>
          </w:p>
        </w:tc>
        <w:tc>
          <w:tcPr>
            <w:tcW w:w="1588" w:type="dxa"/>
            <w:gridSpan w:val="2"/>
            <w:shd w:val="clear" w:color="auto" w:fill="auto"/>
            <w:noWrap/>
            <w:vAlign w:val="center"/>
          </w:tcPr>
          <w:p w14:paraId="1CABEC27" w14:textId="77777777" w:rsidR="00A9409C" w:rsidRPr="0040428F" w:rsidRDefault="00A9409C" w:rsidP="00094F6F">
            <w:pPr>
              <w:spacing w:after="0" w:line="240" w:lineRule="auto"/>
              <w:jc w:val="center"/>
              <w:rPr>
                <w:rFonts w:ascii="Times New Roman" w:hAnsi="Times New Roman"/>
                <w:sz w:val="24"/>
                <w:szCs w:val="24"/>
              </w:rPr>
            </w:pPr>
            <w:r>
              <w:rPr>
                <w:rFonts w:ascii="Times New Roman" w:hAnsi="Times New Roman"/>
                <w:sz w:val="24"/>
                <w:szCs w:val="24"/>
              </w:rPr>
              <w:t>РПОК</w:t>
            </w:r>
          </w:p>
        </w:tc>
        <w:tc>
          <w:tcPr>
            <w:tcW w:w="1588" w:type="dxa"/>
            <w:gridSpan w:val="2"/>
            <w:shd w:val="clear" w:color="auto" w:fill="auto"/>
            <w:noWrap/>
            <w:vAlign w:val="center"/>
          </w:tcPr>
          <w:p w14:paraId="0A8F6133" w14:textId="77777777" w:rsidR="00A9409C" w:rsidRPr="0040428F" w:rsidRDefault="00A9409C" w:rsidP="00094F6F">
            <w:pPr>
              <w:spacing w:after="0" w:line="240" w:lineRule="auto"/>
              <w:jc w:val="center"/>
              <w:rPr>
                <w:rFonts w:ascii="Times New Roman" w:hAnsi="Times New Roman"/>
                <w:sz w:val="24"/>
                <w:szCs w:val="24"/>
              </w:rPr>
            </w:pPr>
            <w:proofErr w:type="spellStart"/>
            <w:r>
              <w:rPr>
                <w:rFonts w:ascii="Times New Roman" w:hAnsi="Times New Roman"/>
                <w:sz w:val="24"/>
                <w:szCs w:val="24"/>
              </w:rPr>
              <w:t>Стома</w:t>
            </w:r>
            <w:proofErr w:type="spellEnd"/>
          </w:p>
        </w:tc>
        <w:tc>
          <w:tcPr>
            <w:tcW w:w="1588" w:type="dxa"/>
            <w:gridSpan w:val="2"/>
            <w:shd w:val="clear" w:color="auto" w:fill="auto"/>
            <w:noWrap/>
            <w:vAlign w:val="center"/>
          </w:tcPr>
          <w:p w14:paraId="39908A84" w14:textId="77777777" w:rsidR="00A9409C" w:rsidRPr="0040428F" w:rsidRDefault="00A9409C" w:rsidP="00094F6F">
            <w:pPr>
              <w:spacing w:after="0" w:line="240" w:lineRule="auto"/>
              <w:jc w:val="center"/>
              <w:rPr>
                <w:rFonts w:ascii="Times New Roman" w:hAnsi="Times New Roman"/>
                <w:sz w:val="24"/>
                <w:szCs w:val="24"/>
              </w:rPr>
            </w:pPr>
            <w:r>
              <w:rPr>
                <w:rFonts w:ascii="Times New Roman" w:hAnsi="Times New Roman"/>
                <w:sz w:val="24"/>
                <w:szCs w:val="24"/>
              </w:rPr>
              <w:t>Итого</w:t>
            </w:r>
          </w:p>
        </w:tc>
      </w:tr>
      <w:tr w:rsidR="00A9409C" w:rsidRPr="00723AC1" w14:paraId="3966BC09" w14:textId="77777777" w:rsidTr="00094F6F">
        <w:trPr>
          <w:trHeight w:val="340"/>
          <w:jc w:val="center"/>
        </w:trPr>
        <w:tc>
          <w:tcPr>
            <w:tcW w:w="1361" w:type="dxa"/>
            <w:vMerge/>
            <w:shd w:val="clear" w:color="auto" w:fill="auto"/>
            <w:noWrap/>
            <w:vAlign w:val="center"/>
            <w:hideMark/>
          </w:tcPr>
          <w:p w14:paraId="28985EF8" w14:textId="77777777" w:rsidR="00A9409C" w:rsidRPr="00723AC1" w:rsidRDefault="00A9409C" w:rsidP="00094F6F">
            <w:pPr>
              <w:spacing w:after="0" w:line="240" w:lineRule="auto"/>
              <w:jc w:val="center"/>
              <w:rPr>
                <w:rFonts w:ascii="Times New Roman" w:hAnsi="Times New Roman"/>
                <w:sz w:val="24"/>
                <w:szCs w:val="24"/>
              </w:rPr>
            </w:pPr>
          </w:p>
        </w:tc>
        <w:tc>
          <w:tcPr>
            <w:tcW w:w="794" w:type="dxa"/>
            <w:shd w:val="clear" w:color="auto" w:fill="auto"/>
            <w:noWrap/>
            <w:vAlign w:val="center"/>
            <w:hideMark/>
          </w:tcPr>
          <w:p w14:paraId="7880104E"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АЧ</w:t>
            </w:r>
          </w:p>
        </w:tc>
        <w:tc>
          <w:tcPr>
            <w:tcW w:w="794" w:type="dxa"/>
            <w:shd w:val="clear" w:color="auto" w:fill="auto"/>
            <w:noWrap/>
            <w:vAlign w:val="center"/>
            <w:hideMark/>
          </w:tcPr>
          <w:p w14:paraId="63FE73B9"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w:t>
            </w:r>
          </w:p>
        </w:tc>
        <w:tc>
          <w:tcPr>
            <w:tcW w:w="794" w:type="dxa"/>
            <w:shd w:val="clear" w:color="auto" w:fill="auto"/>
            <w:noWrap/>
            <w:vAlign w:val="center"/>
            <w:hideMark/>
          </w:tcPr>
          <w:p w14:paraId="33AA75EC"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АЧ</w:t>
            </w:r>
          </w:p>
        </w:tc>
        <w:tc>
          <w:tcPr>
            <w:tcW w:w="794" w:type="dxa"/>
            <w:shd w:val="clear" w:color="auto" w:fill="auto"/>
            <w:noWrap/>
            <w:vAlign w:val="center"/>
            <w:hideMark/>
          </w:tcPr>
          <w:p w14:paraId="2D7A9FEC"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w:t>
            </w:r>
          </w:p>
        </w:tc>
        <w:tc>
          <w:tcPr>
            <w:tcW w:w="794" w:type="dxa"/>
            <w:shd w:val="clear" w:color="auto" w:fill="auto"/>
            <w:noWrap/>
            <w:vAlign w:val="center"/>
            <w:hideMark/>
          </w:tcPr>
          <w:p w14:paraId="5455FB9F"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АЧ</w:t>
            </w:r>
          </w:p>
        </w:tc>
        <w:tc>
          <w:tcPr>
            <w:tcW w:w="794" w:type="dxa"/>
            <w:shd w:val="clear" w:color="auto" w:fill="auto"/>
            <w:noWrap/>
            <w:vAlign w:val="center"/>
            <w:hideMark/>
          </w:tcPr>
          <w:p w14:paraId="01A2E945"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w:t>
            </w:r>
          </w:p>
        </w:tc>
        <w:tc>
          <w:tcPr>
            <w:tcW w:w="794" w:type="dxa"/>
            <w:shd w:val="clear" w:color="auto" w:fill="auto"/>
            <w:noWrap/>
            <w:vAlign w:val="center"/>
            <w:hideMark/>
          </w:tcPr>
          <w:p w14:paraId="61DB9BC2"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АЧ</w:t>
            </w:r>
          </w:p>
        </w:tc>
        <w:tc>
          <w:tcPr>
            <w:tcW w:w="794" w:type="dxa"/>
            <w:shd w:val="clear" w:color="auto" w:fill="auto"/>
            <w:noWrap/>
            <w:vAlign w:val="center"/>
            <w:hideMark/>
          </w:tcPr>
          <w:p w14:paraId="40F35B50"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w:t>
            </w:r>
          </w:p>
        </w:tc>
        <w:tc>
          <w:tcPr>
            <w:tcW w:w="794" w:type="dxa"/>
            <w:shd w:val="clear" w:color="auto" w:fill="auto"/>
            <w:noWrap/>
            <w:vAlign w:val="center"/>
            <w:hideMark/>
          </w:tcPr>
          <w:p w14:paraId="5302D857"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АЧ</w:t>
            </w:r>
          </w:p>
        </w:tc>
        <w:tc>
          <w:tcPr>
            <w:tcW w:w="794" w:type="dxa"/>
            <w:shd w:val="clear" w:color="auto" w:fill="auto"/>
            <w:noWrap/>
            <w:vAlign w:val="center"/>
            <w:hideMark/>
          </w:tcPr>
          <w:p w14:paraId="2F325800"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w:t>
            </w:r>
          </w:p>
        </w:tc>
      </w:tr>
      <w:tr w:rsidR="00A9409C" w:rsidRPr="00723AC1" w14:paraId="178E9CCB" w14:textId="77777777" w:rsidTr="00094F6F">
        <w:trPr>
          <w:trHeight w:val="340"/>
          <w:jc w:val="center"/>
        </w:trPr>
        <w:tc>
          <w:tcPr>
            <w:tcW w:w="1361" w:type="dxa"/>
            <w:shd w:val="clear" w:color="auto" w:fill="auto"/>
            <w:noWrap/>
            <w:vAlign w:val="center"/>
            <w:hideMark/>
          </w:tcPr>
          <w:p w14:paraId="35487C6A"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Мужчины</w:t>
            </w:r>
          </w:p>
        </w:tc>
        <w:tc>
          <w:tcPr>
            <w:tcW w:w="794" w:type="dxa"/>
            <w:shd w:val="clear" w:color="auto" w:fill="auto"/>
            <w:noWrap/>
            <w:vAlign w:val="center"/>
            <w:hideMark/>
          </w:tcPr>
          <w:p w14:paraId="38D9AB80"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28</w:t>
            </w:r>
          </w:p>
        </w:tc>
        <w:tc>
          <w:tcPr>
            <w:tcW w:w="794" w:type="dxa"/>
            <w:shd w:val="clear" w:color="auto" w:fill="auto"/>
            <w:noWrap/>
            <w:vAlign w:val="center"/>
            <w:hideMark/>
          </w:tcPr>
          <w:p w14:paraId="119521CC"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44,4</w:t>
            </w:r>
          </w:p>
        </w:tc>
        <w:tc>
          <w:tcPr>
            <w:tcW w:w="794" w:type="dxa"/>
            <w:shd w:val="clear" w:color="auto" w:fill="auto"/>
            <w:noWrap/>
            <w:vAlign w:val="center"/>
            <w:hideMark/>
          </w:tcPr>
          <w:p w14:paraId="213E4FDA"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34</w:t>
            </w:r>
          </w:p>
        </w:tc>
        <w:tc>
          <w:tcPr>
            <w:tcW w:w="794" w:type="dxa"/>
            <w:shd w:val="clear" w:color="auto" w:fill="auto"/>
            <w:noWrap/>
            <w:vAlign w:val="center"/>
            <w:hideMark/>
          </w:tcPr>
          <w:p w14:paraId="6E8A0F45"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56,7</w:t>
            </w:r>
          </w:p>
        </w:tc>
        <w:tc>
          <w:tcPr>
            <w:tcW w:w="794" w:type="dxa"/>
            <w:shd w:val="clear" w:color="auto" w:fill="auto"/>
            <w:noWrap/>
            <w:vAlign w:val="center"/>
            <w:hideMark/>
          </w:tcPr>
          <w:p w14:paraId="4178C94B"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5</w:t>
            </w:r>
          </w:p>
        </w:tc>
        <w:tc>
          <w:tcPr>
            <w:tcW w:w="794" w:type="dxa"/>
            <w:shd w:val="clear" w:color="auto" w:fill="auto"/>
            <w:noWrap/>
            <w:vAlign w:val="center"/>
            <w:hideMark/>
          </w:tcPr>
          <w:p w14:paraId="51CF2C92"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50,0</w:t>
            </w:r>
          </w:p>
        </w:tc>
        <w:tc>
          <w:tcPr>
            <w:tcW w:w="794" w:type="dxa"/>
            <w:shd w:val="clear" w:color="auto" w:fill="auto"/>
            <w:noWrap/>
            <w:vAlign w:val="center"/>
            <w:hideMark/>
          </w:tcPr>
          <w:p w14:paraId="13EDAD37"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10</w:t>
            </w:r>
          </w:p>
        </w:tc>
        <w:tc>
          <w:tcPr>
            <w:tcW w:w="794" w:type="dxa"/>
            <w:shd w:val="clear" w:color="auto" w:fill="auto"/>
            <w:noWrap/>
            <w:vAlign w:val="center"/>
            <w:hideMark/>
          </w:tcPr>
          <w:p w14:paraId="201AD818"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58,8</w:t>
            </w:r>
          </w:p>
        </w:tc>
        <w:tc>
          <w:tcPr>
            <w:tcW w:w="794" w:type="dxa"/>
            <w:shd w:val="clear" w:color="auto" w:fill="auto"/>
            <w:noWrap/>
            <w:vAlign w:val="center"/>
            <w:hideMark/>
          </w:tcPr>
          <w:p w14:paraId="40E0E4A4"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77</w:t>
            </w:r>
          </w:p>
        </w:tc>
        <w:tc>
          <w:tcPr>
            <w:tcW w:w="794" w:type="dxa"/>
            <w:shd w:val="clear" w:color="auto" w:fill="auto"/>
            <w:noWrap/>
            <w:vAlign w:val="center"/>
            <w:hideMark/>
          </w:tcPr>
          <w:p w14:paraId="0EB02BD7"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51,3</w:t>
            </w:r>
          </w:p>
        </w:tc>
      </w:tr>
      <w:tr w:rsidR="00A9409C" w:rsidRPr="00723AC1" w14:paraId="03A26520" w14:textId="77777777" w:rsidTr="00094F6F">
        <w:trPr>
          <w:trHeight w:val="340"/>
          <w:jc w:val="center"/>
        </w:trPr>
        <w:tc>
          <w:tcPr>
            <w:tcW w:w="1361" w:type="dxa"/>
            <w:shd w:val="clear" w:color="auto" w:fill="auto"/>
            <w:noWrap/>
            <w:vAlign w:val="center"/>
            <w:hideMark/>
          </w:tcPr>
          <w:p w14:paraId="5521C860"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Женщины</w:t>
            </w:r>
          </w:p>
        </w:tc>
        <w:tc>
          <w:tcPr>
            <w:tcW w:w="794" w:type="dxa"/>
            <w:shd w:val="clear" w:color="auto" w:fill="auto"/>
            <w:noWrap/>
            <w:vAlign w:val="center"/>
            <w:hideMark/>
          </w:tcPr>
          <w:p w14:paraId="0C10E04C"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35</w:t>
            </w:r>
          </w:p>
        </w:tc>
        <w:tc>
          <w:tcPr>
            <w:tcW w:w="794" w:type="dxa"/>
            <w:shd w:val="clear" w:color="auto" w:fill="auto"/>
            <w:noWrap/>
            <w:vAlign w:val="center"/>
            <w:hideMark/>
          </w:tcPr>
          <w:p w14:paraId="7E7979C7"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55,6</w:t>
            </w:r>
          </w:p>
        </w:tc>
        <w:tc>
          <w:tcPr>
            <w:tcW w:w="794" w:type="dxa"/>
            <w:shd w:val="clear" w:color="auto" w:fill="auto"/>
            <w:noWrap/>
            <w:vAlign w:val="center"/>
            <w:hideMark/>
          </w:tcPr>
          <w:p w14:paraId="1541D403"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26</w:t>
            </w:r>
          </w:p>
        </w:tc>
        <w:tc>
          <w:tcPr>
            <w:tcW w:w="794" w:type="dxa"/>
            <w:shd w:val="clear" w:color="auto" w:fill="auto"/>
            <w:noWrap/>
            <w:vAlign w:val="center"/>
            <w:hideMark/>
          </w:tcPr>
          <w:p w14:paraId="196F2F5D"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43,3</w:t>
            </w:r>
          </w:p>
        </w:tc>
        <w:tc>
          <w:tcPr>
            <w:tcW w:w="794" w:type="dxa"/>
            <w:shd w:val="clear" w:color="auto" w:fill="auto"/>
            <w:noWrap/>
            <w:vAlign w:val="center"/>
            <w:hideMark/>
          </w:tcPr>
          <w:p w14:paraId="5978C612"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5</w:t>
            </w:r>
          </w:p>
        </w:tc>
        <w:tc>
          <w:tcPr>
            <w:tcW w:w="794" w:type="dxa"/>
            <w:shd w:val="clear" w:color="auto" w:fill="auto"/>
            <w:noWrap/>
            <w:vAlign w:val="center"/>
            <w:hideMark/>
          </w:tcPr>
          <w:p w14:paraId="09537EBA"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50,0</w:t>
            </w:r>
          </w:p>
        </w:tc>
        <w:tc>
          <w:tcPr>
            <w:tcW w:w="794" w:type="dxa"/>
            <w:shd w:val="clear" w:color="auto" w:fill="auto"/>
            <w:noWrap/>
            <w:vAlign w:val="center"/>
            <w:hideMark/>
          </w:tcPr>
          <w:p w14:paraId="63316568"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7</w:t>
            </w:r>
          </w:p>
        </w:tc>
        <w:tc>
          <w:tcPr>
            <w:tcW w:w="794" w:type="dxa"/>
            <w:shd w:val="clear" w:color="auto" w:fill="auto"/>
            <w:noWrap/>
            <w:vAlign w:val="center"/>
            <w:hideMark/>
          </w:tcPr>
          <w:p w14:paraId="790C3DB0"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41,2</w:t>
            </w:r>
          </w:p>
        </w:tc>
        <w:tc>
          <w:tcPr>
            <w:tcW w:w="794" w:type="dxa"/>
            <w:shd w:val="clear" w:color="auto" w:fill="auto"/>
            <w:noWrap/>
            <w:vAlign w:val="center"/>
            <w:hideMark/>
          </w:tcPr>
          <w:p w14:paraId="65A79341"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73</w:t>
            </w:r>
          </w:p>
        </w:tc>
        <w:tc>
          <w:tcPr>
            <w:tcW w:w="794" w:type="dxa"/>
            <w:shd w:val="clear" w:color="auto" w:fill="auto"/>
            <w:noWrap/>
            <w:vAlign w:val="center"/>
            <w:hideMark/>
          </w:tcPr>
          <w:p w14:paraId="68C90A70"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48,7</w:t>
            </w:r>
          </w:p>
        </w:tc>
      </w:tr>
      <w:tr w:rsidR="00A9409C" w:rsidRPr="00723AC1" w14:paraId="21E42EC0" w14:textId="77777777" w:rsidTr="00094F6F">
        <w:trPr>
          <w:trHeight w:val="340"/>
          <w:jc w:val="center"/>
        </w:trPr>
        <w:tc>
          <w:tcPr>
            <w:tcW w:w="1361" w:type="dxa"/>
            <w:shd w:val="clear" w:color="auto" w:fill="auto"/>
            <w:noWrap/>
            <w:vAlign w:val="center"/>
            <w:hideMark/>
          </w:tcPr>
          <w:p w14:paraId="080E2876"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Оба пола</w:t>
            </w:r>
          </w:p>
        </w:tc>
        <w:tc>
          <w:tcPr>
            <w:tcW w:w="794" w:type="dxa"/>
            <w:shd w:val="clear" w:color="auto" w:fill="auto"/>
            <w:noWrap/>
            <w:vAlign w:val="center"/>
            <w:hideMark/>
          </w:tcPr>
          <w:p w14:paraId="2232F44F"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63</w:t>
            </w:r>
          </w:p>
        </w:tc>
        <w:tc>
          <w:tcPr>
            <w:tcW w:w="794" w:type="dxa"/>
            <w:shd w:val="clear" w:color="auto" w:fill="auto"/>
            <w:noWrap/>
            <w:vAlign w:val="center"/>
            <w:hideMark/>
          </w:tcPr>
          <w:p w14:paraId="17D35271"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100,0</w:t>
            </w:r>
          </w:p>
        </w:tc>
        <w:tc>
          <w:tcPr>
            <w:tcW w:w="794" w:type="dxa"/>
            <w:shd w:val="clear" w:color="auto" w:fill="auto"/>
            <w:noWrap/>
            <w:vAlign w:val="center"/>
            <w:hideMark/>
          </w:tcPr>
          <w:p w14:paraId="210E876E"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60</w:t>
            </w:r>
          </w:p>
        </w:tc>
        <w:tc>
          <w:tcPr>
            <w:tcW w:w="794" w:type="dxa"/>
            <w:shd w:val="clear" w:color="auto" w:fill="auto"/>
            <w:noWrap/>
            <w:vAlign w:val="center"/>
            <w:hideMark/>
          </w:tcPr>
          <w:p w14:paraId="456E3A49"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100,0</w:t>
            </w:r>
          </w:p>
        </w:tc>
        <w:tc>
          <w:tcPr>
            <w:tcW w:w="794" w:type="dxa"/>
            <w:shd w:val="clear" w:color="auto" w:fill="auto"/>
            <w:noWrap/>
            <w:vAlign w:val="center"/>
            <w:hideMark/>
          </w:tcPr>
          <w:p w14:paraId="30BEEC9F"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10</w:t>
            </w:r>
          </w:p>
        </w:tc>
        <w:tc>
          <w:tcPr>
            <w:tcW w:w="794" w:type="dxa"/>
            <w:shd w:val="clear" w:color="auto" w:fill="auto"/>
            <w:noWrap/>
            <w:vAlign w:val="center"/>
            <w:hideMark/>
          </w:tcPr>
          <w:p w14:paraId="27884B08"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100,0</w:t>
            </w:r>
          </w:p>
        </w:tc>
        <w:tc>
          <w:tcPr>
            <w:tcW w:w="794" w:type="dxa"/>
            <w:shd w:val="clear" w:color="auto" w:fill="auto"/>
            <w:noWrap/>
            <w:vAlign w:val="center"/>
            <w:hideMark/>
          </w:tcPr>
          <w:p w14:paraId="32B33F62"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17</w:t>
            </w:r>
          </w:p>
        </w:tc>
        <w:tc>
          <w:tcPr>
            <w:tcW w:w="794" w:type="dxa"/>
            <w:shd w:val="clear" w:color="auto" w:fill="auto"/>
            <w:noWrap/>
            <w:vAlign w:val="center"/>
            <w:hideMark/>
          </w:tcPr>
          <w:p w14:paraId="21936566"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100,0</w:t>
            </w:r>
          </w:p>
        </w:tc>
        <w:tc>
          <w:tcPr>
            <w:tcW w:w="794" w:type="dxa"/>
            <w:shd w:val="clear" w:color="auto" w:fill="auto"/>
            <w:noWrap/>
            <w:vAlign w:val="center"/>
            <w:hideMark/>
          </w:tcPr>
          <w:p w14:paraId="2EA5C8E1"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150</w:t>
            </w:r>
          </w:p>
        </w:tc>
        <w:tc>
          <w:tcPr>
            <w:tcW w:w="794" w:type="dxa"/>
            <w:shd w:val="clear" w:color="auto" w:fill="auto"/>
            <w:noWrap/>
            <w:vAlign w:val="center"/>
            <w:hideMark/>
          </w:tcPr>
          <w:p w14:paraId="29183CE0"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100,0</w:t>
            </w:r>
          </w:p>
        </w:tc>
      </w:tr>
    </w:tbl>
    <w:p w14:paraId="49E23944" w14:textId="77777777" w:rsidR="00A9409C" w:rsidRDefault="00A9409C" w:rsidP="00A9409C">
      <w:pPr>
        <w:tabs>
          <w:tab w:val="left" w:pos="0"/>
        </w:tabs>
        <w:spacing w:after="0" w:line="240" w:lineRule="auto"/>
        <w:ind w:firstLine="567"/>
        <w:jc w:val="both"/>
        <w:rPr>
          <w:rFonts w:ascii="Times New Roman" w:hAnsi="Times New Roman"/>
          <w:sz w:val="28"/>
          <w:szCs w:val="28"/>
        </w:rPr>
      </w:pPr>
    </w:p>
    <w:p w14:paraId="06BBC46B" w14:textId="77777777" w:rsidR="00A9409C" w:rsidRDefault="00A9409C" w:rsidP="00A9409C">
      <w:pPr>
        <w:tabs>
          <w:tab w:val="left" w:pos="0"/>
        </w:tabs>
        <w:spacing w:after="0" w:line="240" w:lineRule="auto"/>
        <w:ind w:firstLine="567"/>
        <w:jc w:val="both"/>
        <w:rPr>
          <w:rFonts w:ascii="Times New Roman" w:hAnsi="Times New Roman"/>
          <w:sz w:val="28"/>
          <w:szCs w:val="28"/>
        </w:rPr>
      </w:pPr>
    </w:p>
    <w:p w14:paraId="6C6AE0C2" w14:textId="77777777" w:rsidR="00A9409C" w:rsidRPr="00623E78" w:rsidRDefault="00A9409C" w:rsidP="00A9409C">
      <w:pPr>
        <w:tabs>
          <w:tab w:val="left" w:pos="0"/>
        </w:tabs>
        <w:spacing w:after="0" w:line="240" w:lineRule="auto"/>
        <w:ind w:firstLine="567"/>
        <w:jc w:val="both"/>
        <w:rPr>
          <w:rFonts w:ascii="Times New Roman" w:hAnsi="Times New Roman"/>
          <w:bCs/>
          <w:iCs/>
          <w:sz w:val="28"/>
          <w:szCs w:val="28"/>
        </w:rPr>
      </w:pPr>
      <w:r>
        <w:rPr>
          <w:rFonts w:ascii="Times New Roman" w:hAnsi="Times New Roman"/>
          <w:sz w:val="28"/>
          <w:szCs w:val="28"/>
        </w:rPr>
        <w:t>Установлено, что связи между полом больных и видом оперативного вмешательство не выявлено (</w:t>
      </w:r>
      <w:r w:rsidRPr="00F1144D">
        <w:rPr>
          <w:rFonts w:ascii="Times New Roman" w:hAnsi="Times New Roman"/>
          <w:b/>
          <w:i/>
          <w:sz w:val="28"/>
          <w:szCs w:val="28"/>
        </w:rPr>
        <w:t>χ</w:t>
      </w:r>
      <w:r w:rsidRPr="00F1144D">
        <w:rPr>
          <w:rFonts w:ascii="Times New Roman" w:hAnsi="Times New Roman"/>
          <w:b/>
          <w:i/>
          <w:sz w:val="28"/>
          <w:szCs w:val="28"/>
          <w:vertAlign w:val="superscript"/>
        </w:rPr>
        <w:t>2</w:t>
      </w:r>
      <w:r>
        <w:rPr>
          <w:rFonts w:ascii="Times New Roman" w:hAnsi="Times New Roman"/>
          <w:b/>
          <w:i/>
          <w:sz w:val="28"/>
          <w:szCs w:val="28"/>
        </w:rPr>
        <w:t>=5,079</w:t>
      </w:r>
      <w:r w:rsidRPr="00623E78">
        <w:rPr>
          <w:rFonts w:ascii="Times New Roman" w:hAnsi="Times New Roman"/>
          <w:bCs/>
          <w:iCs/>
          <w:sz w:val="28"/>
          <w:szCs w:val="28"/>
        </w:rPr>
        <w:t xml:space="preserve">, </w:t>
      </w:r>
      <w:r w:rsidRPr="00623E78">
        <w:rPr>
          <w:rFonts w:ascii="Times New Roman" w:hAnsi="Times New Roman"/>
          <w:bCs/>
          <w:iCs/>
          <w:sz w:val="28"/>
          <w:szCs w:val="28"/>
          <w:lang w:val="en-US"/>
        </w:rPr>
        <w:t>p</w:t>
      </w:r>
      <w:r w:rsidRPr="00870ADF">
        <w:rPr>
          <w:rFonts w:ascii="Times New Roman" w:hAnsi="Times New Roman"/>
          <w:bCs/>
          <w:iCs/>
          <w:sz w:val="28"/>
          <w:szCs w:val="28"/>
        </w:rPr>
        <w:t>=0,</w:t>
      </w:r>
      <w:r>
        <w:rPr>
          <w:rFonts w:ascii="Times New Roman" w:hAnsi="Times New Roman"/>
          <w:bCs/>
          <w:iCs/>
          <w:sz w:val="28"/>
          <w:szCs w:val="28"/>
        </w:rPr>
        <w:t>280)</w:t>
      </w:r>
      <w:r w:rsidRPr="00623E78">
        <w:rPr>
          <w:rFonts w:ascii="Times New Roman" w:hAnsi="Times New Roman"/>
          <w:bCs/>
          <w:iCs/>
          <w:sz w:val="28"/>
          <w:szCs w:val="28"/>
        </w:rPr>
        <w:t>.</w:t>
      </w:r>
    </w:p>
    <w:p w14:paraId="5B3D72E7" w14:textId="77777777" w:rsidR="00A9409C" w:rsidRDefault="00A9409C" w:rsidP="00A9409C">
      <w:pPr>
        <w:tabs>
          <w:tab w:val="left" w:pos="0"/>
        </w:tabs>
        <w:spacing w:after="0" w:line="240" w:lineRule="auto"/>
        <w:ind w:firstLine="567"/>
        <w:jc w:val="both"/>
        <w:rPr>
          <w:rFonts w:ascii="Times New Roman" w:hAnsi="Times New Roman"/>
          <w:sz w:val="28"/>
          <w:szCs w:val="28"/>
        </w:rPr>
      </w:pPr>
      <w:r>
        <w:rPr>
          <w:rFonts w:ascii="Times New Roman" w:hAnsi="Times New Roman"/>
          <w:sz w:val="28"/>
          <w:szCs w:val="28"/>
        </w:rPr>
        <w:t>Распределение больных с учетом локализации опухоли показало, что больше всего процесс локализовался в восходящей ободочной кишке (69 пациентов, 46,0%) и нисходящей ободочной кишке (57 пациентов, 38,0%) (таблица 1</w:t>
      </w:r>
      <w:r w:rsidRPr="00870ADF">
        <w:rPr>
          <w:rFonts w:ascii="Times New Roman" w:hAnsi="Times New Roman"/>
          <w:sz w:val="28"/>
          <w:szCs w:val="28"/>
        </w:rPr>
        <w:t>5</w:t>
      </w:r>
      <w:r>
        <w:rPr>
          <w:rFonts w:ascii="Times New Roman" w:hAnsi="Times New Roman"/>
          <w:sz w:val="28"/>
          <w:szCs w:val="28"/>
        </w:rPr>
        <w:t>).</w:t>
      </w:r>
    </w:p>
    <w:p w14:paraId="5F6DEEA5" w14:textId="77777777" w:rsidR="00A9409C" w:rsidRDefault="00A9409C" w:rsidP="00A9409C">
      <w:pPr>
        <w:tabs>
          <w:tab w:val="left" w:pos="0"/>
        </w:tabs>
        <w:spacing w:after="0" w:line="240" w:lineRule="auto"/>
        <w:ind w:firstLine="567"/>
        <w:jc w:val="both"/>
        <w:rPr>
          <w:rFonts w:ascii="Times New Roman" w:hAnsi="Times New Roman"/>
          <w:sz w:val="28"/>
          <w:szCs w:val="28"/>
        </w:rPr>
      </w:pPr>
    </w:p>
    <w:p w14:paraId="17690AE8" w14:textId="77777777" w:rsidR="00A9409C" w:rsidRPr="00BC235E" w:rsidRDefault="00A9409C" w:rsidP="00A9409C">
      <w:pPr>
        <w:tabs>
          <w:tab w:val="left" w:pos="0"/>
        </w:tabs>
        <w:spacing w:after="0" w:line="240" w:lineRule="auto"/>
        <w:ind w:firstLine="567"/>
        <w:jc w:val="both"/>
        <w:rPr>
          <w:rFonts w:ascii="Times New Roman" w:hAnsi="Times New Roman"/>
          <w:sz w:val="28"/>
          <w:szCs w:val="28"/>
        </w:rPr>
      </w:pPr>
    </w:p>
    <w:p w14:paraId="33D42D64" w14:textId="77777777" w:rsidR="00A9409C" w:rsidRPr="00EC0153" w:rsidRDefault="00A9409C" w:rsidP="00A9409C">
      <w:pPr>
        <w:tabs>
          <w:tab w:val="left" w:pos="0"/>
        </w:tabs>
        <w:spacing w:after="0" w:line="240" w:lineRule="auto"/>
        <w:jc w:val="both"/>
        <w:rPr>
          <w:rFonts w:ascii="Times New Roman" w:hAnsi="Times New Roman"/>
          <w:sz w:val="28"/>
          <w:szCs w:val="28"/>
        </w:rPr>
      </w:pPr>
      <w:r>
        <w:rPr>
          <w:rFonts w:ascii="Times New Roman" w:hAnsi="Times New Roman"/>
          <w:sz w:val="28"/>
          <w:szCs w:val="28"/>
        </w:rPr>
        <w:t>Таблица 1</w:t>
      </w:r>
      <w:r w:rsidRPr="00870ADF">
        <w:rPr>
          <w:rFonts w:ascii="Times New Roman" w:hAnsi="Times New Roman"/>
          <w:sz w:val="28"/>
          <w:szCs w:val="28"/>
        </w:rPr>
        <w:t>5</w:t>
      </w:r>
      <w:r>
        <w:rPr>
          <w:rFonts w:ascii="Times New Roman" w:hAnsi="Times New Roman"/>
          <w:sz w:val="28"/>
          <w:szCs w:val="28"/>
        </w:rPr>
        <w:t xml:space="preserve"> – Распределение больных раком ободочной кишки по полу и локализации опухоли</w:t>
      </w:r>
    </w:p>
    <w:p w14:paraId="6DDE1743" w14:textId="77777777" w:rsidR="00A9409C" w:rsidRDefault="00A9409C" w:rsidP="00A9409C">
      <w:pPr>
        <w:tabs>
          <w:tab w:val="left" w:pos="0"/>
        </w:tabs>
        <w:spacing w:after="0" w:line="240" w:lineRule="auto"/>
        <w:ind w:firstLine="567"/>
        <w:jc w:val="both"/>
        <w:rPr>
          <w:rFonts w:ascii="Times New Roman" w:hAnsi="Times New Roman"/>
          <w:sz w:val="28"/>
          <w:szCs w:val="28"/>
        </w:rPr>
      </w:pPr>
    </w:p>
    <w:tbl>
      <w:tblPr>
        <w:tblW w:w="9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1"/>
        <w:gridCol w:w="794"/>
        <w:gridCol w:w="794"/>
        <w:gridCol w:w="794"/>
        <w:gridCol w:w="794"/>
        <w:gridCol w:w="794"/>
        <w:gridCol w:w="794"/>
        <w:gridCol w:w="794"/>
        <w:gridCol w:w="794"/>
        <w:gridCol w:w="794"/>
        <w:gridCol w:w="794"/>
      </w:tblGrid>
      <w:tr w:rsidR="00A9409C" w:rsidRPr="00723AC1" w14:paraId="2CB6F0BD" w14:textId="77777777" w:rsidTr="00094F6F">
        <w:trPr>
          <w:trHeight w:val="340"/>
          <w:jc w:val="center"/>
        </w:trPr>
        <w:tc>
          <w:tcPr>
            <w:tcW w:w="1361" w:type="dxa"/>
            <w:vMerge w:val="restart"/>
            <w:shd w:val="clear" w:color="auto" w:fill="auto"/>
            <w:noWrap/>
            <w:vAlign w:val="center"/>
          </w:tcPr>
          <w:p w14:paraId="7C2F5F8B" w14:textId="77777777" w:rsidR="00A9409C" w:rsidRPr="0040428F" w:rsidRDefault="00A9409C" w:rsidP="00094F6F">
            <w:pPr>
              <w:spacing w:after="0" w:line="240" w:lineRule="auto"/>
              <w:jc w:val="center"/>
              <w:rPr>
                <w:rFonts w:ascii="Times New Roman" w:hAnsi="Times New Roman"/>
                <w:sz w:val="24"/>
                <w:szCs w:val="24"/>
              </w:rPr>
            </w:pPr>
            <w:r>
              <w:rPr>
                <w:rFonts w:ascii="Times New Roman" w:hAnsi="Times New Roman"/>
                <w:sz w:val="24"/>
                <w:szCs w:val="24"/>
              </w:rPr>
              <w:t>Пол</w:t>
            </w:r>
          </w:p>
        </w:tc>
        <w:tc>
          <w:tcPr>
            <w:tcW w:w="1588" w:type="dxa"/>
            <w:gridSpan w:val="2"/>
            <w:shd w:val="clear" w:color="auto" w:fill="auto"/>
            <w:noWrap/>
            <w:vAlign w:val="center"/>
          </w:tcPr>
          <w:p w14:paraId="40716197" w14:textId="77777777" w:rsidR="00A9409C" w:rsidRPr="0040428F" w:rsidRDefault="00A9409C" w:rsidP="00094F6F">
            <w:pPr>
              <w:spacing w:after="0" w:line="240" w:lineRule="auto"/>
              <w:jc w:val="center"/>
              <w:rPr>
                <w:rFonts w:ascii="Times New Roman" w:hAnsi="Times New Roman"/>
                <w:sz w:val="24"/>
                <w:szCs w:val="24"/>
              </w:rPr>
            </w:pPr>
            <w:r>
              <w:rPr>
                <w:rFonts w:ascii="Times New Roman" w:hAnsi="Times New Roman"/>
                <w:sz w:val="24"/>
                <w:szCs w:val="24"/>
              </w:rPr>
              <w:t>ВОК</w:t>
            </w:r>
          </w:p>
        </w:tc>
        <w:tc>
          <w:tcPr>
            <w:tcW w:w="1588" w:type="dxa"/>
            <w:gridSpan w:val="2"/>
            <w:shd w:val="clear" w:color="auto" w:fill="auto"/>
            <w:noWrap/>
            <w:vAlign w:val="center"/>
          </w:tcPr>
          <w:p w14:paraId="58B9AEB4" w14:textId="77777777" w:rsidR="00A9409C" w:rsidRPr="0040428F" w:rsidRDefault="00A9409C" w:rsidP="00094F6F">
            <w:pPr>
              <w:spacing w:after="0" w:line="240" w:lineRule="auto"/>
              <w:jc w:val="center"/>
              <w:rPr>
                <w:rFonts w:ascii="Times New Roman" w:hAnsi="Times New Roman"/>
                <w:sz w:val="24"/>
                <w:szCs w:val="24"/>
              </w:rPr>
            </w:pPr>
            <w:r>
              <w:rPr>
                <w:rFonts w:ascii="Times New Roman" w:hAnsi="Times New Roman"/>
                <w:sz w:val="24"/>
                <w:szCs w:val="24"/>
              </w:rPr>
              <w:t>НОК</w:t>
            </w:r>
          </w:p>
        </w:tc>
        <w:tc>
          <w:tcPr>
            <w:tcW w:w="1588" w:type="dxa"/>
            <w:gridSpan w:val="2"/>
            <w:shd w:val="clear" w:color="auto" w:fill="auto"/>
            <w:noWrap/>
            <w:vAlign w:val="center"/>
          </w:tcPr>
          <w:p w14:paraId="667008DA" w14:textId="77777777" w:rsidR="00A9409C" w:rsidRPr="0040428F" w:rsidRDefault="00A9409C" w:rsidP="00094F6F">
            <w:pPr>
              <w:spacing w:after="0" w:line="240" w:lineRule="auto"/>
              <w:jc w:val="center"/>
              <w:rPr>
                <w:rFonts w:ascii="Times New Roman" w:hAnsi="Times New Roman"/>
                <w:sz w:val="24"/>
                <w:szCs w:val="24"/>
              </w:rPr>
            </w:pPr>
            <w:r>
              <w:rPr>
                <w:rFonts w:ascii="Times New Roman" w:hAnsi="Times New Roman"/>
                <w:sz w:val="24"/>
                <w:szCs w:val="24"/>
              </w:rPr>
              <w:t>ПОК</w:t>
            </w:r>
          </w:p>
        </w:tc>
        <w:tc>
          <w:tcPr>
            <w:tcW w:w="1588" w:type="dxa"/>
            <w:gridSpan w:val="2"/>
            <w:shd w:val="clear" w:color="auto" w:fill="auto"/>
            <w:noWrap/>
            <w:vAlign w:val="center"/>
          </w:tcPr>
          <w:p w14:paraId="73108EC0" w14:textId="77777777" w:rsidR="00A9409C" w:rsidRPr="0040428F" w:rsidRDefault="00A9409C" w:rsidP="00094F6F">
            <w:pPr>
              <w:spacing w:after="0" w:line="240" w:lineRule="auto"/>
              <w:jc w:val="center"/>
              <w:rPr>
                <w:rFonts w:ascii="Times New Roman" w:hAnsi="Times New Roman"/>
                <w:sz w:val="24"/>
                <w:szCs w:val="24"/>
              </w:rPr>
            </w:pPr>
            <w:r>
              <w:rPr>
                <w:rFonts w:ascii="Times New Roman" w:hAnsi="Times New Roman"/>
                <w:sz w:val="24"/>
                <w:szCs w:val="24"/>
              </w:rPr>
              <w:t>СК</w:t>
            </w:r>
          </w:p>
        </w:tc>
        <w:tc>
          <w:tcPr>
            <w:tcW w:w="1588" w:type="dxa"/>
            <w:gridSpan w:val="2"/>
            <w:shd w:val="clear" w:color="auto" w:fill="auto"/>
            <w:noWrap/>
            <w:vAlign w:val="center"/>
          </w:tcPr>
          <w:p w14:paraId="5D4149BE" w14:textId="77777777" w:rsidR="00A9409C" w:rsidRPr="0040428F" w:rsidRDefault="00A9409C" w:rsidP="00094F6F">
            <w:pPr>
              <w:spacing w:after="0" w:line="240" w:lineRule="auto"/>
              <w:jc w:val="center"/>
              <w:rPr>
                <w:rFonts w:ascii="Times New Roman" w:hAnsi="Times New Roman"/>
                <w:sz w:val="24"/>
                <w:szCs w:val="24"/>
              </w:rPr>
            </w:pPr>
            <w:r>
              <w:rPr>
                <w:rFonts w:ascii="Times New Roman" w:hAnsi="Times New Roman"/>
                <w:sz w:val="24"/>
                <w:szCs w:val="24"/>
              </w:rPr>
              <w:t>Итого</w:t>
            </w:r>
          </w:p>
        </w:tc>
      </w:tr>
      <w:tr w:rsidR="00A9409C" w:rsidRPr="00723AC1" w14:paraId="50DB76FC" w14:textId="77777777" w:rsidTr="00094F6F">
        <w:trPr>
          <w:trHeight w:val="340"/>
          <w:jc w:val="center"/>
        </w:trPr>
        <w:tc>
          <w:tcPr>
            <w:tcW w:w="1361" w:type="dxa"/>
            <w:vMerge/>
            <w:shd w:val="clear" w:color="auto" w:fill="auto"/>
            <w:noWrap/>
            <w:vAlign w:val="center"/>
            <w:hideMark/>
          </w:tcPr>
          <w:p w14:paraId="013E6006" w14:textId="77777777" w:rsidR="00A9409C" w:rsidRPr="00723AC1" w:rsidRDefault="00A9409C" w:rsidP="00094F6F">
            <w:pPr>
              <w:spacing w:after="0" w:line="240" w:lineRule="auto"/>
              <w:jc w:val="center"/>
              <w:rPr>
                <w:rFonts w:ascii="Times New Roman" w:hAnsi="Times New Roman"/>
                <w:sz w:val="24"/>
                <w:szCs w:val="24"/>
              </w:rPr>
            </w:pPr>
          </w:p>
        </w:tc>
        <w:tc>
          <w:tcPr>
            <w:tcW w:w="794" w:type="dxa"/>
            <w:shd w:val="clear" w:color="auto" w:fill="auto"/>
            <w:noWrap/>
            <w:vAlign w:val="center"/>
            <w:hideMark/>
          </w:tcPr>
          <w:p w14:paraId="50F68618"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АЧ</w:t>
            </w:r>
          </w:p>
        </w:tc>
        <w:tc>
          <w:tcPr>
            <w:tcW w:w="794" w:type="dxa"/>
            <w:shd w:val="clear" w:color="auto" w:fill="auto"/>
            <w:noWrap/>
            <w:vAlign w:val="center"/>
            <w:hideMark/>
          </w:tcPr>
          <w:p w14:paraId="1C831E3D"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w:t>
            </w:r>
          </w:p>
        </w:tc>
        <w:tc>
          <w:tcPr>
            <w:tcW w:w="794" w:type="dxa"/>
            <w:shd w:val="clear" w:color="auto" w:fill="auto"/>
            <w:noWrap/>
            <w:vAlign w:val="center"/>
            <w:hideMark/>
          </w:tcPr>
          <w:p w14:paraId="6D2BCF17"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АЧ</w:t>
            </w:r>
          </w:p>
        </w:tc>
        <w:tc>
          <w:tcPr>
            <w:tcW w:w="794" w:type="dxa"/>
            <w:shd w:val="clear" w:color="auto" w:fill="auto"/>
            <w:noWrap/>
            <w:vAlign w:val="center"/>
            <w:hideMark/>
          </w:tcPr>
          <w:p w14:paraId="44B4A9C1"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w:t>
            </w:r>
          </w:p>
        </w:tc>
        <w:tc>
          <w:tcPr>
            <w:tcW w:w="794" w:type="dxa"/>
            <w:shd w:val="clear" w:color="auto" w:fill="auto"/>
            <w:noWrap/>
            <w:vAlign w:val="center"/>
            <w:hideMark/>
          </w:tcPr>
          <w:p w14:paraId="61E12974"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АЧ</w:t>
            </w:r>
          </w:p>
        </w:tc>
        <w:tc>
          <w:tcPr>
            <w:tcW w:w="794" w:type="dxa"/>
            <w:shd w:val="clear" w:color="auto" w:fill="auto"/>
            <w:noWrap/>
            <w:vAlign w:val="center"/>
            <w:hideMark/>
          </w:tcPr>
          <w:p w14:paraId="160026E7"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w:t>
            </w:r>
          </w:p>
        </w:tc>
        <w:tc>
          <w:tcPr>
            <w:tcW w:w="794" w:type="dxa"/>
            <w:shd w:val="clear" w:color="auto" w:fill="auto"/>
            <w:noWrap/>
            <w:vAlign w:val="center"/>
            <w:hideMark/>
          </w:tcPr>
          <w:p w14:paraId="1EE124A4"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АЧ</w:t>
            </w:r>
          </w:p>
        </w:tc>
        <w:tc>
          <w:tcPr>
            <w:tcW w:w="794" w:type="dxa"/>
            <w:shd w:val="clear" w:color="auto" w:fill="auto"/>
            <w:noWrap/>
            <w:vAlign w:val="center"/>
            <w:hideMark/>
          </w:tcPr>
          <w:p w14:paraId="3E476E50"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w:t>
            </w:r>
          </w:p>
        </w:tc>
        <w:tc>
          <w:tcPr>
            <w:tcW w:w="794" w:type="dxa"/>
            <w:shd w:val="clear" w:color="auto" w:fill="auto"/>
            <w:noWrap/>
            <w:vAlign w:val="center"/>
            <w:hideMark/>
          </w:tcPr>
          <w:p w14:paraId="555FB885"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АЧ</w:t>
            </w:r>
          </w:p>
        </w:tc>
        <w:tc>
          <w:tcPr>
            <w:tcW w:w="794" w:type="dxa"/>
            <w:shd w:val="clear" w:color="auto" w:fill="auto"/>
            <w:noWrap/>
            <w:vAlign w:val="center"/>
            <w:hideMark/>
          </w:tcPr>
          <w:p w14:paraId="5436AEC4"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w:t>
            </w:r>
          </w:p>
        </w:tc>
      </w:tr>
      <w:tr w:rsidR="00A9409C" w:rsidRPr="00723AC1" w14:paraId="4231BD52" w14:textId="77777777" w:rsidTr="00094F6F">
        <w:trPr>
          <w:trHeight w:val="340"/>
          <w:jc w:val="center"/>
        </w:trPr>
        <w:tc>
          <w:tcPr>
            <w:tcW w:w="1361" w:type="dxa"/>
            <w:shd w:val="clear" w:color="auto" w:fill="auto"/>
            <w:noWrap/>
            <w:vAlign w:val="center"/>
            <w:hideMark/>
          </w:tcPr>
          <w:p w14:paraId="0E707CF6" w14:textId="77777777" w:rsidR="00A9409C" w:rsidRPr="00723AC1" w:rsidRDefault="00A9409C" w:rsidP="00094F6F">
            <w:pPr>
              <w:spacing w:after="0" w:line="240" w:lineRule="auto"/>
              <w:jc w:val="center"/>
              <w:rPr>
                <w:rFonts w:ascii="Times New Roman" w:hAnsi="Times New Roman"/>
                <w:sz w:val="24"/>
                <w:szCs w:val="24"/>
              </w:rPr>
            </w:pPr>
            <w:r w:rsidRPr="00723AC1">
              <w:rPr>
                <w:rFonts w:ascii="Times New Roman" w:hAnsi="Times New Roman"/>
                <w:sz w:val="24"/>
                <w:szCs w:val="24"/>
              </w:rPr>
              <w:t>Мужчины</w:t>
            </w:r>
          </w:p>
        </w:tc>
        <w:tc>
          <w:tcPr>
            <w:tcW w:w="794" w:type="dxa"/>
            <w:shd w:val="clear" w:color="auto" w:fill="auto"/>
            <w:noWrap/>
            <w:vAlign w:val="bottom"/>
            <w:hideMark/>
          </w:tcPr>
          <w:p w14:paraId="0C76B3ED"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39</w:t>
            </w:r>
          </w:p>
        </w:tc>
        <w:tc>
          <w:tcPr>
            <w:tcW w:w="794" w:type="dxa"/>
            <w:shd w:val="clear" w:color="auto" w:fill="auto"/>
            <w:noWrap/>
            <w:vAlign w:val="bottom"/>
            <w:hideMark/>
          </w:tcPr>
          <w:p w14:paraId="40E1344F"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56,5</w:t>
            </w:r>
          </w:p>
        </w:tc>
        <w:tc>
          <w:tcPr>
            <w:tcW w:w="794" w:type="dxa"/>
            <w:shd w:val="clear" w:color="auto" w:fill="auto"/>
            <w:noWrap/>
            <w:vAlign w:val="bottom"/>
            <w:hideMark/>
          </w:tcPr>
          <w:p w14:paraId="1AA090CB"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26</w:t>
            </w:r>
          </w:p>
        </w:tc>
        <w:tc>
          <w:tcPr>
            <w:tcW w:w="794" w:type="dxa"/>
            <w:shd w:val="clear" w:color="auto" w:fill="auto"/>
            <w:noWrap/>
            <w:vAlign w:val="bottom"/>
            <w:hideMark/>
          </w:tcPr>
          <w:p w14:paraId="1CDF8A46"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45,6</w:t>
            </w:r>
          </w:p>
        </w:tc>
        <w:tc>
          <w:tcPr>
            <w:tcW w:w="794" w:type="dxa"/>
            <w:shd w:val="clear" w:color="auto" w:fill="auto"/>
            <w:noWrap/>
            <w:vAlign w:val="bottom"/>
            <w:hideMark/>
          </w:tcPr>
          <w:p w14:paraId="46C860B1"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4</w:t>
            </w:r>
          </w:p>
        </w:tc>
        <w:tc>
          <w:tcPr>
            <w:tcW w:w="794" w:type="dxa"/>
            <w:shd w:val="clear" w:color="auto" w:fill="auto"/>
            <w:noWrap/>
            <w:vAlign w:val="bottom"/>
            <w:hideMark/>
          </w:tcPr>
          <w:p w14:paraId="10324829"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44,4</w:t>
            </w:r>
          </w:p>
        </w:tc>
        <w:tc>
          <w:tcPr>
            <w:tcW w:w="794" w:type="dxa"/>
            <w:shd w:val="clear" w:color="auto" w:fill="auto"/>
            <w:noWrap/>
            <w:vAlign w:val="bottom"/>
            <w:hideMark/>
          </w:tcPr>
          <w:p w14:paraId="740708E9"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8</w:t>
            </w:r>
          </w:p>
        </w:tc>
        <w:tc>
          <w:tcPr>
            <w:tcW w:w="794" w:type="dxa"/>
            <w:shd w:val="clear" w:color="auto" w:fill="auto"/>
            <w:noWrap/>
            <w:vAlign w:val="bottom"/>
            <w:hideMark/>
          </w:tcPr>
          <w:p w14:paraId="4CEDBF71"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53,3</w:t>
            </w:r>
          </w:p>
        </w:tc>
        <w:tc>
          <w:tcPr>
            <w:tcW w:w="794" w:type="dxa"/>
            <w:shd w:val="clear" w:color="auto" w:fill="auto"/>
            <w:noWrap/>
            <w:vAlign w:val="bottom"/>
            <w:hideMark/>
          </w:tcPr>
          <w:p w14:paraId="57D62200"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77</w:t>
            </w:r>
          </w:p>
        </w:tc>
        <w:tc>
          <w:tcPr>
            <w:tcW w:w="794" w:type="dxa"/>
            <w:shd w:val="clear" w:color="auto" w:fill="auto"/>
            <w:noWrap/>
            <w:vAlign w:val="bottom"/>
            <w:hideMark/>
          </w:tcPr>
          <w:p w14:paraId="4CE32C92"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51,3</w:t>
            </w:r>
          </w:p>
        </w:tc>
      </w:tr>
      <w:tr w:rsidR="00A9409C" w:rsidRPr="00723AC1" w14:paraId="3DEBECEE" w14:textId="77777777" w:rsidTr="00094F6F">
        <w:trPr>
          <w:trHeight w:val="340"/>
          <w:jc w:val="center"/>
        </w:trPr>
        <w:tc>
          <w:tcPr>
            <w:tcW w:w="1361" w:type="dxa"/>
            <w:shd w:val="clear" w:color="auto" w:fill="auto"/>
            <w:noWrap/>
            <w:vAlign w:val="center"/>
            <w:hideMark/>
          </w:tcPr>
          <w:p w14:paraId="0938DC4B"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Женщины</w:t>
            </w:r>
          </w:p>
        </w:tc>
        <w:tc>
          <w:tcPr>
            <w:tcW w:w="794" w:type="dxa"/>
            <w:shd w:val="clear" w:color="auto" w:fill="auto"/>
            <w:noWrap/>
            <w:vAlign w:val="bottom"/>
            <w:hideMark/>
          </w:tcPr>
          <w:p w14:paraId="6567D321"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30</w:t>
            </w:r>
          </w:p>
        </w:tc>
        <w:tc>
          <w:tcPr>
            <w:tcW w:w="794" w:type="dxa"/>
            <w:shd w:val="clear" w:color="auto" w:fill="auto"/>
            <w:noWrap/>
            <w:vAlign w:val="bottom"/>
            <w:hideMark/>
          </w:tcPr>
          <w:p w14:paraId="5B1B876E"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43,5</w:t>
            </w:r>
          </w:p>
        </w:tc>
        <w:tc>
          <w:tcPr>
            <w:tcW w:w="794" w:type="dxa"/>
            <w:shd w:val="clear" w:color="auto" w:fill="auto"/>
            <w:noWrap/>
            <w:vAlign w:val="bottom"/>
            <w:hideMark/>
          </w:tcPr>
          <w:p w14:paraId="4A277D1F"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31</w:t>
            </w:r>
          </w:p>
        </w:tc>
        <w:tc>
          <w:tcPr>
            <w:tcW w:w="794" w:type="dxa"/>
            <w:shd w:val="clear" w:color="auto" w:fill="auto"/>
            <w:noWrap/>
            <w:vAlign w:val="bottom"/>
            <w:hideMark/>
          </w:tcPr>
          <w:p w14:paraId="67F7F942"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54,4</w:t>
            </w:r>
          </w:p>
        </w:tc>
        <w:tc>
          <w:tcPr>
            <w:tcW w:w="794" w:type="dxa"/>
            <w:shd w:val="clear" w:color="auto" w:fill="auto"/>
            <w:noWrap/>
            <w:vAlign w:val="bottom"/>
            <w:hideMark/>
          </w:tcPr>
          <w:p w14:paraId="2F224181"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5</w:t>
            </w:r>
          </w:p>
        </w:tc>
        <w:tc>
          <w:tcPr>
            <w:tcW w:w="794" w:type="dxa"/>
            <w:shd w:val="clear" w:color="auto" w:fill="auto"/>
            <w:noWrap/>
            <w:vAlign w:val="bottom"/>
            <w:hideMark/>
          </w:tcPr>
          <w:p w14:paraId="5037B440"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55,6</w:t>
            </w:r>
          </w:p>
        </w:tc>
        <w:tc>
          <w:tcPr>
            <w:tcW w:w="794" w:type="dxa"/>
            <w:shd w:val="clear" w:color="auto" w:fill="auto"/>
            <w:noWrap/>
            <w:vAlign w:val="bottom"/>
            <w:hideMark/>
          </w:tcPr>
          <w:p w14:paraId="040AD28C"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7</w:t>
            </w:r>
          </w:p>
        </w:tc>
        <w:tc>
          <w:tcPr>
            <w:tcW w:w="794" w:type="dxa"/>
            <w:shd w:val="clear" w:color="auto" w:fill="auto"/>
            <w:noWrap/>
            <w:vAlign w:val="bottom"/>
            <w:hideMark/>
          </w:tcPr>
          <w:p w14:paraId="2E3BE96D"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46,7</w:t>
            </w:r>
          </w:p>
        </w:tc>
        <w:tc>
          <w:tcPr>
            <w:tcW w:w="794" w:type="dxa"/>
            <w:shd w:val="clear" w:color="auto" w:fill="auto"/>
            <w:noWrap/>
            <w:vAlign w:val="bottom"/>
            <w:hideMark/>
          </w:tcPr>
          <w:p w14:paraId="4B76C6A6"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73</w:t>
            </w:r>
          </w:p>
        </w:tc>
        <w:tc>
          <w:tcPr>
            <w:tcW w:w="794" w:type="dxa"/>
            <w:shd w:val="clear" w:color="auto" w:fill="auto"/>
            <w:noWrap/>
            <w:vAlign w:val="bottom"/>
            <w:hideMark/>
          </w:tcPr>
          <w:p w14:paraId="26AFB628"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48,7</w:t>
            </w:r>
          </w:p>
        </w:tc>
      </w:tr>
      <w:tr w:rsidR="00A9409C" w:rsidRPr="00723AC1" w14:paraId="6B525534" w14:textId="77777777" w:rsidTr="00094F6F">
        <w:trPr>
          <w:trHeight w:val="340"/>
          <w:jc w:val="center"/>
        </w:trPr>
        <w:tc>
          <w:tcPr>
            <w:tcW w:w="1361" w:type="dxa"/>
            <w:shd w:val="clear" w:color="auto" w:fill="auto"/>
            <w:noWrap/>
            <w:vAlign w:val="center"/>
            <w:hideMark/>
          </w:tcPr>
          <w:p w14:paraId="1EED3C7B" w14:textId="77777777" w:rsidR="00A9409C" w:rsidRPr="00723AC1" w:rsidRDefault="00A9409C" w:rsidP="00094F6F">
            <w:pPr>
              <w:spacing w:after="0" w:line="240" w:lineRule="auto"/>
              <w:jc w:val="center"/>
              <w:rPr>
                <w:rFonts w:ascii="Times New Roman" w:hAnsi="Times New Roman"/>
                <w:color w:val="000000"/>
                <w:sz w:val="24"/>
                <w:szCs w:val="24"/>
              </w:rPr>
            </w:pPr>
            <w:r w:rsidRPr="00723AC1">
              <w:rPr>
                <w:rFonts w:ascii="Times New Roman" w:hAnsi="Times New Roman"/>
                <w:color w:val="000000"/>
                <w:sz w:val="24"/>
                <w:szCs w:val="24"/>
              </w:rPr>
              <w:t>Оба пола</w:t>
            </w:r>
          </w:p>
        </w:tc>
        <w:tc>
          <w:tcPr>
            <w:tcW w:w="794" w:type="dxa"/>
            <w:shd w:val="clear" w:color="auto" w:fill="auto"/>
            <w:noWrap/>
            <w:vAlign w:val="bottom"/>
            <w:hideMark/>
          </w:tcPr>
          <w:p w14:paraId="0E36023E"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69</w:t>
            </w:r>
          </w:p>
        </w:tc>
        <w:tc>
          <w:tcPr>
            <w:tcW w:w="794" w:type="dxa"/>
            <w:shd w:val="clear" w:color="auto" w:fill="auto"/>
            <w:noWrap/>
            <w:vAlign w:val="bottom"/>
            <w:hideMark/>
          </w:tcPr>
          <w:p w14:paraId="4900C9E8"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100,0</w:t>
            </w:r>
          </w:p>
        </w:tc>
        <w:tc>
          <w:tcPr>
            <w:tcW w:w="794" w:type="dxa"/>
            <w:shd w:val="clear" w:color="auto" w:fill="auto"/>
            <w:noWrap/>
            <w:vAlign w:val="bottom"/>
            <w:hideMark/>
          </w:tcPr>
          <w:p w14:paraId="3E4EAAC3"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57</w:t>
            </w:r>
          </w:p>
        </w:tc>
        <w:tc>
          <w:tcPr>
            <w:tcW w:w="794" w:type="dxa"/>
            <w:shd w:val="clear" w:color="auto" w:fill="auto"/>
            <w:noWrap/>
            <w:vAlign w:val="bottom"/>
            <w:hideMark/>
          </w:tcPr>
          <w:p w14:paraId="6AF9E0BD"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100,0</w:t>
            </w:r>
          </w:p>
        </w:tc>
        <w:tc>
          <w:tcPr>
            <w:tcW w:w="794" w:type="dxa"/>
            <w:shd w:val="clear" w:color="auto" w:fill="auto"/>
            <w:noWrap/>
            <w:vAlign w:val="bottom"/>
            <w:hideMark/>
          </w:tcPr>
          <w:p w14:paraId="0F2FB411"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9</w:t>
            </w:r>
          </w:p>
        </w:tc>
        <w:tc>
          <w:tcPr>
            <w:tcW w:w="794" w:type="dxa"/>
            <w:shd w:val="clear" w:color="auto" w:fill="auto"/>
            <w:noWrap/>
            <w:vAlign w:val="bottom"/>
            <w:hideMark/>
          </w:tcPr>
          <w:p w14:paraId="341B97F7"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100,0</w:t>
            </w:r>
          </w:p>
        </w:tc>
        <w:tc>
          <w:tcPr>
            <w:tcW w:w="794" w:type="dxa"/>
            <w:shd w:val="clear" w:color="auto" w:fill="auto"/>
            <w:noWrap/>
            <w:vAlign w:val="bottom"/>
            <w:hideMark/>
          </w:tcPr>
          <w:p w14:paraId="21A1A384"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15</w:t>
            </w:r>
          </w:p>
        </w:tc>
        <w:tc>
          <w:tcPr>
            <w:tcW w:w="794" w:type="dxa"/>
            <w:shd w:val="clear" w:color="auto" w:fill="auto"/>
            <w:noWrap/>
            <w:vAlign w:val="bottom"/>
            <w:hideMark/>
          </w:tcPr>
          <w:p w14:paraId="510ACF0D"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100,0</w:t>
            </w:r>
          </w:p>
        </w:tc>
        <w:tc>
          <w:tcPr>
            <w:tcW w:w="794" w:type="dxa"/>
            <w:shd w:val="clear" w:color="auto" w:fill="auto"/>
            <w:noWrap/>
            <w:vAlign w:val="bottom"/>
            <w:hideMark/>
          </w:tcPr>
          <w:p w14:paraId="26B6063B"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150</w:t>
            </w:r>
          </w:p>
        </w:tc>
        <w:tc>
          <w:tcPr>
            <w:tcW w:w="794" w:type="dxa"/>
            <w:shd w:val="clear" w:color="auto" w:fill="auto"/>
            <w:noWrap/>
            <w:vAlign w:val="bottom"/>
            <w:hideMark/>
          </w:tcPr>
          <w:p w14:paraId="3019DD7A" w14:textId="77777777" w:rsidR="00A9409C" w:rsidRPr="004B56A3" w:rsidRDefault="00A9409C" w:rsidP="00094F6F">
            <w:pPr>
              <w:spacing w:after="0" w:line="240" w:lineRule="auto"/>
              <w:jc w:val="center"/>
              <w:rPr>
                <w:rFonts w:ascii="Times New Roman" w:hAnsi="Times New Roman"/>
                <w:color w:val="000000"/>
                <w:sz w:val="24"/>
                <w:szCs w:val="24"/>
              </w:rPr>
            </w:pPr>
            <w:r w:rsidRPr="004B56A3">
              <w:rPr>
                <w:rFonts w:ascii="Times New Roman" w:hAnsi="Times New Roman"/>
                <w:color w:val="000000"/>
                <w:sz w:val="24"/>
                <w:szCs w:val="24"/>
              </w:rPr>
              <w:t>100,0</w:t>
            </w:r>
          </w:p>
        </w:tc>
      </w:tr>
    </w:tbl>
    <w:p w14:paraId="509B9B75" w14:textId="77777777" w:rsidR="00A9409C" w:rsidRDefault="00A9409C" w:rsidP="00A9409C">
      <w:pPr>
        <w:tabs>
          <w:tab w:val="left" w:pos="0"/>
        </w:tabs>
        <w:spacing w:after="0" w:line="240" w:lineRule="auto"/>
        <w:ind w:firstLine="567"/>
        <w:jc w:val="both"/>
        <w:rPr>
          <w:rFonts w:ascii="Times New Roman" w:hAnsi="Times New Roman"/>
          <w:sz w:val="28"/>
          <w:szCs w:val="28"/>
        </w:rPr>
      </w:pPr>
    </w:p>
    <w:p w14:paraId="7CA7C32C" w14:textId="77777777" w:rsidR="00A9409C" w:rsidRDefault="00A9409C" w:rsidP="00A9409C">
      <w:pPr>
        <w:tabs>
          <w:tab w:val="left" w:pos="0"/>
        </w:tabs>
        <w:spacing w:after="0" w:line="240" w:lineRule="auto"/>
        <w:ind w:firstLine="567"/>
        <w:jc w:val="both"/>
        <w:rPr>
          <w:rFonts w:ascii="Times New Roman" w:hAnsi="Times New Roman"/>
          <w:sz w:val="28"/>
          <w:szCs w:val="28"/>
        </w:rPr>
      </w:pPr>
    </w:p>
    <w:p w14:paraId="4AF76FDC" w14:textId="77777777" w:rsidR="00A9409C" w:rsidRPr="00623E78" w:rsidRDefault="00A9409C" w:rsidP="00A9409C">
      <w:pPr>
        <w:tabs>
          <w:tab w:val="left" w:pos="0"/>
        </w:tabs>
        <w:spacing w:after="0" w:line="240" w:lineRule="auto"/>
        <w:ind w:firstLine="567"/>
        <w:jc w:val="both"/>
        <w:rPr>
          <w:rFonts w:ascii="Times New Roman" w:hAnsi="Times New Roman"/>
          <w:bCs/>
          <w:iCs/>
          <w:sz w:val="28"/>
          <w:szCs w:val="28"/>
        </w:rPr>
      </w:pPr>
      <w:r>
        <w:rPr>
          <w:rFonts w:ascii="Times New Roman" w:hAnsi="Times New Roman"/>
          <w:sz w:val="28"/>
          <w:szCs w:val="28"/>
        </w:rPr>
        <w:t>Установлено, что связи между полом больных и локализацией опухоли нет (</w:t>
      </w:r>
      <w:r w:rsidRPr="00F1144D">
        <w:rPr>
          <w:rFonts w:ascii="Times New Roman" w:hAnsi="Times New Roman"/>
          <w:b/>
          <w:i/>
          <w:sz w:val="28"/>
          <w:szCs w:val="28"/>
        </w:rPr>
        <w:t>χ</w:t>
      </w:r>
      <w:r w:rsidRPr="00F1144D">
        <w:rPr>
          <w:rFonts w:ascii="Times New Roman" w:hAnsi="Times New Roman"/>
          <w:b/>
          <w:i/>
          <w:sz w:val="28"/>
          <w:szCs w:val="28"/>
          <w:vertAlign w:val="superscript"/>
        </w:rPr>
        <w:t>2</w:t>
      </w:r>
      <w:r>
        <w:rPr>
          <w:rFonts w:ascii="Times New Roman" w:hAnsi="Times New Roman"/>
          <w:b/>
          <w:i/>
          <w:sz w:val="28"/>
          <w:szCs w:val="28"/>
        </w:rPr>
        <w:t>=1,685</w:t>
      </w:r>
      <w:r w:rsidRPr="00623E78">
        <w:rPr>
          <w:rFonts w:ascii="Times New Roman" w:hAnsi="Times New Roman"/>
          <w:bCs/>
          <w:iCs/>
          <w:sz w:val="28"/>
          <w:szCs w:val="28"/>
        </w:rPr>
        <w:t xml:space="preserve">, </w:t>
      </w:r>
      <w:r w:rsidRPr="00623E78">
        <w:rPr>
          <w:rFonts w:ascii="Times New Roman" w:hAnsi="Times New Roman"/>
          <w:bCs/>
          <w:iCs/>
          <w:sz w:val="28"/>
          <w:szCs w:val="28"/>
          <w:lang w:val="en-US"/>
        </w:rPr>
        <w:t>p</w:t>
      </w:r>
      <w:r w:rsidRPr="00870ADF">
        <w:rPr>
          <w:rFonts w:ascii="Times New Roman" w:hAnsi="Times New Roman"/>
          <w:bCs/>
          <w:iCs/>
          <w:sz w:val="28"/>
          <w:szCs w:val="28"/>
        </w:rPr>
        <w:t>=0,</w:t>
      </w:r>
      <w:r>
        <w:rPr>
          <w:rFonts w:ascii="Times New Roman" w:hAnsi="Times New Roman"/>
          <w:bCs/>
          <w:iCs/>
          <w:sz w:val="28"/>
          <w:szCs w:val="28"/>
        </w:rPr>
        <w:t>641)</w:t>
      </w:r>
      <w:r w:rsidRPr="00623E78">
        <w:rPr>
          <w:rFonts w:ascii="Times New Roman" w:hAnsi="Times New Roman"/>
          <w:bCs/>
          <w:iCs/>
          <w:sz w:val="28"/>
          <w:szCs w:val="28"/>
        </w:rPr>
        <w:t>.</w:t>
      </w:r>
    </w:p>
    <w:p w14:paraId="118B34F3" w14:textId="77777777" w:rsidR="00A9409C" w:rsidRDefault="00A9409C" w:rsidP="00A9409C">
      <w:pPr>
        <w:widowControl w:val="0"/>
        <w:spacing w:after="0" w:line="240" w:lineRule="auto"/>
        <w:ind w:firstLine="567"/>
        <w:jc w:val="both"/>
        <w:rPr>
          <w:rFonts w:ascii="Times New Roman" w:hAnsi="Times New Roman"/>
          <w:sz w:val="28"/>
          <w:szCs w:val="28"/>
        </w:rPr>
      </w:pPr>
    </w:p>
    <w:p w14:paraId="247B0294" w14:textId="77777777" w:rsidR="00A9409C" w:rsidRDefault="00A9409C" w:rsidP="00A9409C">
      <w:pPr>
        <w:widowControl w:val="0"/>
        <w:spacing w:after="0" w:line="240" w:lineRule="auto"/>
        <w:ind w:firstLine="567"/>
        <w:jc w:val="both"/>
        <w:rPr>
          <w:rFonts w:ascii="Times New Roman" w:hAnsi="Times New Roman"/>
          <w:sz w:val="28"/>
          <w:szCs w:val="28"/>
        </w:rPr>
      </w:pPr>
      <w:r w:rsidRPr="002E7B5D">
        <w:rPr>
          <w:rFonts w:ascii="Times New Roman" w:hAnsi="Times New Roman"/>
          <w:sz w:val="28"/>
          <w:szCs w:val="28"/>
        </w:rPr>
        <w:t xml:space="preserve">Анализ связи </w:t>
      </w:r>
      <w:r>
        <w:rPr>
          <w:rFonts w:ascii="Times New Roman" w:hAnsi="Times New Roman"/>
          <w:sz w:val="28"/>
          <w:szCs w:val="28"/>
        </w:rPr>
        <w:t>пола и степенью дифференцировки опухоли</w:t>
      </w:r>
      <w:r w:rsidRPr="002E7B5D">
        <w:rPr>
          <w:rFonts w:ascii="Times New Roman" w:hAnsi="Times New Roman"/>
          <w:sz w:val="28"/>
          <w:szCs w:val="28"/>
        </w:rPr>
        <w:t xml:space="preserve">. Для этого были </w:t>
      </w:r>
      <w:r>
        <w:rPr>
          <w:rFonts w:ascii="Times New Roman" w:hAnsi="Times New Roman"/>
          <w:sz w:val="28"/>
          <w:szCs w:val="28"/>
        </w:rPr>
        <w:t>исследованы</w:t>
      </w:r>
      <w:r w:rsidRPr="002E7B5D">
        <w:rPr>
          <w:rFonts w:ascii="Times New Roman" w:hAnsi="Times New Roman"/>
          <w:sz w:val="28"/>
          <w:szCs w:val="28"/>
        </w:rPr>
        <w:t xml:space="preserve"> две группы – в первую вошли </w:t>
      </w:r>
      <w:r>
        <w:rPr>
          <w:rFonts w:ascii="Times New Roman" w:hAnsi="Times New Roman"/>
          <w:sz w:val="28"/>
          <w:szCs w:val="28"/>
        </w:rPr>
        <w:t>77 мужчин</w:t>
      </w:r>
      <w:r w:rsidRPr="002E7B5D">
        <w:rPr>
          <w:rFonts w:ascii="Times New Roman" w:hAnsi="Times New Roman"/>
          <w:sz w:val="28"/>
          <w:szCs w:val="28"/>
        </w:rPr>
        <w:t xml:space="preserve">, во вторую группу – </w:t>
      </w:r>
      <w:r>
        <w:rPr>
          <w:rFonts w:ascii="Times New Roman" w:hAnsi="Times New Roman"/>
          <w:sz w:val="28"/>
          <w:szCs w:val="28"/>
        </w:rPr>
        <w:t xml:space="preserve">73 </w:t>
      </w:r>
      <w:r>
        <w:rPr>
          <w:rFonts w:ascii="Times New Roman" w:hAnsi="Times New Roman"/>
          <w:sz w:val="28"/>
          <w:szCs w:val="28"/>
        </w:rPr>
        <w:lastRenderedPageBreak/>
        <w:t>женщин</w:t>
      </w:r>
      <w:r w:rsidRPr="002E7B5D">
        <w:rPr>
          <w:rFonts w:ascii="Times New Roman" w:hAnsi="Times New Roman"/>
          <w:sz w:val="28"/>
          <w:szCs w:val="28"/>
        </w:rPr>
        <w:t xml:space="preserve">. </w:t>
      </w:r>
      <w:r>
        <w:rPr>
          <w:rFonts w:ascii="Times New Roman" w:hAnsi="Times New Roman"/>
          <w:sz w:val="28"/>
          <w:szCs w:val="28"/>
        </w:rPr>
        <w:t>Высокая степень дифференцировки опухоли была выявлена у 35 мужчин и 43 у женщин</w:t>
      </w:r>
      <w:r w:rsidRPr="002E7B5D">
        <w:rPr>
          <w:rFonts w:ascii="Times New Roman" w:hAnsi="Times New Roman"/>
          <w:sz w:val="28"/>
          <w:szCs w:val="28"/>
        </w:rPr>
        <w:t xml:space="preserve">. Соответственно </w:t>
      </w:r>
      <w:r>
        <w:rPr>
          <w:rFonts w:ascii="Times New Roman" w:hAnsi="Times New Roman"/>
          <w:sz w:val="28"/>
          <w:szCs w:val="28"/>
        </w:rPr>
        <w:t>низкая</w:t>
      </w:r>
      <w:r w:rsidRPr="002E7B5D">
        <w:rPr>
          <w:rFonts w:ascii="Times New Roman" w:hAnsi="Times New Roman"/>
          <w:sz w:val="28"/>
          <w:szCs w:val="28"/>
        </w:rPr>
        <w:t xml:space="preserve"> </w:t>
      </w:r>
      <w:r>
        <w:rPr>
          <w:rFonts w:ascii="Times New Roman" w:hAnsi="Times New Roman"/>
          <w:sz w:val="28"/>
          <w:szCs w:val="28"/>
        </w:rPr>
        <w:t xml:space="preserve">степень дифференцировки </w:t>
      </w:r>
      <w:r w:rsidRPr="002E7B5D">
        <w:rPr>
          <w:rFonts w:ascii="Times New Roman" w:hAnsi="Times New Roman"/>
          <w:sz w:val="28"/>
          <w:szCs w:val="28"/>
        </w:rPr>
        <w:t>был</w:t>
      </w:r>
      <w:r>
        <w:rPr>
          <w:rFonts w:ascii="Times New Roman" w:hAnsi="Times New Roman"/>
          <w:sz w:val="28"/>
          <w:szCs w:val="28"/>
        </w:rPr>
        <w:t xml:space="preserve">а у 42 мужчин и у 30 женщин </w:t>
      </w:r>
      <w:r w:rsidRPr="002E7B5D">
        <w:rPr>
          <w:rFonts w:ascii="Times New Roman" w:hAnsi="Times New Roman"/>
          <w:sz w:val="28"/>
          <w:szCs w:val="28"/>
        </w:rPr>
        <w:t xml:space="preserve">(таблица </w:t>
      </w:r>
      <w:r>
        <w:rPr>
          <w:rFonts w:ascii="Times New Roman" w:hAnsi="Times New Roman"/>
          <w:sz w:val="28"/>
          <w:szCs w:val="28"/>
        </w:rPr>
        <w:t>1</w:t>
      </w:r>
      <w:r w:rsidRPr="00870ADF">
        <w:rPr>
          <w:rFonts w:ascii="Times New Roman" w:hAnsi="Times New Roman"/>
          <w:sz w:val="28"/>
          <w:szCs w:val="28"/>
        </w:rPr>
        <w:t>6</w:t>
      </w:r>
      <w:r>
        <w:rPr>
          <w:rFonts w:ascii="Times New Roman" w:hAnsi="Times New Roman"/>
          <w:sz w:val="28"/>
          <w:szCs w:val="28"/>
        </w:rPr>
        <w:t>)</w:t>
      </w:r>
      <w:r w:rsidRPr="002E7B5D">
        <w:rPr>
          <w:rFonts w:ascii="Times New Roman" w:hAnsi="Times New Roman"/>
          <w:sz w:val="28"/>
          <w:szCs w:val="28"/>
        </w:rPr>
        <w:t>.</w:t>
      </w:r>
      <w:r>
        <w:rPr>
          <w:rFonts w:ascii="Times New Roman" w:hAnsi="Times New Roman"/>
          <w:sz w:val="28"/>
          <w:szCs w:val="28"/>
        </w:rPr>
        <w:t xml:space="preserve"> </w:t>
      </w:r>
      <w:r w:rsidRPr="00F1144D">
        <w:rPr>
          <w:rFonts w:ascii="Times New Roman" w:hAnsi="Times New Roman"/>
          <w:sz w:val="28"/>
          <w:szCs w:val="28"/>
        </w:rPr>
        <w:t xml:space="preserve">Оценка показала, что связь между факторным и результативным признаками статистически </w:t>
      </w:r>
      <w:r>
        <w:rPr>
          <w:rFonts w:ascii="Times New Roman" w:hAnsi="Times New Roman"/>
          <w:sz w:val="28"/>
          <w:szCs w:val="28"/>
        </w:rPr>
        <w:t xml:space="preserve">не </w:t>
      </w:r>
      <w:r w:rsidRPr="00F1144D">
        <w:rPr>
          <w:rFonts w:ascii="Times New Roman" w:hAnsi="Times New Roman"/>
          <w:sz w:val="28"/>
          <w:szCs w:val="28"/>
        </w:rPr>
        <w:t xml:space="preserve">значима. Критическое значение </w:t>
      </w:r>
      <w:r w:rsidRPr="00F1144D">
        <w:rPr>
          <w:rFonts w:ascii="Times New Roman" w:hAnsi="Times New Roman"/>
          <w:b/>
          <w:i/>
          <w:sz w:val="28"/>
          <w:szCs w:val="28"/>
        </w:rPr>
        <w:t>χ</w:t>
      </w:r>
      <w:r w:rsidRPr="00F1144D">
        <w:rPr>
          <w:rFonts w:ascii="Times New Roman" w:hAnsi="Times New Roman"/>
          <w:b/>
          <w:i/>
          <w:sz w:val="28"/>
          <w:szCs w:val="28"/>
          <w:vertAlign w:val="superscript"/>
        </w:rPr>
        <w:t>2</w:t>
      </w:r>
      <w:r w:rsidRPr="00F1144D">
        <w:rPr>
          <w:rFonts w:ascii="Times New Roman" w:hAnsi="Times New Roman"/>
          <w:sz w:val="28"/>
          <w:szCs w:val="28"/>
        </w:rPr>
        <w:t xml:space="preserve"> с поправкой </w:t>
      </w:r>
      <w:proofErr w:type="spellStart"/>
      <w:r w:rsidRPr="00F1144D">
        <w:rPr>
          <w:rFonts w:ascii="Times New Roman" w:hAnsi="Times New Roman"/>
          <w:sz w:val="28"/>
          <w:szCs w:val="28"/>
        </w:rPr>
        <w:t>Йейтса</w:t>
      </w:r>
      <w:proofErr w:type="spellEnd"/>
      <w:r w:rsidRPr="00F1144D">
        <w:rPr>
          <w:rFonts w:ascii="Times New Roman" w:hAnsi="Times New Roman"/>
          <w:sz w:val="28"/>
          <w:szCs w:val="28"/>
        </w:rPr>
        <w:t xml:space="preserve"> при уровне значимости </w:t>
      </w:r>
      <w:r w:rsidRPr="00F1144D">
        <w:rPr>
          <w:rFonts w:ascii="Times New Roman" w:hAnsi="Times New Roman"/>
          <w:sz w:val="28"/>
          <w:szCs w:val="28"/>
          <w:lang w:val="en-US"/>
        </w:rPr>
        <w:t>p</w:t>
      </w:r>
      <w:r w:rsidRPr="00F1144D">
        <w:rPr>
          <w:rFonts w:ascii="Times New Roman" w:hAnsi="Times New Roman"/>
          <w:sz w:val="28"/>
          <w:szCs w:val="28"/>
        </w:rPr>
        <w:t>=0,</w:t>
      </w:r>
      <w:r>
        <w:rPr>
          <w:rFonts w:ascii="Times New Roman" w:hAnsi="Times New Roman"/>
          <w:sz w:val="28"/>
          <w:szCs w:val="28"/>
        </w:rPr>
        <w:t>14</w:t>
      </w:r>
      <w:r w:rsidRPr="00F1144D">
        <w:rPr>
          <w:rFonts w:ascii="Times New Roman" w:hAnsi="Times New Roman"/>
          <w:sz w:val="28"/>
          <w:szCs w:val="28"/>
        </w:rPr>
        <w:t xml:space="preserve"> составляет </w:t>
      </w:r>
      <w:r>
        <w:rPr>
          <w:rFonts w:ascii="Times New Roman" w:hAnsi="Times New Roman"/>
          <w:sz w:val="28"/>
          <w:szCs w:val="28"/>
        </w:rPr>
        <w:t>2,20</w:t>
      </w:r>
      <w:r w:rsidRPr="00F1144D">
        <w:rPr>
          <w:rFonts w:ascii="Times New Roman" w:hAnsi="Times New Roman"/>
          <w:sz w:val="28"/>
          <w:szCs w:val="28"/>
        </w:rPr>
        <w:t>. Относительный риск (</w:t>
      </w:r>
      <w:r w:rsidRPr="00F1144D">
        <w:rPr>
          <w:rFonts w:ascii="Times New Roman" w:hAnsi="Times New Roman"/>
          <w:b/>
          <w:i/>
          <w:sz w:val="28"/>
          <w:szCs w:val="28"/>
          <w:lang w:val="en-US"/>
        </w:rPr>
        <w:t>RR</w:t>
      </w:r>
      <w:r w:rsidRPr="00F1144D">
        <w:rPr>
          <w:rFonts w:ascii="Times New Roman" w:hAnsi="Times New Roman"/>
          <w:sz w:val="28"/>
          <w:szCs w:val="28"/>
        </w:rPr>
        <w:t xml:space="preserve">) составил </w:t>
      </w:r>
      <w:r>
        <w:rPr>
          <w:rFonts w:ascii="Times New Roman" w:hAnsi="Times New Roman"/>
          <w:sz w:val="28"/>
          <w:szCs w:val="28"/>
        </w:rPr>
        <w:t>0,77</w:t>
      </w:r>
      <w:r w:rsidRPr="00F1144D">
        <w:rPr>
          <w:rFonts w:ascii="Times New Roman" w:hAnsi="Times New Roman"/>
          <w:sz w:val="28"/>
          <w:szCs w:val="28"/>
        </w:rPr>
        <w:t xml:space="preserve"> (95% ДИ=</w:t>
      </w:r>
      <w:r>
        <w:rPr>
          <w:rFonts w:ascii="Times New Roman" w:hAnsi="Times New Roman"/>
          <w:sz w:val="28"/>
          <w:szCs w:val="28"/>
        </w:rPr>
        <w:t>0,56-1,05</w:t>
      </w:r>
      <w:r w:rsidRPr="00F1144D">
        <w:rPr>
          <w:rFonts w:ascii="Times New Roman" w:hAnsi="Times New Roman"/>
          <w:sz w:val="28"/>
          <w:szCs w:val="28"/>
        </w:rPr>
        <w:t>). Показатель относительного риска свидетельствует о</w:t>
      </w:r>
      <w:r>
        <w:rPr>
          <w:rFonts w:ascii="Times New Roman" w:hAnsi="Times New Roman"/>
          <w:sz w:val="28"/>
          <w:szCs w:val="28"/>
        </w:rPr>
        <w:t xml:space="preserve">б отсутствии </w:t>
      </w:r>
      <w:r w:rsidRPr="00F1144D">
        <w:rPr>
          <w:rFonts w:ascii="Times New Roman" w:hAnsi="Times New Roman"/>
          <w:sz w:val="28"/>
          <w:szCs w:val="28"/>
        </w:rPr>
        <w:t xml:space="preserve">прямой связи между </w:t>
      </w:r>
      <w:r>
        <w:rPr>
          <w:rFonts w:ascii="Times New Roman" w:hAnsi="Times New Roman"/>
          <w:sz w:val="28"/>
          <w:szCs w:val="28"/>
        </w:rPr>
        <w:t>полом</w:t>
      </w:r>
      <w:r w:rsidRPr="00F1144D">
        <w:rPr>
          <w:rFonts w:ascii="Times New Roman" w:hAnsi="Times New Roman"/>
          <w:sz w:val="28"/>
          <w:szCs w:val="28"/>
        </w:rPr>
        <w:t xml:space="preserve"> и </w:t>
      </w:r>
      <w:r>
        <w:rPr>
          <w:rFonts w:ascii="Times New Roman" w:hAnsi="Times New Roman"/>
          <w:sz w:val="28"/>
          <w:szCs w:val="28"/>
        </w:rPr>
        <w:t>степенью дифференцировки</w:t>
      </w:r>
      <w:r w:rsidRPr="00F1144D">
        <w:rPr>
          <w:rFonts w:ascii="Times New Roman" w:hAnsi="Times New Roman"/>
          <w:sz w:val="28"/>
          <w:szCs w:val="28"/>
        </w:rPr>
        <w:t>.</w:t>
      </w:r>
    </w:p>
    <w:p w14:paraId="1E1EB95D" w14:textId="77777777" w:rsidR="00A9409C" w:rsidRDefault="00A9409C" w:rsidP="00A9409C">
      <w:pPr>
        <w:widowControl w:val="0"/>
        <w:spacing w:after="0" w:line="240" w:lineRule="auto"/>
        <w:ind w:firstLine="567"/>
        <w:jc w:val="both"/>
        <w:rPr>
          <w:rFonts w:ascii="Times New Roman" w:hAnsi="Times New Roman"/>
          <w:sz w:val="28"/>
          <w:szCs w:val="28"/>
        </w:rPr>
      </w:pPr>
    </w:p>
    <w:p w14:paraId="1BB9F735" w14:textId="77777777" w:rsidR="00A9409C" w:rsidRPr="00F1144D" w:rsidRDefault="00A9409C" w:rsidP="00A9409C">
      <w:pPr>
        <w:widowControl w:val="0"/>
        <w:spacing w:after="0" w:line="240" w:lineRule="auto"/>
        <w:ind w:firstLine="567"/>
        <w:jc w:val="both"/>
        <w:rPr>
          <w:rFonts w:ascii="Times New Roman" w:hAnsi="Times New Roman"/>
          <w:sz w:val="28"/>
          <w:szCs w:val="28"/>
        </w:rPr>
      </w:pPr>
    </w:p>
    <w:p w14:paraId="484D7E9A" w14:textId="77777777" w:rsidR="00A9409C" w:rsidRPr="00F1144D" w:rsidRDefault="00A9409C" w:rsidP="00A9409C">
      <w:pPr>
        <w:spacing w:after="0" w:line="240" w:lineRule="auto"/>
        <w:jc w:val="both"/>
        <w:rPr>
          <w:rFonts w:ascii="Times New Roman" w:hAnsi="Times New Roman"/>
          <w:sz w:val="28"/>
          <w:szCs w:val="28"/>
        </w:rPr>
      </w:pPr>
      <w:r w:rsidRPr="00F1144D">
        <w:rPr>
          <w:rFonts w:ascii="Times New Roman" w:hAnsi="Times New Roman"/>
          <w:sz w:val="28"/>
          <w:szCs w:val="28"/>
        </w:rPr>
        <w:t xml:space="preserve">Таблица </w:t>
      </w:r>
      <w:r>
        <w:rPr>
          <w:rFonts w:ascii="Times New Roman" w:hAnsi="Times New Roman"/>
          <w:sz w:val="28"/>
          <w:szCs w:val="28"/>
        </w:rPr>
        <w:t>1</w:t>
      </w:r>
      <w:r w:rsidRPr="00870ADF">
        <w:rPr>
          <w:rFonts w:ascii="Times New Roman" w:hAnsi="Times New Roman"/>
          <w:sz w:val="28"/>
          <w:szCs w:val="28"/>
        </w:rPr>
        <w:t>6</w:t>
      </w:r>
      <w:r w:rsidRPr="00F1144D">
        <w:rPr>
          <w:rFonts w:ascii="Times New Roman" w:hAnsi="Times New Roman"/>
          <w:sz w:val="28"/>
          <w:szCs w:val="28"/>
        </w:rPr>
        <w:t xml:space="preserve"> – Оценка связи между факторным (</w:t>
      </w:r>
      <w:r>
        <w:rPr>
          <w:rFonts w:ascii="Times New Roman" w:hAnsi="Times New Roman"/>
          <w:sz w:val="28"/>
          <w:szCs w:val="28"/>
        </w:rPr>
        <w:t>пол</w:t>
      </w:r>
      <w:r w:rsidRPr="00F1144D">
        <w:rPr>
          <w:rFonts w:ascii="Times New Roman" w:hAnsi="Times New Roman"/>
          <w:sz w:val="28"/>
          <w:szCs w:val="28"/>
        </w:rPr>
        <w:t>) и результативным (</w:t>
      </w:r>
      <w:r>
        <w:rPr>
          <w:rFonts w:ascii="Times New Roman" w:hAnsi="Times New Roman"/>
          <w:sz w:val="28"/>
          <w:szCs w:val="28"/>
        </w:rPr>
        <w:t>степень дифференцировки</w:t>
      </w:r>
      <w:r w:rsidRPr="00F1144D">
        <w:rPr>
          <w:rFonts w:ascii="Times New Roman" w:hAnsi="Times New Roman"/>
          <w:sz w:val="28"/>
          <w:szCs w:val="28"/>
        </w:rPr>
        <w:t>) признаками у исследуемых больных</w:t>
      </w:r>
    </w:p>
    <w:p w14:paraId="5FFEA552" w14:textId="77777777" w:rsidR="00A9409C" w:rsidRPr="00F1144D" w:rsidRDefault="00A9409C" w:rsidP="00A9409C">
      <w:pPr>
        <w:spacing w:after="0" w:line="240" w:lineRule="auto"/>
        <w:ind w:firstLine="567"/>
        <w:jc w:val="both"/>
        <w:rPr>
          <w:rFonts w:ascii="Times New Roman" w:hAnsi="Times New Roman"/>
          <w:sz w:val="28"/>
          <w:szCs w:val="28"/>
        </w:rPr>
      </w:pPr>
    </w:p>
    <w:tbl>
      <w:tblPr>
        <w:tblStyle w:val="af1"/>
        <w:tblW w:w="9354" w:type="dxa"/>
        <w:jc w:val="center"/>
        <w:tblLook w:val="04A0" w:firstRow="1" w:lastRow="0" w:firstColumn="1" w:lastColumn="0" w:noHBand="0" w:noVBand="1"/>
      </w:tblPr>
      <w:tblGrid>
        <w:gridCol w:w="2268"/>
        <w:gridCol w:w="1701"/>
        <w:gridCol w:w="1984"/>
        <w:gridCol w:w="1984"/>
        <w:gridCol w:w="1417"/>
      </w:tblGrid>
      <w:tr w:rsidR="00A9409C" w:rsidRPr="00F1144D" w14:paraId="468E0910" w14:textId="77777777" w:rsidTr="00094F6F">
        <w:trPr>
          <w:trHeight w:val="340"/>
          <w:jc w:val="center"/>
        </w:trPr>
        <w:tc>
          <w:tcPr>
            <w:tcW w:w="3969" w:type="dxa"/>
            <w:gridSpan w:val="2"/>
            <w:vMerge w:val="restart"/>
            <w:vAlign w:val="center"/>
          </w:tcPr>
          <w:p w14:paraId="471930A7"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Факторный признак</w:t>
            </w:r>
          </w:p>
          <w:p w14:paraId="2C6C45CB" w14:textId="77777777" w:rsidR="00A9409C" w:rsidRPr="000D17BF"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пол</w:t>
            </w:r>
            <w:proofErr w:type="gramEnd"/>
          </w:p>
        </w:tc>
        <w:tc>
          <w:tcPr>
            <w:tcW w:w="3968" w:type="dxa"/>
            <w:gridSpan w:val="2"/>
            <w:vAlign w:val="center"/>
          </w:tcPr>
          <w:p w14:paraId="50BE4F64"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Результативный признак</w:t>
            </w:r>
          </w:p>
          <w:p w14:paraId="2FF89695" w14:textId="77777777" w:rsidR="00A9409C" w:rsidRPr="00F1144D" w:rsidRDefault="00A9409C" w:rsidP="00094F6F">
            <w:pPr>
              <w:spacing w:after="0" w:line="240" w:lineRule="auto"/>
              <w:jc w:val="center"/>
              <w:rPr>
                <w:rFonts w:ascii="Times New Roman" w:hAnsi="Times New Roman"/>
                <w:i/>
                <w:sz w:val="24"/>
                <w:szCs w:val="24"/>
              </w:rPr>
            </w:pPr>
            <w:r>
              <w:rPr>
                <w:rFonts w:ascii="Times New Roman" w:hAnsi="Times New Roman"/>
                <w:i/>
                <w:sz w:val="24"/>
                <w:szCs w:val="24"/>
              </w:rPr>
              <w:t>Степень дифференцировки</w:t>
            </w:r>
          </w:p>
        </w:tc>
        <w:tc>
          <w:tcPr>
            <w:tcW w:w="1417" w:type="dxa"/>
            <w:vMerge w:val="restart"/>
            <w:vAlign w:val="center"/>
          </w:tcPr>
          <w:p w14:paraId="6EB59124"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Итого</w:t>
            </w:r>
          </w:p>
        </w:tc>
      </w:tr>
      <w:tr w:rsidR="00A9409C" w:rsidRPr="00F1144D" w14:paraId="701D9C2B" w14:textId="77777777" w:rsidTr="00094F6F">
        <w:trPr>
          <w:trHeight w:val="340"/>
          <w:jc w:val="center"/>
        </w:trPr>
        <w:tc>
          <w:tcPr>
            <w:tcW w:w="3969" w:type="dxa"/>
            <w:gridSpan w:val="2"/>
            <w:vMerge/>
            <w:vAlign w:val="center"/>
          </w:tcPr>
          <w:p w14:paraId="51FE95BC" w14:textId="77777777" w:rsidR="00A9409C" w:rsidRPr="00F1144D" w:rsidRDefault="00A9409C" w:rsidP="00094F6F">
            <w:pPr>
              <w:spacing w:after="0" w:line="240" w:lineRule="auto"/>
              <w:jc w:val="center"/>
              <w:rPr>
                <w:rFonts w:ascii="Times New Roman" w:hAnsi="Times New Roman"/>
                <w:sz w:val="24"/>
                <w:szCs w:val="24"/>
              </w:rPr>
            </w:pPr>
          </w:p>
        </w:tc>
        <w:tc>
          <w:tcPr>
            <w:tcW w:w="1984" w:type="dxa"/>
            <w:tcBorders>
              <w:bottom w:val="single" w:sz="12" w:space="0" w:color="auto"/>
            </w:tcBorders>
            <w:vAlign w:val="center"/>
          </w:tcPr>
          <w:p w14:paraId="2EC32EDB"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высокая</w:t>
            </w:r>
            <w:proofErr w:type="gramEnd"/>
          </w:p>
        </w:tc>
        <w:tc>
          <w:tcPr>
            <w:tcW w:w="1984" w:type="dxa"/>
            <w:vAlign w:val="center"/>
          </w:tcPr>
          <w:p w14:paraId="10E94E12"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низкая</w:t>
            </w:r>
            <w:proofErr w:type="gramEnd"/>
          </w:p>
        </w:tc>
        <w:tc>
          <w:tcPr>
            <w:tcW w:w="1417" w:type="dxa"/>
            <w:vMerge/>
            <w:vAlign w:val="center"/>
          </w:tcPr>
          <w:p w14:paraId="6164B917" w14:textId="77777777" w:rsidR="00A9409C" w:rsidRPr="00F1144D" w:rsidRDefault="00A9409C" w:rsidP="00094F6F">
            <w:pPr>
              <w:spacing w:after="0" w:line="240" w:lineRule="auto"/>
              <w:jc w:val="center"/>
              <w:rPr>
                <w:rFonts w:ascii="Times New Roman" w:hAnsi="Times New Roman"/>
                <w:sz w:val="24"/>
                <w:szCs w:val="24"/>
              </w:rPr>
            </w:pPr>
          </w:p>
        </w:tc>
      </w:tr>
      <w:tr w:rsidR="00A9409C" w:rsidRPr="00F1144D" w14:paraId="31172C79" w14:textId="77777777" w:rsidTr="00094F6F">
        <w:trPr>
          <w:trHeight w:val="340"/>
          <w:jc w:val="center"/>
        </w:trPr>
        <w:tc>
          <w:tcPr>
            <w:tcW w:w="2268" w:type="dxa"/>
            <w:vMerge w:val="restart"/>
            <w:tcBorders>
              <w:right w:val="single" w:sz="12" w:space="0" w:color="auto"/>
            </w:tcBorders>
            <w:vAlign w:val="center"/>
          </w:tcPr>
          <w:p w14:paraId="3AFCFE47"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мужчины</w:t>
            </w:r>
            <w:proofErr w:type="gramEnd"/>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16B3CFEC"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B3C5A51"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35</w:t>
            </w:r>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25619724"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42</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2BEFFF05"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77</w:t>
            </w:r>
          </w:p>
        </w:tc>
      </w:tr>
      <w:tr w:rsidR="00A9409C" w:rsidRPr="00F1144D" w14:paraId="6226534A" w14:textId="77777777" w:rsidTr="00094F6F">
        <w:trPr>
          <w:trHeight w:val="340"/>
          <w:jc w:val="center"/>
        </w:trPr>
        <w:tc>
          <w:tcPr>
            <w:tcW w:w="2268" w:type="dxa"/>
            <w:vMerge/>
            <w:vAlign w:val="center"/>
          </w:tcPr>
          <w:p w14:paraId="6111E6A3" w14:textId="77777777" w:rsidR="00A9409C" w:rsidRPr="00F1144D" w:rsidRDefault="00A9409C" w:rsidP="00094F6F">
            <w:pPr>
              <w:spacing w:after="0" w:line="240" w:lineRule="auto"/>
              <w:jc w:val="center"/>
              <w:rPr>
                <w:rFonts w:ascii="Times New Roman" w:hAnsi="Times New Roman"/>
                <w:i/>
                <w:sz w:val="24"/>
                <w:szCs w:val="24"/>
              </w:rPr>
            </w:pPr>
          </w:p>
        </w:tc>
        <w:tc>
          <w:tcPr>
            <w:tcW w:w="1701" w:type="dxa"/>
            <w:tcBorders>
              <w:top w:val="single" w:sz="12" w:space="0" w:color="auto"/>
            </w:tcBorders>
            <w:vAlign w:val="center"/>
          </w:tcPr>
          <w:p w14:paraId="06C9DC67"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984" w:type="dxa"/>
            <w:tcBorders>
              <w:top w:val="single" w:sz="12" w:space="0" w:color="auto"/>
            </w:tcBorders>
            <w:vAlign w:val="center"/>
          </w:tcPr>
          <w:p w14:paraId="0918FF16"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43,45</w:t>
            </w:r>
            <w:r w:rsidRPr="00F1144D">
              <w:rPr>
                <w:rFonts w:ascii="Times New Roman" w:hAnsi="Times New Roman"/>
              </w:rPr>
              <w:t>%</w:t>
            </w:r>
          </w:p>
        </w:tc>
        <w:tc>
          <w:tcPr>
            <w:tcW w:w="1984" w:type="dxa"/>
            <w:vAlign w:val="center"/>
          </w:tcPr>
          <w:p w14:paraId="1EFEB427"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54,55</w:t>
            </w:r>
            <w:r w:rsidRPr="00F1144D">
              <w:rPr>
                <w:rFonts w:ascii="Times New Roman" w:hAnsi="Times New Roman"/>
              </w:rPr>
              <w:t>%</w:t>
            </w:r>
          </w:p>
        </w:tc>
        <w:tc>
          <w:tcPr>
            <w:tcW w:w="1417" w:type="dxa"/>
            <w:vAlign w:val="center"/>
          </w:tcPr>
          <w:p w14:paraId="2C5208BF"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r>
      <w:tr w:rsidR="00A9409C" w:rsidRPr="00F1144D" w14:paraId="41EC5A62" w14:textId="77777777" w:rsidTr="00094F6F">
        <w:trPr>
          <w:trHeight w:val="340"/>
          <w:jc w:val="center"/>
        </w:trPr>
        <w:tc>
          <w:tcPr>
            <w:tcW w:w="2268" w:type="dxa"/>
            <w:vMerge/>
            <w:vAlign w:val="center"/>
          </w:tcPr>
          <w:p w14:paraId="735617CB" w14:textId="77777777" w:rsidR="00A9409C" w:rsidRPr="00F1144D" w:rsidRDefault="00A9409C" w:rsidP="00094F6F">
            <w:pPr>
              <w:spacing w:after="0" w:line="240" w:lineRule="auto"/>
              <w:jc w:val="center"/>
              <w:rPr>
                <w:rFonts w:ascii="Times New Roman" w:hAnsi="Times New Roman"/>
                <w:i/>
                <w:sz w:val="24"/>
                <w:szCs w:val="24"/>
              </w:rPr>
            </w:pPr>
          </w:p>
        </w:tc>
        <w:tc>
          <w:tcPr>
            <w:tcW w:w="1701" w:type="dxa"/>
            <w:tcBorders>
              <w:bottom w:val="single" w:sz="12" w:space="0" w:color="auto"/>
            </w:tcBorders>
            <w:vAlign w:val="center"/>
          </w:tcPr>
          <w:p w14:paraId="48DBC5C0"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984" w:type="dxa"/>
            <w:tcBorders>
              <w:bottom w:val="single" w:sz="12" w:space="0" w:color="auto"/>
            </w:tcBorders>
            <w:vAlign w:val="center"/>
          </w:tcPr>
          <w:p w14:paraId="323E2C18"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44,87</w:t>
            </w:r>
            <w:r w:rsidRPr="00F1144D">
              <w:rPr>
                <w:rFonts w:ascii="Times New Roman" w:hAnsi="Times New Roman"/>
              </w:rPr>
              <w:t>%</w:t>
            </w:r>
          </w:p>
        </w:tc>
        <w:tc>
          <w:tcPr>
            <w:tcW w:w="1984" w:type="dxa"/>
            <w:tcBorders>
              <w:bottom w:val="single" w:sz="12" w:space="0" w:color="auto"/>
            </w:tcBorders>
            <w:vAlign w:val="center"/>
          </w:tcPr>
          <w:p w14:paraId="162E6A4A"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58,33</w:t>
            </w:r>
            <w:r w:rsidRPr="00F1144D">
              <w:rPr>
                <w:rFonts w:ascii="Times New Roman" w:hAnsi="Times New Roman"/>
              </w:rPr>
              <w:t>%</w:t>
            </w:r>
          </w:p>
        </w:tc>
        <w:tc>
          <w:tcPr>
            <w:tcW w:w="1417" w:type="dxa"/>
            <w:tcBorders>
              <w:bottom w:val="single" w:sz="12" w:space="0" w:color="auto"/>
            </w:tcBorders>
            <w:vAlign w:val="center"/>
          </w:tcPr>
          <w:p w14:paraId="0DB05CFF"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51,33%</w:t>
            </w:r>
          </w:p>
        </w:tc>
      </w:tr>
      <w:tr w:rsidR="00A9409C" w:rsidRPr="00F1144D" w14:paraId="50D533C6" w14:textId="77777777" w:rsidTr="00094F6F">
        <w:trPr>
          <w:trHeight w:val="340"/>
          <w:jc w:val="center"/>
        </w:trPr>
        <w:tc>
          <w:tcPr>
            <w:tcW w:w="2268" w:type="dxa"/>
            <w:vMerge w:val="restart"/>
            <w:tcBorders>
              <w:right w:val="single" w:sz="12" w:space="0" w:color="auto"/>
            </w:tcBorders>
            <w:vAlign w:val="center"/>
          </w:tcPr>
          <w:p w14:paraId="235440D6"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женщины</w:t>
            </w:r>
            <w:proofErr w:type="gramEnd"/>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72482669"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54F66DB9"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43</w:t>
            </w:r>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CDC3B7C"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30</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77E2BF63"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73</w:t>
            </w:r>
          </w:p>
        </w:tc>
      </w:tr>
      <w:tr w:rsidR="00A9409C" w:rsidRPr="00F1144D" w14:paraId="70FFC53A" w14:textId="77777777" w:rsidTr="00094F6F">
        <w:trPr>
          <w:trHeight w:val="340"/>
          <w:jc w:val="center"/>
        </w:trPr>
        <w:tc>
          <w:tcPr>
            <w:tcW w:w="2268" w:type="dxa"/>
            <w:vMerge/>
            <w:vAlign w:val="center"/>
          </w:tcPr>
          <w:p w14:paraId="1E3001AF" w14:textId="77777777" w:rsidR="00A9409C" w:rsidRPr="00F1144D" w:rsidRDefault="00A9409C" w:rsidP="00094F6F">
            <w:pPr>
              <w:spacing w:after="0" w:line="240" w:lineRule="auto"/>
              <w:jc w:val="center"/>
              <w:rPr>
                <w:rFonts w:ascii="Times New Roman" w:hAnsi="Times New Roman"/>
                <w:sz w:val="24"/>
                <w:szCs w:val="24"/>
              </w:rPr>
            </w:pPr>
          </w:p>
        </w:tc>
        <w:tc>
          <w:tcPr>
            <w:tcW w:w="1701" w:type="dxa"/>
            <w:tcBorders>
              <w:top w:val="single" w:sz="12" w:space="0" w:color="auto"/>
            </w:tcBorders>
            <w:vAlign w:val="center"/>
          </w:tcPr>
          <w:p w14:paraId="32BD4661"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984" w:type="dxa"/>
            <w:tcBorders>
              <w:top w:val="single" w:sz="12" w:space="0" w:color="auto"/>
            </w:tcBorders>
            <w:vAlign w:val="center"/>
          </w:tcPr>
          <w:p w14:paraId="2241CCBC"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58,90</w:t>
            </w:r>
            <w:r w:rsidRPr="00F1144D">
              <w:rPr>
                <w:rFonts w:ascii="Times New Roman" w:hAnsi="Times New Roman"/>
              </w:rPr>
              <w:t>%</w:t>
            </w:r>
          </w:p>
        </w:tc>
        <w:tc>
          <w:tcPr>
            <w:tcW w:w="1984" w:type="dxa"/>
            <w:tcBorders>
              <w:top w:val="single" w:sz="12" w:space="0" w:color="auto"/>
            </w:tcBorders>
            <w:vAlign w:val="center"/>
          </w:tcPr>
          <w:p w14:paraId="51580570"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41,10</w:t>
            </w:r>
            <w:r w:rsidRPr="00F1144D">
              <w:rPr>
                <w:rFonts w:ascii="Times New Roman" w:hAnsi="Times New Roman"/>
              </w:rPr>
              <w:t>%</w:t>
            </w:r>
          </w:p>
        </w:tc>
        <w:tc>
          <w:tcPr>
            <w:tcW w:w="1417" w:type="dxa"/>
            <w:tcBorders>
              <w:top w:val="single" w:sz="12" w:space="0" w:color="auto"/>
            </w:tcBorders>
            <w:vAlign w:val="center"/>
          </w:tcPr>
          <w:p w14:paraId="38D57BEB"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r>
      <w:tr w:rsidR="00A9409C" w:rsidRPr="00F1144D" w14:paraId="2215CF3D" w14:textId="77777777" w:rsidTr="00094F6F">
        <w:trPr>
          <w:trHeight w:val="340"/>
          <w:jc w:val="center"/>
        </w:trPr>
        <w:tc>
          <w:tcPr>
            <w:tcW w:w="2268" w:type="dxa"/>
            <w:vMerge/>
            <w:vAlign w:val="center"/>
          </w:tcPr>
          <w:p w14:paraId="1F3E40A0" w14:textId="77777777" w:rsidR="00A9409C" w:rsidRPr="00F1144D" w:rsidRDefault="00A9409C" w:rsidP="00094F6F">
            <w:pPr>
              <w:spacing w:after="0" w:line="240" w:lineRule="auto"/>
              <w:jc w:val="center"/>
              <w:rPr>
                <w:rFonts w:ascii="Times New Roman" w:hAnsi="Times New Roman"/>
                <w:sz w:val="24"/>
                <w:szCs w:val="24"/>
              </w:rPr>
            </w:pPr>
          </w:p>
        </w:tc>
        <w:tc>
          <w:tcPr>
            <w:tcW w:w="1701" w:type="dxa"/>
            <w:tcBorders>
              <w:bottom w:val="single" w:sz="12" w:space="0" w:color="auto"/>
            </w:tcBorders>
            <w:vAlign w:val="center"/>
          </w:tcPr>
          <w:p w14:paraId="32420C06"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984" w:type="dxa"/>
            <w:tcBorders>
              <w:bottom w:val="single" w:sz="12" w:space="0" w:color="auto"/>
            </w:tcBorders>
            <w:vAlign w:val="center"/>
          </w:tcPr>
          <w:p w14:paraId="2AD40A1D"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55,13</w:t>
            </w:r>
            <w:r w:rsidRPr="00F1144D">
              <w:rPr>
                <w:rFonts w:ascii="Times New Roman" w:hAnsi="Times New Roman"/>
              </w:rPr>
              <w:t>%</w:t>
            </w:r>
          </w:p>
        </w:tc>
        <w:tc>
          <w:tcPr>
            <w:tcW w:w="1984" w:type="dxa"/>
            <w:tcBorders>
              <w:bottom w:val="single" w:sz="12" w:space="0" w:color="auto"/>
            </w:tcBorders>
            <w:vAlign w:val="center"/>
          </w:tcPr>
          <w:p w14:paraId="2394BC66"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41,67</w:t>
            </w:r>
            <w:r w:rsidRPr="00F1144D">
              <w:rPr>
                <w:rFonts w:ascii="Times New Roman" w:hAnsi="Times New Roman"/>
              </w:rPr>
              <w:t>%</w:t>
            </w:r>
          </w:p>
        </w:tc>
        <w:tc>
          <w:tcPr>
            <w:tcW w:w="1417" w:type="dxa"/>
            <w:tcBorders>
              <w:bottom w:val="single" w:sz="12" w:space="0" w:color="auto"/>
            </w:tcBorders>
            <w:vAlign w:val="center"/>
          </w:tcPr>
          <w:p w14:paraId="1C0C61EF"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48,67%</w:t>
            </w:r>
          </w:p>
        </w:tc>
      </w:tr>
      <w:tr w:rsidR="00A9409C" w:rsidRPr="00F1144D" w14:paraId="64CDE1B5" w14:textId="77777777" w:rsidTr="00094F6F">
        <w:trPr>
          <w:trHeight w:val="340"/>
          <w:jc w:val="center"/>
        </w:trPr>
        <w:tc>
          <w:tcPr>
            <w:tcW w:w="2268" w:type="dxa"/>
            <w:vMerge w:val="restart"/>
            <w:tcBorders>
              <w:right w:val="single" w:sz="12" w:space="0" w:color="auto"/>
            </w:tcBorders>
            <w:vAlign w:val="center"/>
          </w:tcPr>
          <w:p w14:paraId="39BC2097" w14:textId="77777777" w:rsidR="00A9409C" w:rsidRPr="00F1144D" w:rsidRDefault="00A9409C" w:rsidP="00094F6F">
            <w:pPr>
              <w:spacing w:after="0" w:line="240" w:lineRule="auto"/>
              <w:jc w:val="center"/>
              <w:rPr>
                <w:rFonts w:ascii="Times New Roman" w:hAnsi="Times New Roman"/>
                <w:b/>
                <w:sz w:val="24"/>
                <w:szCs w:val="24"/>
                <w:lang w:val="en-US"/>
              </w:rPr>
            </w:pPr>
            <w:r w:rsidRPr="00F1144D">
              <w:rPr>
                <w:rFonts w:ascii="Times New Roman" w:hAnsi="Times New Roman"/>
                <w:b/>
                <w:sz w:val="24"/>
                <w:szCs w:val="24"/>
              </w:rPr>
              <w:t>Всего</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13B1B00"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53876FD1"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78</w:t>
            </w:r>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DD99433"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72</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6F171D59"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150</w:t>
            </w:r>
          </w:p>
        </w:tc>
      </w:tr>
      <w:tr w:rsidR="00A9409C" w:rsidRPr="00F1144D" w14:paraId="775A5AFE" w14:textId="77777777" w:rsidTr="00094F6F">
        <w:trPr>
          <w:trHeight w:val="340"/>
          <w:jc w:val="center"/>
        </w:trPr>
        <w:tc>
          <w:tcPr>
            <w:tcW w:w="2268" w:type="dxa"/>
            <w:vMerge/>
            <w:vAlign w:val="center"/>
          </w:tcPr>
          <w:p w14:paraId="4958B8B1" w14:textId="77777777" w:rsidR="00A9409C" w:rsidRPr="00F1144D" w:rsidRDefault="00A9409C" w:rsidP="00094F6F">
            <w:pPr>
              <w:spacing w:after="0" w:line="240" w:lineRule="auto"/>
              <w:jc w:val="center"/>
              <w:rPr>
                <w:rFonts w:ascii="Times New Roman" w:hAnsi="Times New Roman"/>
                <w:sz w:val="24"/>
                <w:szCs w:val="24"/>
              </w:rPr>
            </w:pPr>
          </w:p>
        </w:tc>
        <w:tc>
          <w:tcPr>
            <w:tcW w:w="1701" w:type="dxa"/>
            <w:tcBorders>
              <w:top w:val="single" w:sz="12" w:space="0" w:color="auto"/>
            </w:tcBorders>
            <w:vAlign w:val="center"/>
          </w:tcPr>
          <w:p w14:paraId="6BB23344"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984" w:type="dxa"/>
            <w:tcBorders>
              <w:top w:val="single" w:sz="12" w:space="0" w:color="auto"/>
            </w:tcBorders>
            <w:vAlign w:val="center"/>
          </w:tcPr>
          <w:p w14:paraId="2E65B728"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52,00</w:t>
            </w:r>
            <w:r w:rsidRPr="00F1144D">
              <w:rPr>
                <w:rFonts w:ascii="Times New Roman" w:hAnsi="Times New Roman"/>
              </w:rPr>
              <w:t>%</w:t>
            </w:r>
          </w:p>
        </w:tc>
        <w:tc>
          <w:tcPr>
            <w:tcW w:w="1984" w:type="dxa"/>
            <w:tcBorders>
              <w:top w:val="single" w:sz="12" w:space="0" w:color="auto"/>
            </w:tcBorders>
            <w:vAlign w:val="center"/>
          </w:tcPr>
          <w:p w14:paraId="0F305253"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48,00</w:t>
            </w:r>
          </w:p>
        </w:tc>
        <w:tc>
          <w:tcPr>
            <w:tcW w:w="1417" w:type="dxa"/>
            <w:tcBorders>
              <w:top w:val="single" w:sz="12" w:space="0" w:color="auto"/>
            </w:tcBorders>
            <w:vAlign w:val="center"/>
          </w:tcPr>
          <w:p w14:paraId="4BD2F6FE"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r>
      <w:tr w:rsidR="00A9409C" w:rsidRPr="00F1144D" w14:paraId="76FB78BC" w14:textId="77777777" w:rsidTr="00094F6F">
        <w:trPr>
          <w:trHeight w:val="340"/>
          <w:jc w:val="center"/>
        </w:trPr>
        <w:tc>
          <w:tcPr>
            <w:tcW w:w="2268" w:type="dxa"/>
            <w:vMerge/>
            <w:vAlign w:val="center"/>
          </w:tcPr>
          <w:p w14:paraId="6061B19E" w14:textId="77777777" w:rsidR="00A9409C" w:rsidRPr="00F1144D" w:rsidRDefault="00A9409C" w:rsidP="00094F6F">
            <w:pPr>
              <w:spacing w:after="0" w:line="240" w:lineRule="auto"/>
              <w:jc w:val="center"/>
              <w:rPr>
                <w:rFonts w:ascii="Times New Roman" w:hAnsi="Times New Roman"/>
                <w:sz w:val="24"/>
                <w:szCs w:val="24"/>
              </w:rPr>
            </w:pPr>
          </w:p>
        </w:tc>
        <w:tc>
          <w:tcPr>
            <w:tcW w:w="1701" w:type="dxa"/>
            <w:vAlign w:val="center"/>
          </w:tcPr>
          <w:p w14:paraId="1EE7D13E"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984" w:type="dxa"/>
            <w:vAlign w:val="center"/>
          </w:tcPr>
          <w:p w14:paraId="3E52FF01"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c>
          <w:tcPr>
            <w:tcW w:w="1984" w:type="dxa"/>
            <w:vAlign w:val="center"/>
          </w:tcPr>
          <w:p w14:paraId="110DAE25"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c>
          <w:tcPr>
            <w:tcW w:w="1417" w:type="dxa"/>
            <w:vAlign w:val="center"/>
          </w:tcPr>
          <w:p w14:paraId="54DE80AE"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r>
    </w:tbl>
    <w:p w14:paraId="2853C939" w14:textId="77777777" w:rsidR="00A9409C" w:rsidRDefault="00A9409C" w:rsidP="00A9409C">
      <w:pPr>
        <w:spacing w:after="0" w:line="240" w:lineRule="auto"/>
        <w:ind w:firstLine="567"/>
        <w:jc w:val="both"/>
        <w:rPr>
          <w:rFonts w:ascii="Times New Roman" w:hAnsi="Times New Roman"/>
          <w:sz w:val="28"/>
          <w:szCs w:val="28"/>
        </w:rPr>
      </w:pPr>
    </w:p>
    <w:p w14:paraId="315B4C2D" w14:textId="77777777" w:rsidR="00A9409C" w:rsidRPr="00F1144D" w:rsidRDefault="00A9409C" w:rsidP="00A9409C">
      <w:pPr>
        <w:spacing w:after="0" w:line="240" w:lineRule="auto"/>
        <w:ind w:firstLine="567"/>
        <w:jc w:val="both"/>
        <w:rPr>
          <w:rFonts w:ascii="Times New Roman" w:hAnsi="Times New Roman"/>
          <w:sz w:val="28"/>
          <w:szCs w:val="28"/>
        </w:rPr>
      </w:pPr>
    </w:p>
    <w:p w14:paraId="1686243B" w14:textId="77777777" w:rsidR="00A9409C" w:rsidRPr="002E7B5D" w:rsidRDefault="00A9409C" w:rsidP="00A9409C">
      <w:pPr>
        <w:widowControl w:val="0"/>
        <w:spacing w:after="0" w:line="240" w:lineRule="auto"/>
        <w:ind w:firstLine="567"/>
        <w:jc w:val="both"/>
        <w:rPr>
          <w:rFonts w:ascii="Times New Roman" w:hAnsi="Times New Roman"/>
          <w:sz w:val="28"/>
          <w:szCs w:val="28"/>
        </w:rPr>
      </w:pPr>
      <w:r>
        <w:rPr>
          <w:rFonts w:ascii="Times New Roman" w:hAnsi="Times New Roman"/>
          <w:sz w:val="28"/>
          <w:szCs w:val="28"/>
        </w:rPr>
        <w:t xml:space="preserve">Анализ связи пола и стадии заболевания на </w:t>
      </w:r>
      <w:r>
        <w:rPr>
          <w:rFonts w:ascii="Times New Roman" w:hAnsi="Times New Roman"/>
          <w:sz w:val="28"/>
          <w:szCs w:val="28"/>
          <w:lang w:val="en-US"/>
        </w:rPr>
        <w:t>I</w:t>
      </w:r>
      <w:r w:rsidRPr="00870ADF">
        <w:rPr>
          <w:rFonts w:ascii="Times New Roman" w:hAnsi="Times New Roman"/>
          <w:sz w:val="28"/>
          <w:szCs w:val="28"/>
        </w:rPr>
        <w:t xml:space="preserve"> </w:t>
      </w:r>
      <w:r>
        <w:rPr>
          <w:rFonts w:ascii="Times New Roman" w:hAnsi="Times New Roman"/>
          <w:sz w:val="28"/>
          <w:szCs w:val="28"/>
        </w:rPr>
        <w:t>этапе представлен в таблице 1</w:t>
      </w:r>
      <w:r w:rsidRPr="00870ADF">
        <w:rPr>
          <w:rFonts w:ascii="Times New Roman" w:hAnsi="Times New Roman"/>
          <w:sz w:val="28"/>
          <w:szCs w:val="28"/>
        </w:rPr>
        <w:t>7</w:t>
      </w:r>
      <w:r>
        <w:rPr>
          <w:rFonts w:ascii="Times New Roman" w:hAnsi="Times New Roman"/>
          <w:sz w:val="28"/>
          <w:szCs w:val="28"/>
        </w:rPr>
        <w:t>.</w:t>
      </w:r>
      <w:r w:rsidRPr="00A254AB">
        <w:rPr>
          <w:rFonts w:ascii="Times New Roman" w:hAnsi="Times New Roman"/>
          <w:sz w:val="28"/>
          <w:szCs w:val="28"/>
        </w:rPr>
        <w:t xml:space="preserve"> </w:t>
      </w:r>
      <w:r w:rsidRPr="002E7B5D">
        <w:rPr>
          <w:rFonts w:ascii="Times New Roman" w:hAnsi="Times New Roman"/>
          <w:sz w:val="28"/>
          <w:szCs w:val="28"/>
        </w:rPr>
        <w:t>В полученной таблице сопряженности каждая строчка соответствует определенной группе</w:t>
      </w:r>
      <w:r>
        <w:rPr>
          <w:rFonts w:ascii="Times New Roman" w:hAnsi="Times New Roman"/>
          <w:sz w:val="28"/>
          <w:szCs w:val="28"/>
        </w:rPr>
        <w:t xml:space="preserve"> (полу)</w:t>
      </w:r>
      <w:r w:rsidRPr="002E7B5D">
        <w:rPr>
          <w:rFonts w:ascii="Times New Roman" w:hAnsi="Times New Roman"/>
          <w:sz w:val="28"/>
          <w:szCs w:val="28"/>
        </w:rPr>
        <w:t xml:space="preserve"> исследуемых. Столбцы – показывают число </w:t>
      </w:r>
      <w:r>
        <w:rPr>
          <w:rFonts w:ascii="Times New Roman" w:hAnsi="Times New Roman"/>
          <w:sz w:val="28"/>
          <w:szCs w:val="28"/>
        </w:rPr>
        <w:t xml:space="preserve">пациентов с </w:t>
      </w:r>
      <w:r>
        <w:rPr>
          <w:rFonts w:ascii="Times New Roman" w:hAnsi="Times New Roman"/>
          <w:sz w:val="28"/>
          <w:szCs w:val="28"/>
          <w:lang w:val="en-US"/>
        </w:rPr>
        <w:t>I</w:t>
      </w:r>
      <w:r>
        <w:rPr>
          <w:rFonts w:ascii="Times New Roman" w:hAnsi="Times New Roman"/>
          <w:sz w:val="28"/>
          <w:szCs w:val="28"/>
        </w:rPr>
        <w:t xml:space="preserve">, </w:t>
      </w:r>
      <w:r>
        <w:rPr>
          <w:rFonts w:ascii="Times New Roman" w:hAnsi="Times New Roman"/>
          <w:sz w:val="28"/>
          <w:szCs w:val="28"/>
          <w:lang w:val="en-US"/>
        </w:rPr>
        <w:t>II</w:t>
      </w:r>
      <w:r w:rsidRPr="00870ADF">
        <w:rPr>
          <w:rFonts w:ascii="Times New Roman" w:hAnsi="Times New Roman"/>
          <w:sz w:val="28"/>
          <w:szCs w:val="28"/>
        </w:rPr>
        <w:t xml:space="preserve"> </w:t>
      </w:r>
      <w:r>
        <w:rPr>
          <w:rFonts w:ascii="Times New Roman" w:hAnsi="Times New Roman"/>
          <w:sz w:val="28"/>
          <w:szCs w:val="28"/>
        </w:rPr>
        <w:t xml:space="preserve">и </w:t>
      </w:r>
      <w:r>
        <w:rPr>
          <w:rFonts w:ascii="Times New Roman" w:hAnsi="Times New Roman"/>
          <w:sz w:val="28"/>
          <w:szCs w:val="28"/>
          <w:lang w:val="en-US"/>
        </w:rPr>
        <w:t>III</w:t>
      </w:r>
      <w:r w:rsidRPr="00870ADF">
        <w:rPr>
          <w:rFonts w:ascii="Times New Roman" w:hAnsi="Times New Roman"/>
          <w:sz w:val="28"/>
          <w:szCs w:val="28"/>
        </w:rPr>
        <w:t xml:space="preserve"> </w:t>
      </w:r>
      <w:r>
        <w:rPr>
          <w:rFonts w:ascii="Times New Roman" w:hAnsi="Times New Roman"/>
          <w:sz w:val="28"/>
          <w:szCs w:val="28"/>
        </w:rPr>
        <w:t>стадией</w:t>
      </w:r>
      <w:r w:rsidRPr="002E7B5D">
        <w:rPr>
          <w:rFonts w:ascii="Times New Roman" w:hAnsi="Times New Roman"/>
          <w:sz w:val="28"/>
          <w:szCs w:val="28"/>
        </w:rPr>
        <w:t>.</w:t>
      </w:r>
    </w:p>
    <w:p w14:paraId="3328A2A8" w14:textId="77777777" w:rsidR="00A9409C" w:rsidRPr="00623E78" w:rsidRDefault="00A9409C" w:rsidP="00A9409C">
      <w:pPr>
        <w:tabs>
          <w:tab w:val="left" w:pos="0"/>
        </w:tabs>
        <w:spacing w:after="0" w:line="240" w:lineRule="auto"/>
        <w:ind w:firstLine="567"/>
        <w:jc w:val="both"/>
        <w:rPr>
          <w:rFonts w:ascii="Times New Roman" w:hAnsi="Times New Roman"/>
          <w:bCs/>
          <w:iCs/>
          <w:sz w:val="28"/>
          <w:szCs w:val="28"/>
        </w:rPr>
      </w:pPr>
      <w:r w:rsidRPr="00F1144D">
        <w:rPr>
          <w:rFonts w:ascii="Times New Roman" w:hAnsi="Times New Roman"/>
          <w:sz w:val="28"/>
          <w:szCs w:val="28"/>
        </w:rPr>
        <w:t>Оценка показала, что связь между факторным и результативным признаками статистически</w:t>
      </w:r>
      <w:r>
        <w:rPr>
          <w:rFonts w:ascii="Times New Roman" w:hAnsi="Times New Roman"/>
          <w:sz w:val="28"/>
          <w:szCs w:val="28"/>
        </w:rPr>
        <w:t xml:space="preserve"> не</w:t>
      </w:r>
      <w:r w:rsidRPr="00F1144D">
        <w:rPr>
          <w:rFonts w:ascii="Times New Roman" w:hAnsi="Times New Roman"/>
          <w:sz w:val="28"/>
          <w:szCs w:val="28"/>
        </w:rPr>
        <w:t xml:space="preserve"> значима. Критическое значение </w:t>
      </w:r>
      <w:r w:rsidRPr="00F1144D">
        <w:rPr>
          <w:rFonts w:ascii="Times New Roman" w:hAnsi="Times New Roman"/>
          <w:b/>
          <w:i/>
          <w:sz w:val="28"/>
          <w:szCs w:val="28"/>
        </w:rPr>
        <w:t>χ</w:t>
      </w:r>
      <w:r w:rsidRPr="00F1144D">
        <w:rPr>
          <w:rFonts w:ascii="Times New Roman" w:hAnsi="Times New Roman"/>
          <w:b/>
          <w:i/>
          <w:sz w:val="28"/>
          <w:szCs w:val="28"/>
          <w:vertAlign w:val="superscript"/>
        </w:rPr>
        <w:t>2</w:t>
      </w:r>
      <w:r w:rsidRPr="00F1144D">
        <w:rPr>
          <w:rFonts w:ascii="Times New Roman" w:hAnsi="Times New Roman"/>
          <w:sz w:val="28"/>
          <w:szCs w:val="28"/>
        </w:rPr>
        <w:t xml:space="preserve"> при уровне значимости </w:t>
      </w:r>
      <w:r w:rsidRPr="00F1144D">
        <w:rPr>
          <w:rFonts w:ascii="Times New Roman" w:hAnsi="Times New Roman"/>
          <w:sz w:val="28"/>
          <w:szCs w:val="28"/>
          <w:lang w:val="en-US"/>
        </w:rPr>
        <w:t>p</w:t>
      </w:r>
      <w:r w:rsidRPr="00F1144D">
        <w:rPr>
          <w:rFonts w:ascii="Times New Roman" w:hAnsi="Times New Roman"/>
          <w:sz w:val="28"/>
          <w:szCs w:val="28"/>
        </w:rPr>
        <w:t>=0,0</w:t>
      </w:r>
      <w:r>
        <w:rPr>
          <w:rFonts w:ascii="Times New Roman" w:hAnsi="Times New Roman"/>
          <w:sz w:val="28"/>
          <w:szCs w:val="28"/>
        </w:rPr>
        <w:t>5</w:t>
      </w:r>
      <w:r w:rsidRPr="00F1144D">
        <w:rPr>
          <w:rFonts w:ascii="Times New Roman" w:hAnsi="Times New Roman"/>
          <w:sz w:val="28"/>
          <w:szCs w:val="28"/>
        </w:rPr>
        <w:t xml:space="preserve"> составляет </w:t>
      </w:r>
      <w:r>
        <w:rPr>
          <w:rFonts w:ascii="Times New Roman" w:hAnsi="Times New Roman"/>
          <w:sz w:val="28"/>
          <w:szCs w:val="28"/>
        </w:rPr>
        <w:t xml:space="preserve">5,991 – в нашем случае </w:t>
      </w:r>
      <w:r w:rsidRPr="00F1144D">
        <w:rPr>
          <w:rFonts w:ascii="Times New Roman" w:hAnsi="Times New Roman"/>
          <w:b/>
          <w:i/>
          <w:sz w:val="28"/>
          <w:szCs w:val="28"/>
        </w:rPr>
        <w:t>χ</w:t>
      </w:r>
      <w:r w:rsidRPr="00F1144D">
        <w:rPr>
          <w:rFonts w:ascii="Times New Roman" w:hAnsi="Times New Roman"/>
          <w:b/>
          <w:i/>
          <w:sz w:val="28"/>
          <w:szCs w:val="28"/>
          <w:vertAlign w:val="superscript"/>
        </w:rPr>
        <w:t>2</w:t>
      </w:r>
      <w:r>
        <w:rPr>
          <w:rFonts w:ascii="Times New Roman" w:hAnsi="Times New Roman"/>
          <w:b/>
          <w:i/>
          <w:sz w:val="28"/>
          <w:szCs w:val="28"/>
        </w:rPr>
        <w:t>=5,991</w:t>
      </w:r>
      <w:r w:rsidRPr="00623E78">
        <w:rPr>
          <w:rFonts w:ascii="Times New Roman" w:hAnsi="Times New Roman"/>
          <w:bCs/>
          <w:iCs/>
          <w:sz w:val="28"/>
          <w:szCs w:val="28"/>
        </w:rPr>
        <w:t xml:space="preserve">, а уровень значимости </w:t>
      </w:r>
      <w:r w:rsidRPr="00623E78">
        <w:rPr>
          <w:rFonts w:ascii="Times New Roman" w:hAnsi="Times New Roman"/>
          <w:bCs/>
          <w:iCs/>
          <w:sz w:val="28"/>
          <w:szCs w:val="28"/>
          <w:lang w:val="en-US"/>
        </w:rPr>
        <w:t>p</w:t>
      </w:r>
      <w:r w:rsidRPr="00870ADF">
        <w:rPr>
          <w:rFonts w:ascii="Times New Roman" w:hAnsi="Times New Roman"/>
          <w:bCs/>
          <w:iCs/>
          <w:sz w:val="28"/>
          <w:szCs w:val="28"/>
        </w:rPr>
        <w:t>=0,166</w:t>
      </w:r>
      <w:r w:rsidRPr="00623E78">
        <w:rPr>
          <w:rFonts w:ascii="Times New Roman" w:hAnsi="Times New Roman"/>
          <w:bCs/>
          <w:iCs/>
          <w:sz w:val="28"/>
          <w:szCs w:val="28"/>
        </w:rPr>
        <w:t>.</w:t>
      </w:r>
    </w:p>
    <w:p w14:paraId="38F4DBDA" w14:textId="77777777" w:rsidR="00A9409C" w:rsidRDefault="00A9409C" w:rsidP="00A9409C">
      <w:pPr>
        <w:widowControl w:val="0"/>
        <w:spacing w:after="0" w:line="240" w:lineRule="auto"/>
        <w:ind w:firstLine="567"/>
        <w:jc w:val="both"/>
        <w:rPr>
          <w:rFonts w:ascii="Times New Roman" w:hAnsi="Times New Roman"/>
          <w:sz w:val="28"/>
          <w:szCs w:val="28"/>
        </w:rPr>
      </w:pPr>
      <w:r w:rsidRPr="002E7B5D">
        <w:rPr>
          <w:rFonts w:ascii="Times New Roman" w:hAnsi="Times New Roman"/>
          <w:sz w:val="28"/>
          <w:szCs w:val="28"/>
        </w:rPr>
        <w:t xml:space="preserve">Анализ исследования связи </w:t>
      </w:r>
      <w:r>
        <w:rPr>
          <w:rFonts w:ascii="Times New Roman" w:hAnsi="Times New Roman"/>
          <w:sz w:val="28"/>
          <w:szCs w:val="28"/>
        </w:rPr>
        <w:t>пола и наличия функциональной недостаточности</w:t>
      </w:r>
      <w:r w:rsidRPr="002E7B5D">
        <w:rPr>
          <w:rFonts w:ascii="Times New Roman" w:hAnsi="Times New Roman"/>
          <w:sz w:val="28"/>
          <w:szCs w:val="28"/>
        </w:rPr>
        <w:t xml:space="preserve">. Для этого были </w:t>
      </w:r>
      <w:r>
        <w:rPr>
          <w:rFonts w:ascii="Times New Roman" w:hAnsi="Times New Roman"/>
          <w:sz w:val="28"/>
          <w:szCs w:val="28"/>
        </w:rPr>
        <w:t>исследованы</w:t>
      </w:r>
      <w:r w:rsidRPr="002E7B5D">
        <w:rPr>
          <w:rFonts w:ascii="Times New Roman" w:hAnsi="Times New Roman"/>
          <w:sz w:val="28"/>
          <w:szCs w:val="28"/>
        </w:rPr>
        <w:t xml:space="preserve"> две группы – в первую вошли </w:t>
      </w:r>
      <w:r>
        <w:rPr>
          <w:rFonts w:ascii="Times New Roman" w:hAnsi="Times New Roman"/>
          <w:sz w:val="28"/>
          <w:szCs w:val="28"/>
        </w:rPr>
        <w:t>77 мужчин</w:t>
      </w:r>
      <w:r w:rsidRPr="002E7B5D">
        <w:rPr>
          <w:rFonts w:ascii="Times New Roman" w:hAnsi="Times New Roman"/>
          <w:sz w:val="28"/>
          <w:szCs w:val="28"/>
        </w:rPr>
        <w:t xml:space="preserve">, во вторую группу – </w:t>
      </w:r>
      <w:r>
        <w:rPr>
          <w:rFonts w:ascii="Times New Roman" w:hAnsi="Times New Roman"/>
          <w:sz w:val="28"/>
          <w:szCs w:val="28"/>
        </w:rPr>
        <w:t>73 женщин</w:t>
      </w:r>
      <w:r w:rsidRPr="002E7B5D">
        <w:rPr>
          <w:rFonts w:ascii="Times New Roman" w:hAnsi="Times New Roman"/>
          <w:sz w:val="28"/>
          <w:szCs w:val="28"/>
        </w:rPr>
        <w:t xml:space="preserve">. </w:t>
      </w:r>
      <w:r>
        <w:rPr>
          <w:rFonts w:ascii="Times New Roman" w:hAnsi="Times New Roman"/>
          <w:sz w:val="28"/>
          <w:szCs w:val="28"/>
        </w:rPr>
        <w:t>Функциональная недостаточность была выявлена у 35 мужчин и 42 у женщин</w:t>
      </w:r>
      <w:r w:rsidRPr="002E7B5D">
        <w:rPr>
          <w:rFonts w:ascii="Times New Roman" w:hAnsi="Times New Roman"/>
          <w:sz w:val="28"/>
          <w:szCs w:val="28"/>
        </w:rPr>
        <w:t xml:space="preserve">. Соответственно </w:t>
      </w:r>
      <w:r>
        <w:rPr>
          <w:rFonts w:ascii="Times New Roman" w:hAnsi="Times New Roman"/>
          <w:sz w:val="28"/>
          <w:szCs w:val="28"/>
        </w:rPr>
        <w:t xml:space="preserve">не </w:t>
      </w:r>
      <w:r w:rsidRPr="002E7B5D">
        <w:rPr>
          <w:rFonts w:ascii="Times New Roman" w:hAnsi="Times New Roman"/>
          <w:sz w:val="28"/>
          <w:szCs w:val="28"/>
        </w:rPr>
        <w:t>был</w:t>
      </w:r>
      <w:r>
        <w:rPr>
          <w:rFonts w:ascii="Times New Roman" w:hAnsi="Times New Roman"/>
          <w:sz w:val="28"/>
          <w:szCs w:val="28"/>
        </w:rPr>
        <w:t xml:space="preserve">о у 42 мужчин и у 31 женщин </w:t>
      </w:r>
      <w:r w:rsidRPr="002E7B5D">
        <w:rPr>
          <w:rFonts w:ascii="Times New Roman" w:hAnsi="Times New Roman"/>
          <w:sz w:val="28"/>
          <w:szCs w:val="28"/>
        </w:rPr>
        <w:t xml:space="preserve">(таблица </w:t>
      </w:r>
      <w:r>
        <w:rPr>
          <w:rFonts w:ascii="Times New Roman" w:hAnsi="Times New Roman"/>
          <w:sz w:val="28"/>
          <w:szCs w:val="28"/>
        </w:rPr>
        <w:t>1</w:t>
      </w:r>
      <w:r w:rsidRPr="00870ADF">
        <w:rPr>
          <w:rFonts w:ascii="Times New Roman" w:hAnsi="Times New Roman"/>
          <w:sz w:val="28"/>
          <w:szCs w:val="28"/>
        </w:rPr>
        <w:t>8</w:t>
      </w:r>
      <w:r>
        <w:rPr>
          <w:rFonts w:ascii="Times New Roman" w:hAnsi="Times New Roman"/>
          <w:sz w:val="28"/>
          <w:szCs w:val="28"/>
        </w:rPr>
        <w:t>)</w:t>
      </w:r>
      <w:r w:rsidRPr="002E7B5D">
        <w:rPr>
          <w:rFonts w:ascii="Times New Roman" w:hAnsi="Times New Roman"/>
          <w:sz w:val="28"/>
          <w:szCs w:val="28"/>
        </w:rPr>
        <w:t>.</w:t>
      </w:r>
    </w:p>
    <w:p w14:paraId="24A3055A" w14:textId="77777777" w:rsidR="00A9409C" w:rsidRDefault="00A9409C" w:rsidP="00A9409C">
      <w:pPr>
        <w:widowControl w:val="0"/>
        <w:spacing w:after="0" w:line="240" w:lineRule="auto"/>
        <w:ind w:firstLine="567"/>
        <w:jc w:val="both"/>
        <w:rPr>
          <w:rFonts w:ascii="Times New Roman" w:hAnsi="Times New Roman"/>
          <w:sz w:val="28"/>
          <w:szCs w:val="28"/>
        </w:rPr>
      </w:pPr>
    </w:p>
    <w:p w14:paraId="1D11084B" w14:textId="77777777" w:rsidR="00A9409C" w:rsidRPr="002E7B5D" w:rsidRDefault="00A9409C" w:rsidP="00A9409C">
      <w:pPr>
        <w:widowControl w:val="0"/>
        <w:spacing w:after="0" w:line="240" w:lineRule="auto"/>
        <w:ind w:firstLine="567"/>
        <w:jc w:val="both"/>
        <w:rPr>
          <w:rFonts w:ascii="Times New Roman" w:hAnsi="Times New Roman"/>
          <w:sz w:val="28"/>
          <w:szCs w:val="28"/>
        </w:rPr>
      </w:pPr>
    </w:p>
    <w:p w14:paraId="3177DA5F" w14:textId="77777777" w:rsidR="00A9409C" w:rsidRPr="00F1144D" w:rsidRDefault="00A9409C" w:rsidP="00A9409C">
      <w:pPr>
        <w:spacing w:after="0" w:line="240" w:lineRule="auto"/>
        <w:ind w:firstLine="567"/>
        <w:jc w:val="both"/>
        <w:rPr>
          <w:rFonts w:ascii="Times New Roman" w:hAnsi="Times New Roman"/>
          <w:sz w:val="28"/>
          <w:szCs w:val="28"/>
        </w:rPr>
      </w:pPr>
    </w:p>
    <w:p w14:paraId="5E014008" w14:textId="77777777" w:rsidR="00A9409C" w:rsidRPr="00F1144D" w:rsidRDefault="00A9409C" w:rsidP="00A9409C">
      <w:pPr>
        <w:spacing w:after="0" w:line="240" w:lineRule="auto"/>
        <w:jc w:val="both"/>
        <w:rPr>
          <w:rFonts w:ascii="Times New Roman" w:hAnsi="Times New Roman"/>
          <w:sz w:val="28"/>
          <w:szCs w:val="28"/>
        </w:rPr>
      </w:pPr>
      <w:r w:rsidRPr="00F1144D">
        <w:rPr>
          <w:rFonts w:ascii="Times New Roman" w:hAnsi="Times New Roman"/>
          <w:sz w:val="28"/>
          <w:szCs w:val="28"/>
        </w:rPr>
        <w:lastRenderedPageBreak/>
        <w:t xml:space="preserve">Таблица </w:t>
      </w:r>
      <w:r>
        <w:rPr>
          <w:rFonts w:ascii="Times New Roman" w:hAnsi="Times New Roman"/>
          <w:sz w:val="28"/>
          <w:szCs w:val="28"/>
        </w:rPr>
        <w:t>1</w:t>
      </w:r>
      <w:r w:rsidRPr="00870ADF">
        <w:rPr>
          <w:rFonts w:ascii="Times New Roman" w:hAnsi="Times New Roman"/>
          <w:sz w:val="28"/>
          <w:szCs w:val="28"/>
        </w:rPr>
        <w:t>7</w:t>
      </w:r>
      <w:r w:rsidRPr="00F1144D">
        <w:rPr>
          <w:rFonts w:ascii="Times New Roman" w:hAnsi="Times New Roman"/>
          <w:sz w:val="28"/>
          <w:szCs w:val="28"/>
        </w:rPr>
        <w:t xml:space="preserve"> – Оценка связи между факторным (</w:t>
      </w:r>
      <w:r>
        <w:rPr>
          <w:rFonts w:ascii="Times New Roman" w:hAnsi="Times New Roman"/>
          <w:sz w:val="28"/>
          <w:szCs w:val="28"/>
        </w:rPr>
        <w:t>пол</w:t>
      </w:r>
      <w:r w:rsidRPr="00F1144D">
        <w:rPr>
          <w:rFonts w:ascii="Times New Roman" w:hAnsi="Times New Roman"/>
          <w:sz w:val="28"/>
          <w:szCs w:val="28"/>
        </w:rPr>
        <w:t>) и результативным (</w:t>
      </w:r>
      <w:r>
        <w:rPr>
          <w:rFonts w:ascii="Times New Roman" w:hAnsi="Times New Roman"/>
          <w:sz w:val="28"/>
          <w:szCs w:val="28"/>
        </w:rPr>
        <w:t>стадия заболевания</w:t>
      </w:r>
      <w:r w:rsidRPr="00F1144D">
        <w:rPr>
          <w:rFonts w:ascii="Times New Roman" w:hAnsi="Times New Roman"/>
          <w:sz w:val="28"/>
          <w:szCs w:val="28"/>
        </w:rPr>
        <w:t>) признаками у исследуемых больных</w:t>
      </w:r>
    </w:p>
    <w:p w14:paraId="710264B8" w14:textId="77777777" w:rsidR="00A9409C" w:rsidRPr="00F1144D" w:rsidRDefault="00A9409C" w:rsidP="00A9409C">
      <w:pPr>
        <w:spacing w:after="0" w:line="240" w:lineRule="auto"/>
        <w:ind w:firstLine="567"/>
        <w:jc w:val="both"/>
        <w:rPr>
          <w:rFonts w:ascii="Times New Roman" w:hAnsi="Times New Roman"/>
          <w:sz w:val="28"/>
          <w:szCs w:val="28"/>
        </w:rPr>
      </w:pPr>
    </w:p>
    <w:tbl>
      <w:tblPr>
        <w:tblStyle w:val="af1"/>
        <w:tblW w:w="8608" w:type="dxa"/>
        <w:jc w:val="center"/>
        <w:tblLook w:val="04A0" w:firstRow="1" w:lastRow="0" w:firstColumn="1" w:lastColumn="0" w:noHBand="0" w:noVBand="1"/>
      </w:tblPr>
      <w:tblGrid>
        <w:gridCol w:w="1405"/>
        <w:gridCol w:w="1529"/>
        <w:gridCol w:w="1417"/>
        <w:gridCol w:w="1417"/>
        <w:gridCol w:w="1418"/>
        <w:gridCol w:w="1422"/>
      </w:tblGrid>
      <w:tr w:rsidR="00A9409C" w:rsidRPr="00F1144D" w14:paraId="0DD49711" w14:textId="77777777" w:rsidTr="00094F6F">
        <w:trPr>
          <w:trHeight w:val="340"/>
          <w:jc w:val="center"/>
        </w:trPr>
        <w:tc>
          <w:tcPr>
            <w:tcW w:w="2934" w:type="dxa"/>
            <w:gridSpan w:val="2"/>
            <w:vMerge w:val="restart"/>
            <w:vAlign w:val="center"/>
          </w:tcPr>
          <w:p w14:paraId="03DEE3AE"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Факторный признак</w:t>
            </w:r>
          </w:p>
          <w:p w14:paraId="18D12F01" w14:textId="77777777" w:rsidR="00A9409C" w:rsidRPr="00537EEC"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пол</w:t>
            </w:r>
            <w:proofErr w:type="gramEnd"/>
          </w:p>
        </w:tc>
        <w:tc>
          <w:tcPr>
            <w:tcW w:w="4252" w:type="dxa"/>
            <w:gridSpan w:val="3"/>
            <w:vAlign w:val="center"/>
          </w:tcPr>
          <w:p w14:paraId="2C04F3F5"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Результативный признак</w:t>
            </w:r>
          </w:p>
          <w:p w14:paraId="550FD97E"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стадия</w:t>
            </w:r>
            <w:proofErr w:type="gramEnd"/>
            <w:r>
              <w:rPr>
                <w:rFonts w:ascii="Times New Roman" w:hAnsi="Times New Roman"/>
                <w:i/>
                <w:sz w:val="24"/>
                <w:szCs w:val="24"/>
              </w:rPr>
              <w:t xml:space="preserve"> </w:t>
            </w:r>
          </w:p>
        </w:tc>
        <w:tc>
          <w:tcPr>
            <w:tcW w:w="1422" w:type="dxa"/>
            <w:vMerge w:val="restart"/>
            <w:vAlign w:val="center"/>
          </w:tcPr>
          <w:p w14:paraId="5C17884B"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Итого</w:t>
            </w:r>
          </w:p>
        </w:tc>
      </w:tr>
      <w:tr w:rsidR="00A9409C" w:rsidRPr="00F1144D" w14:paraId="153382D3" w14:textId="77777777" w:rsidTr="00094F6F">
        <w:trPr>
          <w:trHeight w:val="340"/>
          <w:jc w:val="center"/>
        </w:trPr>
        <w:tc>
          <w:tcPr>
            <w:tcW w:w="2934" w:type="dxa"/>
            <w:gridSpan w:val="2"/>
            <w:vMerge/>
            <w:vAlign w:val="center"/>
          </w:tcPr>
          <w:p w14:paraId="2FB41748" w14:textId="77777777" w:rsidR="00A9409C" w:rsidRPr="00F1144D" w:rsidRDefault="00A9409C" w:rsidP="00094F6F">
            <w:pPr>
              <w:spacing w:after="0" w:line="240" w:lineRule="auto"/>
              <w:jc w:val="center"/>
              <w:rPr>
                <w:rFonts w:ascii="Times New Roman" w:hAnsi="Times New Roman"/>
                <w:sz w:val="24"/>
                <w:szCs w:val="24"/>
              </w:rPr>
            </w:pPr>
          </w:p>
        </w:tc>
        <w:tc>
          <w:tcPr>
            <w:tcW w:w="1417" w:type="dxa"/>
            <w:tcBorders>
              <w:bottom w:val="single" w:sz="12" w:space="0" w:color="auto"/>
            </w:tcBorders>
            <w:vAlign w:val="center"/>
          </w:tcPr>
          <w:p w14:paraId="2AEDF029" w14:textId="77777777" w:rsidR="00A9409C" w:rsidRPr="006E0057" w:rsidRDefault="00A9409C" w:rsidP="00094F6F">
            <w:pPr>
              <w:spacing w:after="0" w:line="240" w:lineRule="auto"/>
              <w:jc w:val="center"/>
              <w:rPr>
                <w:rFonts w:ascii="Times New Roman" w:hAnsi="Times New Roman"/>
                <w:i/>
                <w:sz w:val="24"/>
                <w:szCs w:val="24"/>
                <w:lang w:val="en-US"/>
              </w:rPr>
            </w:pPr>
            <w:r>
              <w:rPr>
                <w:rFonts w:ascii="Times New Roman" w:hAnsi="Times New Roman"/>
                <w:i/>
                <w:sz w:val="24"/>
                <w:szCs w:val="24"/>
                <w:lang w:val="en-US"/>
              </w:rPr>
              <w:t>I</w:t>
            </w:r>
          </w:p>
        </w:tc>
        <w:tc>
          <w:tcPr>
            <w:tcW w:w="1417" w:type="dxa"/>
            <w:vAlign w:val="center"/>
          </w:tcPr>
          <w:p w14:paraId="052327EB" w14:textId="77777777" w:rsidR="00A9409C" w:rsidRPr="006E0057" w:rsidRDefault="00A9409C" w:rsidP="00094F6F">
            <w:pPr>
              <w:spacing w:after="0" w:line="240" w:lineRule="auto"/>
              <w:jc w:val="center"/>
              <w:rPr>
                <w:rFonts w:ascii="Times New Roman" w:hAnsi="Times New Roman"/>
                <w:i/>
                <w:sz w:val="24"/>
                <w:szCs w:val="24"/>
                <w:lang w:val="en-US"/>
              </w:rPr>
            </w:pPr>
            <w:r>
              <w:rPr>
                <w:rFonts w:ascii="Times New Roman" w:hAnsi="Times New Roman"/>
                <w:i/>
                <w:sz w:val="24"/>
                <w:szCs w:val="24"/>
                <w:lang w:val="en-US"/>
              </w:rPr>
              <w:t>II</w:t>
            </w:r>
          </w:p>
        </w:tc>
        <w:tc>
          <w:tcPr>
            <w:tcW w:w="1418" w:type="dxa"/>
            <w:vAlign w:val="center"/>
          </w:tcPr>
          <w:p w14:paraId="30BF1FBD" w14:textId="77777777" w:rsidR="00A9409C" w:rsidRPr="006E0057" w:rsidRDefault="00A9409C" w:rsidP="00094F6F">
            <w:pPr>
              <w:spacing w:after="0" w:line="240" w:lineRule="auto"/>
              <w:jc w:val="center"/>
              <w:rPr>
                <w:rFonts w:ascii="Times New Roman" w:hAnsi="Times New Roman"/>
                <w:i/>
                <w:sz w:val="24"/>
                <w:szCs w:val="24"/>
                <w:lang w:val="en-US"/>
              </w:rPr>
            </w:pPr>
            <w:r>
              <w:rPr>
                <w:rFonts w:ascii="Times New Roman" w:hAnsi="Times New Roman"/>
                <w:i/>
                <w:sz w:val="24"/>
                <w:szCs w:val="24"/>
                <w:lang w:val="en-US"/>
              </w:rPr>
              <w:t>III</w:t>
            </w:r>
          </w:p>
        </w:tc>
        <w:tc>
          <w:tcPr>
            <w:tcW w:w="1422" w:type="dxa"/>
            <w:vMerge/>
            <w:vAlign w:val="center"/>
          </w:tcPr>
          <w:p w14:paraId="2F31666F" w14:textId="77777777" w:rsidR="00A9409C" w:rsidRPr="00F1144D" w:rsidRDefault="00A9409C" w:rsidP="00094F6F">
            <w:pPr>
              <w:spacing w:after="0" w:line="240" w:lineRule="auto"/>
              <w:jc w:val="center"/>
              <w:rPr>
                <w:rFonts w:ascii="Times New Roman" w:hAnsi="Times New Roman"/>
                <w:sz w:val="24"/>
                <w:szCs w:val="24"/>
              </w:rPr>
            </w:pPr>
          </w:p>
        </w:tc>
      </w:tr>
      <w:tr w:rsidR="00A9409C" w:rsidRPr="00F1144D" w14:paraId="1870FDA1" w14:textId="77777777" w:rsidTr="00094F6F">
        <w:trPr>
          <w:trHeight w:val="340"/>
          <w:jc w:val="center"/>
        </w:trPr>
        <w:tc>
          <w:tcPr>
            <w:tcW w:w="1405" w:type="dxa"/>
            <w:vMerge w:val="restart"/>
            <w:tcBorders>
              <w:right w:val="single" w:sz="12" w:space="0" w:color="auto"/>
            </w:tcBorders>
            <w:vAlign w:val="center"/>
          </w:tcPr>
          <w:p w14:paraId="742E8B9A"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мужской</w:t>
            </w:r>
            <w:proofErr w:type="gramEnd"/>
          </w:p>
        </w:tc>
        <w:tc>
          <w:tcPr>
            <w:tcW w:w="152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8AE8091"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bottom"/>
          </w:tcPr>
          <w:p w14:paraId="19870AA0" w14:textId="77777777" w:rsidR="00A9409C" w:rsidRPr="00AD2AEF" w:rsidRDefault="00A9409C" w:rsidP="00094F6F">
            <w:pPr>
              <w:spacing w:after="0" w:line="240" w:lineRule="auto"/>
              <w:jc w:val="center"/>
              <w:rPr>
                <w:rFonts w:ascii="Times New Roman" w:hAnsi="Times New Roman"/>
                <w:b/>
                <w:sz w:val="24"/>
                <w:szCs w:val="24"/>
              </w:rPr>
            </w:pPr>
            <w:r w:rsidRPr="00AD2AEF">
              <w:rPr>
                <w:rFonts w:ascii="Times New Roman" w:hAnsi="Times New Roman"/>
                <w:color w:val="000000"/>
                <w:sz w:val="24"/>
                <w:szCs w:val="24"/>
              </w:rPr>
              <w:t>11</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bottom"/>
          </w:tcPr>
          <w:p w14:paraId="6CAF6EB2" w14:textId="77777777" w:rsidR="00A9409C" w:rsidRPr="00AD2AEF" w:rsidRDefault="00A9409C" w:rsidP="00094F6F">
            <w:pPr>
              <w:spacing w:after="0" w:line="240" w:lineRule="auto"/>
              <w:jc w:val="center"/>
              <w:rPr>
                <w:rFonts w:ascii="Times New Roman" w:hAnsi="Times New Roman"/>
                <w:b/>
                <w:sz w:val="24"/>
                <w:szCs w:val="24"/>
              </w:rPr>
            </w:pPr>
            <w:r w:rsidRPr="00AD2AEF">
              <w:rPr>
                <w:rFonts w:ascii="Times New Roman" w:hAnsi="Times New Roman"/>
                <w:color w:val="000000"/>
                <w:sz w:val="24"/>
                <w:szCs w:val="24"/>
              </w:rPr>
              <w:t>17</w:t>
            </w:r>
          </w:p>
        </w:tc>
        <w:tc>
          <w:tcPr>
            <w:tcW w:w="141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bottom"/>
          </w:tcPr>
          <w:p w14:paraId="213682F3" w14:textId="77777777" w:rsidR="00A9409C" w:rsidRPr="00AD2AEF" w:rsidRDefault="00A9409C" w:rsidP="00094F6F">
            <w:pPr>
              <w:spacing w:after="0" w:line="240" w:lineRule="auto"/>
              <w:jc w:val="center"/>
              <w:rPr>
                <w:rFonts w:ascii="Times New Roman" w:hAnsi="Times New Roman"/>
                <w:b/>
                <w:sz w:val="24"/>
                <w:szCs w:val="24"/>
              </w:rPr>
            </w:pPr>
            <w:r w:rsidRPr="00AD2AEF">
              <w:rPr>
                <w:rFonts w:ascii="Times New Roman" w:hAnsi="Times New Roman"/>
                <w:color w:val="000000"/>
                <w:sz w:val="24"/>
                <w:szCs w:val="24"/>
              </w:rPr>
              <w:t>49</w:t>
            </w:r>
          </w:p>
        </w:tc>
        <w:tc>
          <w:tcPr>
            <w:tcW w:w="1422"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bottom"/>
          </w:tcPr>
          <w:p w14:paraId="434A677D" w14:textId="77777777" w:rsidR="00A9409C" w:rsidRPr="00AD2AEF" w:rsidRDefault="00A9409C" w:rsidP="00094F6F">
            <w:pPr>
              <w:spacing w:after="0" w:line="240" w:lineRule="auto"/>
              <w:jc w:val="center"/>
              <w:rPr>
                <w:rFonts w:ascii="Times New Roman" w:hAnsi="Times New Roman"/>
                <w:b/>
                <w:sz w:val="24"/>
                <w:szCs w:val="24"/>
              </w:rPr>
            </w:pPr>
            <w:r w:rsidRPr="00AD2AEF">
              <w:rPr>
                <w:rFonts w:ascii="Times New Roman" w:hAnsi="Times New Roman"/>
                <w:color w:val="000000"/>
                <w:sz w:val="24"/>
                <w:szCs w:val="24"/>
              </w:rPr>
              <w:t>77</w:t>
            </w:r>
          </w:p>
        </w:tc>
      </w:tr>
      <w:tr w:rsidR="00A9409C" w:rsidRPr="00F1144D" w14:paraId="57244E7F" w14:textId="77777777" w:rsidTr="00094F6F">
        <w:trPr>
          <w:trHeight w:val="340"/>
          <w:jc w:val="center"/>
        </w:trPr>
        <w:tc>
          <w:tcPr>
            <w:tcW w:w="1405" w:type="dxa"/>
            <w:vMerge/>
            <w:vAlign w:val="center"/>
          </w:tcPr>
          <w:p w14:paraId="41BECD73" w14:textId="77777777" w:rsidR="00A9409C" w:rsidRPr="00F1144D" w:rsidRDefault="00A9409C" w:rsidP="00094F6F">
            <w:pPr>
              <w:spacing w:after="0" w:line="240" w:lineRule="auto"/>
              <w:jc w:val="center"/>
              <w:rPr>
                <w:rFonts w:ascii="Times New Roman" w:hAnsi="Times New Roman"/>
                <w:i/>
                <w:sz w:val="24"/>
                <w:szCs w:val="24"/>
              </w:rPr>
            </w:pPr>
          </w:p>
        </w:tc>
        <w:tc>
          <w:tcPr>
            <w:tcW w:w="1529" w:type="dxa"/>
            <w:tcBorders>
              <w:top w:val="single" w:sz="12" w:space="0" w:color="auto"/>
            </w:tcBorders>
            <w:vAlign w:val="center"/>
          </w:tcPr>
          <w:p w14:paraId="4FDC84F3"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417" w:type="dxa"/>
            <w:tcBorders>
              <w:top w:val="single" w:sz="12" w:space="0" w:color="auto"/>
            </w:tcBorders>
            <w:vAlign w:val="bottom"/>
          </w:tcPr>
          <w:p w14:paraId="59E545C1"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14,29</w:t>
            </w:r>
            <w:r>
              <w:rPr>
                <w:rFonts w:ascii="Times New Roman" w:hAnsi="Times New Roman"/>
                <w:color w:val="000000"/>
                <w:sz w:val="24"/>
                <w:szCs w:val="24"/>
              </w:rPr>
              <w:t>%</w:t>
            </w:r>
          </w:p>
        </w:tc>
        <w:tc>
          <w:tcPr>
            <w:tcW w:w="1417" w:type="dxa"/>
            <w:vAlign w:val="bottom"/>
          </w:tcPr>
          <w:p w14:paraId="4BB1D108"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22,08</w:t>
            </w:r>
            <w:r>
              <w:rPr>
                <w:rFonts w:ascii="Times New Roman" w:hAnsi="Times New Roman"/>
                <w:color w:val="000000"/>
                <w:sz w:val="24"/>
                <w:szCs w:val="24"/>
              </w:rPr>
              <w:t>%</w:t>
            </w:r>
          </w:p>
        </w:tc>
        <w:tc>
          <w:tcPr>
            <w:tcW w:w="1418" w:type="dxa"/>
            <w:vAlign w:val="bottom"/>
          </w:tcPr>
          <w:p w14:paraId="7FAD0A87"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63,64</w:t>
            </w:r>
            <w:r>
              <w:rPr>
                <w:rFonts w:ascii="Times New Roman" w:hAnsi="Times New Roman"/>
                <w:color w:val="000000"/>
                <w:sz w:val="24"/>
                <w:szCs w:val="24"/>
              </w:rPr>
              <w:t>%</w:t>
            </w:r>
          </w:p>
        </w:tc>
        <w:tc>
          <w:tcPr>
            <w:tcW w:w="1422" w:type="dxa"/>
            <w:vAlign w:val="bottom"/>
          </w:tcPr>
          <w:p w14:paraId="2C79C917"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100,00</w:t>
            </w:r>
            <w:r>
              <w:rPr>
                <w:rFonts w:ascii="Times New Roman" w:hAnsi="Times New Roman"/>
                <w:color w:val="000000"/>
                <w:sz w:val="24"/>
                <w:szCs w:val="24"/>
              </w:rPr>
              <w:t>%</w:t>
            </w:r>
          </w:p>
        </w:tc>
      </w:tr>
      <w:tr w:rsidR="00A9409C" w:rsidRPr="00F1144D" w14:paraId="41C4F347" w14:textId="77777777" w:rsidTr="00094F6F">
        <w:trPr>
          <w:trHeight w:val="340"/>
          <w:jc w:val="center"/>
        </w:trPr>
        <w:tc>
          <w:tcPr>
            <w:tcW w:w="1405" w:type="dxa"/>
            <w:vMerge/>
            <w:vAlign w:val="center"/>
          </w:tcPr>
          <w:p w14:paraId="26E4417E" w14:textId="77777777" w:rsidR="00A9409C" w:rsidRPr="00F1144D" w:rsidRDefault="00A9409C" w:rsidP="00094F6F">
            <w:pPr>
              <w:spacing w:after="0" w:line="240" w:lineRule="auto"/>
              <w:jc w:val="center"/>
              <w:rPr>
                <w:rFonts w:ascii="Times New Roman" w:hAnsi="Times New Roman"/>
                <w:i/>
                <w:sz w:val="24"/>
                <w:szCs w:val="24"/>
              </w:rPr>
            </w:pPr>
          </w:p>
        </w:tc>
        <w:tc>
          <w:tcPr>
            <w:tcW w:w="1529" w:type="dxa"/>
            <w:tcBorders>
              <w:bottom w:val="single" w:sz="12" w:space="0" w:color="auto"/>
            </w:tcBorders>
            <w:vAlign w:val="center"/>
          </w:tcPr>
          <w:p w14:paraId="1DB15312"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417" w:type="dxa"/>
            <w:tcBorders>
              <w:bottom w:val="single" w:sz="12" w:space="0" w:color="auto"/>
            </w:tcBorders>
            <w:vAlign w:val="bottom"/>
          </w:tcPr>
          <w:p w14:paraId="36CC9A47"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73,33</w:t>
            </w:r>
            <w:r>
              <w:rPr>
                <w:rFonts w:ascii="Times New Roman" w:hAnsi="Times New Roman"/>
                <w:color w:val="000000"/>
                <w:sz w:val="24"/>
                <w:szCs w:val="24"/>
              </w:rPr>
              <w:t>%</w:t>
            </w:r>
          </w:p>
        </w:tc>
        <w:tc>
          <w:tcPr>
            <w:tcW w:w="1417" w:type="dxa"/>
            <w:tcBorders>
              <w:bottom w:val="single" w:sz="12" w:space="0" w:color="auto"/>
            </w:tcBorders>
            <w:vAlign w:val="bottom"/>
          </w:tcPr>
          <w:p w14:paraId="62476D3C"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44,74</w:t>
            </w:r>
            <w:r>
              <w:rPr>
                <w:rFonts w:ascii="Times New Roman" w:hAnsi="Times New Roman"/>
                <w:color w:val="000000"/>
                <w:sz w:val="24"/>
                <w:szCs w:val="24"/>
              </w:rPr>
              <w:t>%</w:t>
            </w:r>
          </w:p>
        </w:tc>
        <w:tc>
          <w:tcPr>
            <w:tcW w:w="1418" w:type="dxa"/>
            <w:tcBorders>
              <w:bottom w:val="single" w:sz="12" w:space="0" w:color="auto"/>
            </w:tcBorders>
            <w:vAlign w:val="bottom"/>
          </w:tcPr>
          <w:p w14:paraId="69366FA9"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50,52</w:t>
            </w:r>
            <w:r>
              <w:rPr>
                <w:rFonts w:ascii="Times New Roman" w:hAnsi="Times New Roman"/>
                <w:color w:val="000000"/>
                <w:sz w:val="24"/>
                <w:szCs w:val="24"/>
              </w:rPr>
              <w:t>%</w:t>
            </w:r>
          </w:p>
        </w:tc>
        <w:tc>
          <w:tcPr>
            <w:tcW w:w="1422" w:type="dxa"/>
            <w:tcBorders>
              <w:bottom w:val="single" w:sz="12" w:space="0" w:color="auto"/>
            </w:tcBorders>
            <w:vAlign w:val="bottom"/>
          </w:tcPr>
          <w:p w14:paraId="68669091"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51,33</w:t>
            </w:r>
            <w:r>
              <w:rPr>
                <w:rFonts w:ascii="Times New Roman" w:hAnsi="Times New Roman"/>
                <w:color w:val="000000"/>
                <w:sz w:val="24"/>
                <w:szCs w:val="24"/>
              </w:rPr>
              <w:t>%</w:t>
            </w:r>
          </w:p>
        </w:tc>
      </w:tr>
      <w:tr w:rsidR="00A9409C" w:rsidRPr="00F1144D" w14:paraId="2AABBA16" w14:textId="77777777" w:rsidTr="00094F6F">
        <w:trPr>
          <w:trHeight w:val="340"/>
          <w:jc w:val="center"/>
        </w:trPr>
        <w:tc>
          <w:tcPr>
            <w:tcW w:w="1405" w:type="dxa"/>
            <w:vMerge w:val="restart"/>
            <w:tcBorders>
              <w:right w:val="single" w:sz="12" w:space="0" w:color="auto"/>
            </w:tcBorders>
            <w:vAlign w:val="center"/>
          </w:tcPr>
          <w:p w14:paraId="3BB5B426"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женский</w:t>
            </w:r>
            <w:proofErr w:type="gramEnd"/>
          </w:p>
        </w:tc>
        <w:tc>
          <w:tcPr>
            <w:tcW w:w="152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44CCE8FA"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bottom"/>
          </w:tcPr>
          <w:p w14:paraId="04128A21" w14:textId="77777777" w:rsidR="00A9409C" w:rsidRPr="00AD2AEF" w:rsidRDefault="00A9409C" w:rsidP="00094F6F">
            <w:pPr>
              <w:spacing w:after="0" w:line="240" w:lineRule="auto"/>
              <w:jc w:val="center"/>
              <w:rPr>
                <w:rFonts w:ascii="Times New Roman" w:hAnsi="Times New Roman"/>
                <w:b/>
                <w:sz w:val="24"/>
                <w:szCs w:val="24"/>
              </w:rPr>
            </w:pPr>
            <w:r w:rsidRPr="00AD2AEF">
              <w:rPr>
                <w:rFonts w:ascii="Times New Roman" w:hAnsi="Times New Roman"/>
                <w:color w:val="000000"/>
                <w:sz w:val="24"/>
                <w:szCs w:val="24"/>
              </w:rPr>
              <w:t>4</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bottom"/>
          </w:tcPr>
          <w:p w14:paraId="5649B628" w14:textId="77777777" w:rsidR="00A9409C" w:rsidRPr="00AD2AEF" w:rsidRDefault="00A9409C" w:rsidP="00094F6F">
            <w:pPr>
              <w:spacing w:after="0" w:line="240" w:lineRule="auto"/>
              <w:jc w:val="center"/>
              <w:rPr>
                <w:rFonts w:ascii="Times New Roman" w:hAnsi="Times New Roman"/>
                <w:b/>
                <w:sz w:val="24"/>
                <w:szCs w:val="24"/>
              </w:rPr>
            </w:pPr>
            <w:r w:rsidRPr="00AD2AEF">
              <w:rPr>
                <w:rFonts w:ascii="Times New Roman" w:hAnsi="Times New Roman"/>
                <w:color w:val="000000"/>
                <w:sz w:val="24"/>
                <w:szCs w:val="24"/>
              </w:rPr>
              <w:t>21</w:t>
            </w:r>
          </w:p>
        </w:tc>
        <w:tc>
          <w:tcPr>
            <w:tcW w:w="141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bottom"/>
          </w:tcPr>
          <w:p w14:paraId="64DDEFC6" w14:textId="77777777" w:rsidR="00A9409C" w:rsidRPr="00AD2AEF" w:rsidRDefault="00A9409C" w:rsidP="00094F6F">
            <w:pPr>
              <w:spacing w:after="0" w:line="240" w:lineRule="auto"/>
              <w:jc w:val="center"/>
              <w:rPr>
                <w:rFonts w:ascii="Times New Roman" w:hAnsi="Times New Roman"/>
                <w:b/>
                <w:sz w:val="24"/>
                <w:szCs w:val="24"/>
              </w:rPr>
            </w:pPr>
            <w:r w:rsidRPr="00AD2AEF">
              <w:rPr>
                <w:rFonts w:ascii="Times New Roman" w:hAnsi="Times New Roman"/>
                <w:color w:val="000000"/>
                <w:sz w:val="24"/>
                <w:szCs w:val="24"/>
              </w:rPr>
              <w:t>48</w:t>
            </w:r>
          </w:p>
        </w:tc>
        <w:tc>
          <w:tcPr>
            <w:tcW w:w="1422"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bottom"/>
          </w:tcPr>
          <w:p w14:paraId="31447791" w14:textId="77777777" w:rsidR="00A9409C" w:rsidRPr="00AD2AEF" w:rsidRDefault="00A9409C" w:rsidP="00094F6F">
            <w:pPr>
              <w:spacing w:after="0" w:line="240" w:lineRule="auto"/>
              <w:jc w:val="center"/>
              <w:rPr>
                <w:rFonts w:ascii="Times New Roman" w:hAnsi="Times New Roman"/>
                <w:b/>
                <w:sz w:val="24"/>
                <w:szCs w:val="24"/>
              </w:rPr>
            </w:pPr>
            <w:r w:rsidRPr="00AD2AEF">
              <w:rPr>
                <w:rFonts w:ascii="Times New Roman" w:hAnsi="Times New Roman"/>
                <w:color w:val="000000"/>
                <w:sz w:val="24"/>
                <w:szCs w:val="24"/>
              </w:rPr>
              <w:t>73</w:t>
            </w:r>
          </w:p>
        </w:tc>
      </w:tr>
      <w:tr w:rsidR="00A9409C" w:rsidRPr="00F1144D" w14:paraId="57D5291E" w14:textId="77777777" w:rsidTr="00094F6F">
        <w:trPr>
          <w:trHeight w:val="340"/>
          <w:jc w:val="center"/>
        </w:trPr>
        <w:tc>
          <w:tcPr>
            <w:tcW w:w="1405" w:type="dxa"/>
            <w:vMerge/>
            <w:vAlign w:val="center"/>
          </w:tcPr>
          <w:p w14:paraId="190EB19D" w14:textId="77777777" w:rsidR="00A9409C" w:rsidRPr="00F1144D" w:rsidRDefault="00A9409C" w:rsidP="00094F6F">
            <w:pPr>
              <w:spacing w:after="0" w:line="240" w:lineRule="auto"/>
              <w:jc w:val="center"/>
              <w:rPr>
                <w:rFonts w:ascii="Times New Roman" w:hAnsi="Times New Roman"/>
                <w:sz w:val="24"/>
                <w:szCs w:val="24"/>
              </w:rPr>
            </w:pPr>
          </w:p>
        </w:tc>
        <w:tc>
          <w:tcPr>
            <w:tcW w:w="1529" w:type="dxa"/>
            <w:tcBorders>
              <w:top w:val="single" w:sz="12" w:space="0" w:color="auto"/>
            </w:tcBorders>
            <w:vAlign w:val="center"/>
          </w:tcPr>
          <w:p w14:paraId="63C0A2C8"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417" w:type="dxa"/>
            <w:tcBorders>
              <w:top w:val="single" w:sz="12" w:space="0" w:color="auto"/>
            </w:tcBorders>
            <w:vAlign w:val="bottom"/>
          </w:tcPr>
          <w:p w14:paraId="7031CF2F"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5,48</w:t>
            </w:r>
            <w:r>
              <w:rPr>
                <w:rFonts w:ascii="Times New Roman" w:hAnsi="Times New Roman"/>
                <w:color w:val="000000"/>
                <w:sz w:val="24"/>
                <w:szCs w:val="24"/>
              </w:rPr>
              <w:t>%</w:t>
            </w:r>
          </w:p>
        </w:tc>
        <w:tc>
          <w:tcPr>
            <w:tcW w:w="1417" w:type="dxa"/>
            <w:tcBorders>
              <w:top w:val="single" w:sz="12" w:space="0" w:color="auto"/>
            </w:tcBorders>
            <w:vAlign w:val="bottom"/>
          </w:tcPr>
          <w:p w14:paraId="41E639EE"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28,77</w:t>
            </w:r>
            <w:r>
              <w:rPr>
                <w:rFonts w:ascii="Times New Roman" w:hAnsi="Times New Roman"/>
                <w:color w:val="000000"/>
                <w:sz w:val="24"/>
                <w:szCs w:val="24"/>
              </w:rPr>
              <w:t>%</w:t>
            </w:r>
          </w:p>
        </w:tc>
        <w:tc>
          <w:tcPr>
            <w:tcW w:w="1418" w:type="dxa"/>
            <w:tcBorders>
              <w:top w:val="single" w:sz="12" w:space="0" w:color="auto"/>
            </w:tcBorders>
            <w:vAlign w:val="bottom"/>
          </w:tcPr>
          <w:p w14:paraId="3849430B"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65,75</w:t>
            </w:r>
            <w:r>
              <w:rPr>
                <w:rFonts w:ascii="Times New Roman" w:hAnsi="Times New Roman"/>
                <w:color w:val="000000"/>
                <w:sz w:val="24"/>
                <w:szCs w:val="24"/>
              </w:rPr>
              <w:t>%</w:t>
            </w:r>
          </w:p>
        </w:tc>
        <w:tc>
          <w:tcPr>
            <w:tcW w:w="1422" w:type="dxa"/>
            <w:tcBorders>
              <w:top w:val="single" w:sz="12" w:space="0" w:color="auto"/>
            </w:tcBorders>
            <w:vAlign w:val="bottom"/>
          </w:tcPr>
          <w:p w14:paraId="6D9DBFD4"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100,00</w:t>
            </w:r>
            <w:r>
              <w:rPr>
                <w:rFonts w:ascii="Times New Roman" w:hAnsi="Times New Roman"/>
                <w:color w:val="000000"/>
                <w:sz w:val="24"/>
                <w:szCs w:val="24"/>
              </w:rPr>
              <w:t>%</w:t>
            </w:r>
          </w:p>
        </w:tc>
      </w:tr>
      <w:tr w:rsidR="00A9409C" w:rsidRPr="00F1144D" w14:paraId="5B395753" w14:textId="77777777" w:rsidTr="00094F6F">
        <w:trPr>
          <w:trHeight w:val="340"/>
          <w:jc w:val="center"/>
        </w:trPr>
        <w:tc>
          <w:tcPr>
            <w:tcW w:w="1405" w:type="dxa"/>
            <w:vMerge/>
            <w:vAlign w:val="center"/>
          </w:tcPr>
          <w:p w14:paraId="27973C8A" w14:textId="77777777" w:rsidR="00A9409C" w:rsidRPr="00F1144D" w:rsidRDefault="00A9409C" w:rsidP="00094F6F">
            <w:pPr>
              <w:spacing w:after="0" w:line="240" w:lineRule="auto"/>
              <w:jc w:val="center"/>
              <w:rPr>
                <w:rFonts w:ascii="Times New Roman" w:hAnsi="Times New Roman"/>
                <w:sz w:val="24"/>
                <w:szCs w:val="24"/>
              </w:rPr>
            </w:pPr>
          </w:p>
        </w:tc>
        <w:tc>
          <w:tcPr>
            <w:tcW w:w="1529" w:type="dxa"/>
            <w:tcBorders>
              <w:bottom w:val="single" w:sz="12" w:space="0" w:color="auto"/>
            </w:tcBorders>
            <w:vAlign w:val="center"/>
          </w:tcPr>
          <w:p w14:paraId="6FFA4F66"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417" w:type="dxa"/>
            <w:tcBorders>
              <w:bottom w:val="single" w:sz="12" w:space="0" w:color="auto"/>
            </w:tcBorders>
            <w:vAlign w:val="bottom"/>
          </w:tcPr>
          <w:p w14:paraId="70C4F104"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26,67</w:t>
            </w:r>
            <w:r>
              <w:rPr>
                <w:rFonts w:ascii="Times New Roman" w:hAnsi="Times New Roman"/>
                <w:color w:val="000000"/>
                <w:sz w:val="24"/>
                <w:szCs w:val="24"/>
              </w:rPr>
              <w:t>%</w:t>
            </w:r>
          </w:p>
        </w:tc>
        <w:tc>
          <w:tcPr>
            <w:tcW w:w="1417" w:type="dxa"/>
            <w:tcBorders>
              <w:bottom w:val="single" w:sz="12" w:space="0" w:color="auto"/>
            </w:tcBorders>
            <w:vAlign w:val="bottom"/>
          </w:tcPr>
          <w:p w14:paraId="4E5F151F"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55,26</w:t>
            </w:r>
            <w:r>
              <w:rPr>
                <w:rFonts w:ascii="Times New Roman" w:hAnsi="Times New Roman"/>
                <w:color w:val="000000"/>
                <w:sz w:val="24"/>
                <w:szCs w:val="24"/>
              </w:rPr>
              <w:t>%</w:t>
            </w:r>
          </w:p>
        </w:tc>
        <w:tc>
          <w:tcPr>
            <w:tcW w:w="1418" w:type="dxa"/>
            <w:tcBorders>
              <w:bottom w:val="single" w:sz="12" w:space="0" w:color="auto"/>
            </w:tcBorders>
            <w:vAlign w:val="bottom"/>
          </w:tcPr>
          <w:p w14:paraId="30BA2B0B"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49,48</w:t>
            </w:r>
            <w:r>
              <w:rPr>
                <w:rFonts w:ascii="Times New Roman" w:hAnsi="Times New Roman"/>
                <w:color w:val="000000"/>
                <w:sz w:val="24"/>
                <w:szCs w:val="24"/>
              </w:rPr>
              <w:t>%</w:t>
            </w:r>
          </w:p>
        </w:tc>
        <w:tc>
          <w:tcPr>
            <w:tcW w:w="1422" w:type="dxa"/>
            <w:tcBorders>
              <w:bottom w:val="single" w:sz="12" w:space="0" w:color="auto"/>
            </w:tcBorders>
            <w:vAlign w:val="bottom"/>
          </w:tcPr>
          <w:p w14:paraId="7112043C"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48,67</w:t>
            </w:r>
            <w:r>
              <w:rPr>
                <w:rFonts w:ascii="Times New Roman" w:hAnsi="Times New Roman"/>
                <w:color w:val="000000"/>
                <w:sz w:val="24"/>
                <w:szCs w:val="24"/>
              </w:rPr>
              <w:t>%</w:t>
            </w:r>
          </w:p>
        </w:tc>
      </w:tr>
      <w:tr w:rsidR="00A9409C" w:rsidRPr="00F1144D" w14:paraId="291CCEF0" w14:textId="77777777" w:rsidTr="00094F6F">
        <w:trPr>
          <w:trHeight w:val="340"/>
          <w:jc w:val="center"/>
        </w:trPr>
        <w:tc>
          <w:tcPr>
            <w:tcW w:w="1405" w:type="dxa"/>
            <w:vMerge w:val="restart"/>
            <w:tcBorders>
              <w:right w:val="single" w:sz="12" w:space="0" w:color="auto"/>
            </w:tcBorders>
            <w:vAlign w:val="center"/>
          </w:tcPr>
          <w:p w14:paraId="41D7E9C9" w14:textId="77777777" w:rsidR="00A9409C" w:rsidRPr="00F1144D" w:rsidRDefault="00A9409C" w:rsidP="00094F6F">
            <w:pPr>
              <w:spacing w:after="0" w:line="240" w:lineRule="auto"/>
              <w:jc w:val="center"/>
              <w:rPr>
                <w:rFonts w:ascii="Times New Roman" w:hAnsi="Times New Roman"/>
                <w:b/>
                <w:sz w:val="24"/>
                <w:szCs w:val="24"/>
                <w:lang w:val="en-US"/>
              </w:rPr>
            </w:pPr>
            <w:r w:rsidRPr="00F1144D">
              <w:rPr>
                <w:rFonts w:ascii="Times New Roman" w:hAnsi="Times New Roman"/>
                <w:b/>
                <w:sz w:val="24"/>
                <w:szCs w:val="24"/>
              </w:rPr>
              <w:t>Всего</w:t>
            </w:r>
          </w:p>
        </w:tc>
        <w:tc>
          <w:tcPr>
            <w:tcW w:w="152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1330ADAC"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bottom"/>
          </w:tcPr>
          <w:p w14:paraId="4D83574E" w14:textId="77777777" w:rsidR="00A9409C" w:rsidRPr="00AD2AEF" w:rsidRDefault="00A9409C" w:rsidP="00094F6F">
            <w:pPr>
              <w:spacing w:after="0" w:line="240" w:lineRule="auto"/>
              <w:jc w:val="center"/>
              <w:rPr>
                <w:rFonts w:ascii="Times New Roman" w:hAnsi="Times New Roman"/>
                <w:b/>
                <w:sz w:val="24"/>
                <w:szCs w:val="24"/>
              </w:rPr>
            </w:pPr>
            <w:r w:rsidRPr="00AD2AEF">
              <w:rPr>
                <w:rFonts w:ascii="Times New Roman" w:hAnsi="Times New Roman"/>
                <w:color w:val="000000"/>
                <w:sz w:val="24"/>
                <w:szCs w:val="24"/>
              </w:rPr>
              <w:t>15</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bottom"/>
          </w:tcPr>
          <w:p w14:paraId="42B9318A" w14:textId="77777777" w:rsidR="00A9409C" w:rsidRPr="00AD2AEF" w:rsidRDefault="00A9409C" w:rsidP="00094F6F">
            <w:pPr>
              <w:spacing w:after="0" w:line="240" w:lineRule="auto"/>
              <w:jc w:val="center"/>
              <w:rPr>
                <w:rFonts w:ascii="Times New Roman" w:hAnsi="Times New Roman"/>
                <w:b/>
                <w:sz w:val="24"/>
                <w:szCs w:val="24"/>
              </w:rPr>
            </w:pPr>
            <w:r w:rsidRPr="00AD2AEF">
              <w:rPr>
                <w:rFonts w:ascii="Times New Roman" w:hAnsi="Times New Roman"/>
                <w:color w:val="000000"/>
                <w:sz w:val="24"/>
                <w:szCs w:val="24"/>
              </w:rPr>
              <w:t>38</w:t>
            </w:r>
          </w:p>
        </w:tc>
        <w:tc>
          <w:tcPr>
            <w:tcW w:w="141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bottom"/>
          </w:tcPr>
          <w:p w14:paraId="55AE4BAE" w14:textId="77777777" w:rsidR="00A9409C" w:rsidRPr="00AD2AEF" w:rsidRDefault="00A9409C" w:rsidP="00094F6F">
            <w:pPr>
              <w:spacing w:after="0" w:line="240" w:lineRule="auto"/>
              <w:jc w:val="center"/>
              <w:rPr>
                <w:rFonts w:ascii="Times New Roman" w:hAnsi="Times New Roman"/>
                <w:b/>
                <w:sz w:val="24"/>
                <w:szCs w:val="24"/>
              </w:rPr>
            </w:pPr>
            <w:r w:rsidRPr="00AD2AEF">
              <w:rPr>
                <w:rFonts w:ascii="Times New Roman" w:hAnsi="Times New Roman"/>
                <w:color w:val="000000"/>
                <w:sz w:val="24"/>
                <w:szCs w:val="24"/>
              </w:rPr>
              <w:t>97</w:t>
            </w:r>
          </w:p>
        </w:tc>
        <w:tc>
          <w:tcPr>
            <w:tcW w:w="1422"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bottom"/>
          </w:tcPr>
          <w:p w14:paraId="1A9A362B" w14:textId="77777777" w:rsidR="00A9409C" w:rsidRPr="00AD2AEF" w:rsidRDefault="00A9409C" w:rsidP="00094F6F">
            <w:pPr>
              <w:spacing w:after="0" w:line="240" w:lineRule="auto"/>
              <w:jc w:val="center"/>
              <w:rPr>
                <w:rFonts w:ascii="Times New Roman" w:hAnsi="Times New Roman"/>
                <w:b/>
                <w:sz w:val="24"/>
                <w:szCs w:val="24"/>
              </w:rPr>
            </w:pPr>
            <w:r w:rsidRPr="00AD2AEF">
              <w:rPr>
                <w:rFonts w:ascii="Times New Roman" w:hAnsi="Times New Roman"/>
                <w:color w:val="000000"/>
                <w:sz w:val="24"/>
                <w:szCs w:val="24"/>
              </w:rPr>
              <w:t>150</w:t>
            </w:r>
          </w:p>
        </w:tc>
      </w:tr>
      <w:tr w:rsidR="00A9409C" w:rsidRPr="00F1144D" w14:paraId="01463FB7" w14:textId="77777777" w:rsidTr="00094F6F">
        <w:trPr>
          <w:trHeight w:val="340"/>
          <w:jc w:val="center"/>
        </w:trPr>
        <w:tc>
          <w:tcPr>
            <w:tcW w:w="1405" w:type="dxa"/>
            <w:vMerge/>
            <w:tcBorders>
              <w:right w:val="single" w:sz="12" w:space="0" w:color="auto"/>
            </w:tcBorders>
            <w:vAlign w:val="center"/>
          </w:tcPr>
          <w:p w14:paraId="513B9352" w14:textId="77777777" w:rsidR="00A9409C" w:rsidRPr="00F1144D" w:rsidRDefault="00A9409C" w:rsidP="00094F6F">
            <w:pPr>
              <w:spacing w:after="0" w:line="240" w:lineRule="auto"/>
              <w:jc w:val="center"/>
              <w:rPr>
                <w:rFonts w:ascii="Times New Roman" w:hAnsi="Times New Roman"/>
                <w:sz w:val="24"/>
                <w:szCs w:val="24"/>
              </w:rPr>
            </w:pPr>
          </w:p>
        </w:tc>
        <w:tc>
          <w:tcPr>
            <w:tcW w:w="1529" w:type="dxa"/>
            <w:tcBorders>
              <w:top w:val="single" w:sz="12" w:space="0" w:color="auto"/>
              <w:left w:val="single" w:sz="12" w:space="0" w:color="auto"/>
            </w:tcBorders>
            <w:vAlign w:val="center"/>
          </w:tcPr>
          <w:p w14:paraId="758F8B39"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417" w:type="dxa"/>
            <w:tcBorders>
              <w:top w:val="single" w:sz="12" w:space="0" w:color="auto"/>
            </w:tcBorders>
            <w:vAlign w:val="bottom"/>
          </w:tcPr>
          <w:p w14:paraId="1EDD1321"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10,00</w:t>
            </w:r>
            <w:r>
              <w:rPr>
                <w:rFonts w:ascii="Times New Roman" w:hAnsi="Times New Roman"/>
                <w:color w:val="000000"/>
                <w:sz w:val="24"/>
                <w:szCs w:val="24"/>
              </w:rPr>
              <w:t>%</w:t>
            </w:r>
          </w:p>
        </w:tc>
        <w:tc>
          <w:tcPr>
            <w:tcW w:w="1417" w:type="dxa"/>
            <w:tcBorders>
              <w:top w:val="single" w:sz="12" w:space="0" w:color="auto"/>
            </w:tcBorders>
            <w:vAlign w:val="bottom"/>
          </w:tcPr>
          <w:p w14:paraId="22339190"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25,33</w:t>
            </w:r>
            <w:r>
              <w:rPr>
                <w:rFonts w:ascii="Times New Roman" w:hAnsi="Times New Roman"/>
                <w:color w:val="000000"/>
                <w:sz w:val="24"/>
                <w:szCs w:val="24"/>
              </w:rPr>
              <w:t>%</w:t>
            </w:r>
          </w:p>
        </w:tc>
        <w:tc>
          <w:tcPr>
            <w:tcW w:w="1418" w:type="dxa"/>
            <w:tcBorders>
              <w:top w:val="single" w:sz="12" w:space="0" w:color="auto"/>
            </w:tcBorders>
            <w:vAlign w:val="bottom"/>
          </w:tcPr>
          <w:p w14:paraId="2F63FA1C"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64,67</w:t>
            </w:r>
            <w:r>
              <w:rPr>
                <w:rFonts w:ascii="Times New Roman" w:hAnsi="Times New Roman"/>
                <w:color w:val="000000"/>
                <w:sz w:val="24"/>
                <w:szCs w:val="24"/>
              </w:rPr>
              <w:t>%</w:t>
            </w:r>
          </w:p>
        </w:tc>
        <w:tc>
          <w:tcPr>
            <w:tcW w:w="1422" w:type="dxa"/>
            <w:tcBorders>
              <w:top w:val="single" w:sz="12" w:space="0" w:color="auto"/>
            </w:tcBorders>
            <w:vAlign w:val="bottom"/>
          </w:tcPr>
          <w:p w14:paraId="297ED1E0"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100,00</w:t>
            </w:r>
            <w:r>
              <w:rPr>
                <w:rFonts w:ascii="Times New Roman" w:hAnsi="Times New Roman"/>
                <w:color w:val="000000"/>
                <w:sz w:val="24"/>
                <w:szCs w:val="24"/>
              </w:rPr>
              <w:t>%</w:t>
            </w:r>
          </w:p>
        </w:tc>
      </w:tr>
      <w:tr w:rsidR="00A9409C" w:rsidRPr="00F1144D" w14:paraId="302A0FE4" w14:textId="77777777" w:rsidTr="00094F6F">
        <w:trPr>
          <w:trHeight w:val="340"/>
          <w:jc w:val="center"/>
        </w:trPr>
        <w:tc>
          <w:tcPr>
            <w:tcW w:w="1405" w:type="dxa"/>
            <w:vMerge/>
            <w:tcBorders>
              <w:right w:val="single" w:sz="12" w:space="0" w:color="auto"/>
            </w:tcBorders>
            <w:vAlign w:val="center"/>
          </w:tcPr>
          <w:p w14:paraId="7F0711F0" w14:textId="77777777" w:rsidR="00A9409C" w:rsidRPr="00F1144D" w:rsidRDefault="00A9409C" w:rsidP="00094F6F">
            <w:pPr>
              <w:spacing w:after="0" w:line="240" w:lineRule="auto"/>
              <w:jc w:val="center"/>
              <w:rPr>
                <w:rFonts w:ascii="Times New Roman" w:hAnsi="Times New Roman"/>
                <w:sz w:val="24"/>
                <w:szCs w:val="24"/>
              </w:rPr>
            </w:pPr>
          </w:p>
        </w:tc>
        <w:tc>
          <w:tcPr>
            <w:tcW w:w="1529" w:type="dxa"/>
            <w:tcBorders>
              <w:left w:val="single" w:sz="12" w:space="0" w:color="auto"/>
            </w:tcBorders>
            <w:vAlign w:val="center"/>
          </w:tcPr>
          <w:p w14:paraId="4D4828D0"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417" w:type="dxa"/>
            <w:vAlign w:val="bottom"/>
          </w:tcPr>
          <w:p w14:paraId="645285E8"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100,00</w:t>
            </w:r>
            <w:r>
              <w:rPr>
                <w:rFonts w:ascii="Times New Roman" w:hAnsi="Times New Roman"/>
                <w:color w:val="000000"/>
                <w:sz w:val="24"/>
                <w:szCs w:val="24"/>
              </w:rPr>
              <w:t>%</w:t>
            </w:r>
          </w:p>
        </w:tc>
        <w:tc>
          <w:tcPr>
            <w:tcW w:w="1417" w:type="dxa"/>
            <w:vAlign w:val="bottom"/>
          </w:tcPr>
          <w:p w14:paraId="4CE80706"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100,00</w:t>
            </w:r>
            <w:r>
              <w:rPr>
                <w:rFonts w:ascii="Times New Roman" w:hAnsi="Times New Roman"/>
                <w:color w:val="000000"/>
                <w:sz w:val="24"/>
                <w:szCs w:val="24"/>
              </w:rPr>
              <w:t>%</w:t>
            </w:r>
          </w:p>
        </w:tc>
        <w:tc>
          <w:tcPr>
            <w:tcW w:w="1418" w:type="dxa"/>
            <w:vAlign w:val="bottom"/>
          </w:tcPr>
          <w:p w14:paraId="7C6240AD"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100,00</w:t>
            </w:r>
            <w:r>
              <w:rPr>
                <w:rFonts w:ascii="Times New Roman" w:hAnsi="Times New Roman"/>
                <w:color w:val="000000"/>
                <w:sz w:val="24"/>
                <w:szCs w:val="24"/>
              </w:rPr>
              <w:t>%</w:t>
            </w:r>
          </w:p>
        </w:tc>
        <w:tc>
          <w:tcPr>
            <w:tcW w:w="1422" w:type="dxa"/>
            <w:vAlign w:val="bottom"/>
          </w:tcPr>
          <w:p w14:paraId="60582255" w14:textId="77777777" w:rsidR="00A9409C" w:rsidRPr="00AD2AEF" w:rsidRDefault="00A9409C" w:rsidP="00094F6F">
            <w:pPr>
              <w:spacing w:after="0" w:line="240" w:lineRule="auto"/>
              <w:jc w:val="center"/>
              <w:rPr>
                <w:rFonts w:ascii="Times New Roman" w:hAnsi="Times New Roman"/>
                <w:sz w:val="24"/>
                <w:szCs w:val="24"/>
              </w:rPr>
            </w:pPr>
            <w:r w:rsidRPr="00AD2AEF">
              <w:rPr>
                <w:rFonts w:ascii="Times New Roman" w:hAnsi="Times New Roman"/>
                <w:color w:val="000000"/>
                <w:sz w:val="24"/>
                <w:szCs w:val="24"/>
              </w:rPr>
              <w:t>100,00</w:t>
            </w:r>
            <w:r>
              <w:rPr>
                <w:rFonts w:ascii="Times New Roman" w:hAnsi="Times New Roman"/>
                <w:color w:val="000000"/>
                <w:sz w:val="24"/>
                <w:szCs w:val="24"/>
              </w:rPr>
              <w:t>%</w:t>
            </w:r>
          </w:p>
        </w:tc>
      </w:tr>
    </w:tbl>
    <w:p w14:paraId="58B05EB7" w14:textId="77777777" w:rsidR="00A9409C" w:rsidRDefault="00A9409C" w:rsidP="00A9409C">
      <w:pPr>
        <w:spacing w:after="0" w:line="240" w:lineRule="auto"/>
        <w:ind w:firstLine="567"/>
        <w:jc w:val="both"/>
        <w:rPr>
          <w:rFonts w:ascii="Times New Roman" w:hAnsi="Times New Roman"/>
          <w:sz w:val="28"/>
          <w:szCs w:val="28"/>
        </w:rPr>
      </w:pPr>
    </w:p>
    <w:p w14:paraId="012E77DD" w14:textId="77777777" w:rsidR="00A9409C" w:rsidRPr="00F1144D" w:rsidRDefault="00A9409C" w:rsidP="00A9409C">
      <w:pPr>
        <w:spacing w:after="0" w:line="240" w:lineRule="auto"/>
        <w:ind w:firstLine="567"/>
        <w:jc w:val="both"/>
        <w:rPr>
          <w:rFonts w:ascii="Times New Roman" w:hAnsi="Times New Roman"/>
          <w:sz w:val="28"/>
          <w:szCs w:val="28"/>
        </w:rPr>
      </w:pPr>
    </w:p>
    <w:p w14:paraId="6EB9038B" w14:textId="77777777" w:rsidR="00A9409C" w:rsidRPr="00F1144D" w:rsidRDefault="00A9409C" w:rsidP="00A9409C">
      <w:pPr>
        <w:spacing w:after="0" w:line="240" w:lineRule="auto"/>
        <w:jc w:val="both"/>
        <w:rPr>
          <w:rFonts w:ascii="Times New Roman" w:hAnsi="Times New Roman"/>
          <w:sz w:val="28"/>
          <w:szCs w:val="28"/>
        </w:rPr>
      </w:pPr>
      <w:r w:rsidRPr="00F1144D">
        <w:rPr>
          <w:rFonts w:ascii="Times New Roman" w:hAnsi="Times New Roman"/>
          <w:sz w:val="28"/>
          <w:szCs w:val="28"/>
        </w:rPr>
        <w:t xml:space="preserve">Таблица </w:t>
      </w:r>
      <w:r>
        <w:rPr>
          <w:rFonts w:ascii="Times New Roman" w:hAnsi="Times New Roman"/>
          <w:sz w:val="28"/>
          <w:szCs w:val="28"/>
        </w:rPr>
        <w:t>1</w:t>
      </w:r>
      <w:r w:rsidRPr="00870ADF">
        <w:rPr>
          <w:rFonts w:ascii="Times New Roman" w:hAnsi="Times New Roman"/>
          <w:sz w:val="28"/>
          <w:szCs w:val="28"/>
        </w:rPr>
        <w:t>8</w:t>
      </w:r>
      <w:r w:rsidRPr="00F1144D">
        <w:rPr>
          <w:rFonts w:ascii="Times New Roman" w:hAnsi="Times New Roman"/>
          <w:sz w:val="28"/>
          <w:szCs w:val="28"/>
        </w:rPr>
        <w:t xml:space="preserve"> – Оценка связи между факторным (</w:t>
      </w:r>
      <w:r>
        <w:rPr>
          <w:rFonts w:ascii="Times New Roman" w:hAnsi="Times New Roman"/>
          <w:sz w:val="28"/>
          <w:szCs w:val="28"/>
        </w:rPr>
        <w:t>пол</w:t>
      </w:r>
      <w:r w:rsidRPr="00F1144D">
        <w:rPr>
          <w:rFonts w:ascii="Times New Roman" w:hAnsi="Times New Roman"/>
          <w:sz w:val="28"/>
          <w:szCs w:val="28"/>
        </w:rPr>
        <w:t>) и результативным (</w:t>
      </w:r>
      <w:r>
        <w:rPr>
          <w:rFonts w:ascii="Times New Roman" w:hAnsi="Times New Roman"/>
          <w:sz w:val="28"/>
          <w:szCs w:val="28"/>
        </w:rPr>
        <w:t>функциональная недостаточность</w:t>
      </w:r>
      <w:r w:rsidRPr="00F1144D">
        <w:rPr>
          <w:rFonts w:ascii="Times New Roman" w:hAnsi="Times New Roman"/>
          <w:sz w:val="28"/>
          <w:szCs w:val="28"/>
        </w:rPr>
        <w:t>) признаками у исследуемых больных</w:t>
      </w:r>
    </w:p>
    <w:p w14:paraId="4AC9D66B" w14:textId="77777777" w:rsidR="00A9409C" w:rsidRPr="00F1144D" w:rsidRDefault="00A9409C" w:rsidP="00A9409C">
      <w:pPr>
        <w:spacing w:after="0" w:line="240" w:lineRule="auto"/>
        <w:ind w:firstLine="567"/>
        <w:jc w:val="both"/>
        <w:rPr>
          <w:rFonts w:ascii="Times New Roman" w:hAnsi="Times New Roman"/>
          <w:sz w:val="28"/>
          <w:szCs w:val="28"/>
        </w:rPr>
      </w:pPr>
    </w:p>
    <w:tbl>
      <w:tblPr>
        <w:tblStyle w:val="af1"/>
        <w:tblW w:w="9354" w:type="dxa"/>
        <w:jc w:val="center"/>
        <w:tblLook w:val="04A0" w:firstRow="1" w:lastRow="0" w:firstColumn="1" w:lastColumn="0" w:noHBand="0" w:noVBand="1"/>
      </w:tblPr>
      <w:tblGrid>
        <w:gridCol w:w="2268"/>
        <w:gridCol w:w="1701"/>
        <w:gridCol w:w="1984"/>
        <w:gridCol w:w="1984"/>
        <w:gridCol w:w="1417"/>
      </w:tblGrid>
      <w:tr w:rsidR="00A9409C" w:rsidRPr="00F1144D" w14:paraId="6BF0D35B" w14:textId="77777777" w:rsidTr="00094F6F">
        <w:trPr>
          <w:trHeight w:val="340"/>
          <w:jc w:val="center"/>
        </w:trPr>
        <w:tc>
          <w:tcPr>
            <w:tcW w:w="3969" w:type="dxa"/>
            <w:gridSpan w:val="2"/>
            <w:vMerge w:val="restart"/>
            <w:vAlign w:val="center"/>
          </w:tcPr>
          <w:p w14:paraId="3C33B40B"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Факторный признак</w:t>
            </w:r>
          </w:p>
          <w:p w14:paraId="268ED66D" w14:textId="77777777" w:rsidR="00A9409C" w:rsidRPr="000D17BF"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пол</w:t>
            </w:r>
            <w:proofErr w:type="gramEnd"/>
          </w:p>
        </w:tc>
        <w:tc>
          <w:tcPr>
            <w:tcW w:w="3968" w:type="dxa"/>
            <w:gridSpan w:val="2"/>
            <w:vAlign w:val="center"/>
          </w:tcPr>
          <w:p w14:paraId="50C4D190"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Результативный признак</w:t>
            </w:r>
          </w:p>
          <w:p w14:paraId="29A86378" w14:textId="77777777" w:rsidR="00A9409C" w:rsidRPr="00F1144D" w:rsidRDefault="00A9409C" w:rsidP="00094F6F">
            <w:pPr>
              <w:spacing w:after="0" w:line="240" w:lineRule="auto"/>
              <w:jc w:val="center"/>
              <w:rPr>
                <w:rFonts w:ascii="Times New Roman" w:hAnsi="Times New Roman"/>
                <w:i/>
                <w:sz w:val="24"/>
                <w:szCs w:val="24"/>
              </w:rPr>
            </w:pPr>
            <w:r>
              <w:rPr>
                <w:rFonts w:ascii="Times New Roman" w:hAnsi="Times New Roman"/>
                <w:i/>
                <w:sz w:val="24"/>
                <w:szCs w:val="24"/>
              </w:rPr>
              <w:t>Функциональная недостаточность</w:t>
            </w:r>
          </w:p>
        </w:tc>
        <w:tc>
          <w:tcPr>
            <w:tcW w:w="1417" w:type="dxa"/>
            <w:vMerge w:val="restart"/>
            <w:vAlign w:val="center"/>
          </w:tcPr>
          <w:p w14:paraId="3BFCCA7C"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Итого</w:t>
            </w:r>
          </w:p>
        </w:tc>
      </w:tr>
      <w:tr w:rsidR="00A9409C" w:rsidRPr="00F1144D" w14:paraId="1A78FB46" w14:textId="77777777" w:rsidTr="00094F6F">
        <w:trPr>
          <w:trHeight w:val="340"/>
          <w:jc w:val="center"/>
        </w:trPr>
        <w:tc>
          <w:tcPr>
            <w:tcW w:w="3969" w:type="dxa"/>
            <w:gridSpan w:val="2"/>
            <w:vMerge/>
            <w:vAlign w:val="center"/>
          </w:tcPr>
          <w:p w14:paraId="10E941DF" w14:textId="77777777" w:rsidR="00A9409C" w:rsidRPr="00F1144D" w:rsidRDefault="00A9409C" w:rsidP="00094F6F">
            <w:pPr>
              <w:spacing w:after="0" w:line="240" w:lineRule="auto"/>
              <w:jc w:val="center"/>
              <w:rPr>
                <w:rFonts w:ascii="Times New Roman" w:hAnsi="Times New Roman"/>
                <w:sz w:val="24"/>
                <w:szCs w:val="24"/>
              </w:rPr>
            </w:pPr>
          </w:p>
        </w:tc>
        <w:tc>
          <w:tcPr>
            <w:tcW w:w="1984" w:type="dxa"/>
            <w:tcBorders>
              <w:bottom w:val="single" w:sz="12" w:space="0" w:color="auto"/>
            </w:tcBorders>
            <w:vAlign w:val="center"/>
          </w:tcPr>
          <w:p w14:paraId="5F90CC92"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есть</w:t>
            </w:r>
            <w:proofErr w:type="gramEnd"/>
          </w:p>
        </w:tc>
        <w:tc>
          <w:tcPr>
            <w:tcW w:w="1984" w:type="dxa"/>
            <w:vAlign w:val="center"/>
          </w:tcPr>
          <w:p w14:paraId="5104DE98"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нет</w:t>
            </w:r>
            <w:proofErr w:type="gramEnd"/>
          </w:p>
        </w:tc>
        <w:tc>
          <w:tcPr>
            <w:tcW w:w="1417" w:type="dxa"/>
            <w:vMerge/>
            <w:vAlign w:val="center"/>
          </w:tcPr>
          <w:p w14:paraId="42DC5A17" w14:textId="77777777" w:rsidR="00A9409C" w:rsidRPr="00F1144D" w:rsidRDefault="00A9409C" w:rsidP="00094F6F">
            <w:pPr>
              <w:spacing w:after="0" w:line="240" w:lineRule="auto"/>
              <w:jc w:val="center"/>
              <w:rPr>
                <w:rFonts w:ascii="Times New Roman" w:hAnsi="Times New Roman"/>
                <w:sz w:val="24"/>
                <w:szCs w:val="24"/>
              </w:rPr>
            </w:pPr>
          </w:p>
        </w:tc>
      </w:tr>
      <w:tr w:rsidR="00A9409C" w:rsidRPr="00F1144D" w14:paraId="37FD352E" w14:textId="77777777" w:rsidTr="00094F6F">
        <w:trPr>
          <w:trHeight w:val="340"/>
          <w:jc w:val="center"/>
        </w:trPr>
        <w:tc>
          <w:tcPr>
            <w:tcW w:w="2268" w:type="dxa"/>
            <w:vMerge w:val="restart"/>
            <w:tcBorders>
              <w:right w:val="single" w:sz="12" w:space="0" w:color="auto"/>
            </w:tcBorders>
            <w:vAlign w:val="center"/>
          </w:tcPr>
          <w:p w14:paraId="2E4C7AE2"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мужчины</w:t>
            </w:r>
            <w:proofErr w:type="gramEnd"/>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4712EA65"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BB70AAB"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35</w:t>
            </w:r>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78212420"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42</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2A73CFF2"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77</w:t>
            </w:r>
          </w:p>
        </w:tc>
      </w:tr>
      <w:tr w:rsidR="00A9409C" w:rsidRPr="00F1144D" w14:paraId="479D8241" w14:textId="77777777" w:rsidTr="00094F6F">
        <w:trPr>
          <w:trHeight w:val="340"/>
          <w:jc w:val="center"/>
        </w:trPr>
        <w:tc>
          <w:tcPr>
            <w:tcW w:w="2268" w:type="dxa"/>
            <w:vMerge/>
            <w:vAlign w:val="center"/>
          </w:tcPr>
          <w:p w14:paraId="07EDFD61" w14:textId="77777777" w:rsidR="00A9409C" w:rsidRPr="00F1144D" w:rsidRDefault="00A9409C" w:rsidP="00094F6F">
            <w:pPr>
              <w:spacing w:after="0" w:line="240" w:lineRule="auto"/>
              <w:jc w:val="center"/>
              <w:rPr>
                <w:rFonts w:ascii="Times New Roman" w:hAnsi="Times New Roman"/>
                <w:i/>
                <w:sz w:val="24"/>
                <w:szCs w:val="24"/>
              </w:rPr>
            </w:pPr>
          </w:p>
        </w:tc>
        <w:tc>
          <w:tcPr>
            <w:tcW w:w="1701" w:type="dxa"/>
            <w:tcBorders>
              <w:top w:val="single" w:sz="12" w:space="0" w:color="auto"/>
            </w:tcBorders>
            <w:vAlign w:val="center"/>
          </w:tcPr>
          <w:p w14:paraId="501E39A5"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984" w:type="dxa"/>
            <w:tcBorders>
              <w:top w:val="single" w:sz="12" w:space="0" w:color="auto"/>
            </w:tcBorders>
            <w:vAlign w:val="center"/>
          </w:tcPr>
          <w:p w14:paraId="32964CC1"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45,45</w:t>
            </w:r>
            <w:r w:rsidRPr="00F1144D">
              <w:rPr>
                <w:rFonts w:ascii="Times New Roman" w:hAnsi="Times New Roman"/>
              </w:rPr>
              <w:t>%</w:t>
            </w:r>
          </w:p>
        </w:tc>
        <w:tc>
          <w:tcPr>
            <w:tcW w:w="1984" w:type="dxa"/>
            <w:vAlign w:val="center"/>
          </w:tcPr>
          <w:p w14:paraId="4B0B4B79"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54,55</w:t>
            </w:r>
            <w:r w:rsidRPr="00F1144D">
              <w:rPr>
                <w:rFonts w:ascii="Times New Roman" w:hAnsi="Times New Roman"/>
              </w:rPr>
              <w:t>%</w:t>
            </w:r>
          </w:p>
        </w:tc>
        <w:tc>
          <w:tcPr>
            <w:tcW w:w="1417" w:type="dxa"/>
            <w:vAlign w:val="center"/>
          </w:tcPr>
          <w:p w14:paraId="0B5B461D"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r>
      <w:tr w:rsidR="00A9409C" w:rsidRPr="00F1144D" w14:paraId="2FE53CCD" w14:textId="77777777" w:rsidTr="00094F6F">
        <w:trPr>
          <w:trHeight w:val="340"/>
          <w:jc w:val="center"/>
        </w:trPr>
        <w:tc>
          <w:tcPr>
            <w:tcW w:w="2268" w:type="dxa"/>
            <w:vMerge/>
            <w:vAlign w:val="center"/>
          </w:tcPr>
          <w:p w14:paraId="009AC88A" w14:textId="77777777" w:rsidR="00A9409C" w:rsidRPr="00F1144D" w:rsidRDefault="00A9409C" w:rsidP="00094F6F">
            <w:pPr>
              <w:spacing w:after="0" w:line="240" w:lineRule="auto"/>
              <w:jc w:val="center"/>
              <w:rPr>
                <w:rFonts w:ascii="Times New Roman" w:hAnsi="Times New Roman"/>
                <w:i/>
                <w:sz w:val="24"/>
                <w:szCs w:val="24"/>
              </w:rPr>
            </w:pPr>
          </w:p>
        </w:tc>
        <w:tc>
          <w:tcPr>
            <w:tcW w:w="1701" w:type="dxa"/>
            <w:tcBorders>
              <w:bottom w:val="single" w:sz="12" w:space="0" w:color="auto"/>
            </w:tcBorders>
            <w:vAlign w:val="center"/>
          </w:tcPr>
          <w:p w14:paraId="4D0C1034"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984" w:type="dxa"/>
            <w:tcBorders>
              <w:bottom w:val="single" w:sz="12" w:space="0" w:color="auto"/>
            </w:tcBorders>
            <w:vAlign w:val="center"/>
          </w:tcPr>
          <w:p w14:paraId="62D66BF6"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45,45</w:t>
            </w:r>
            <w:r w:rsidRPr="00F1144D">
              <w:rPr>
                <w:rFonts w:ascii="Times New Roman" w:hAnsi="Times New Roman"/>
              </w:rPr>
              <w:t>%</w:t>
            </w:r>
          </w:p>
        </w:tc>
        <w:tc>
          <w:tcPr>
            <w:tcW w:w="1984" w:type="dxa"/>
            <w:tcBorders>
              <w:bottom w:val="single" w:sz="12" w:space="0" w:color="auto"/>
            </w:tcBorders>
            <w:vAlign w:val="center"/>
          </w:tcPr>
          <w:p w14:paraId="56F8B633"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57,53</w:t>
            </w:r>
            <w:r w:rsidRPr="00F1144D">
              <w:rPr>
                <w:rFonts w:ascii="Times New Roman" w:hAnsi="Times New Roman"/>
              </w:rPr>
              <w:t>%</w:t>
            </w:r>
          </w:p>
        </w:tc>
        <w:tc>
          <w:tcPr>
            <w:tcW w:w="1417" w:type="dxa"/>
            <w:tcBorders>
              <w:bottom w:val="single" w:sz="12" w:space="0" w:color="auto"/>
            </w:tcBorders>
            <w:vAlign w:val="center"/>
          </w:tcPr>
          <w:p w14:paraId="1E72A9B5"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51,33%</w:t>
            </w:r>
          </w:p>
        </w:tc>
      </w:tr>
      <w:tr w:rsidR="00A9409C" w:rsidRPr="00F1144D" w14:paraId="257E3F6E" w14:textId="77777777" w:rsidTr="00094F6F">
        <w:trPr>
          <w:trHeight w:val="340"/>
          <w:jc w:val="center"/>
        </w:trPr>
        <w:tc>
          <w:tcPr>
            <w:tcW w:w="2268" w:type="dxa"/>
            <w:vMerge w:val="restart"/>
            <w:tcBorders>
              <w:right w:val="single" w:sz="12" w:space="0" w:color="auto"/>
            </w:tcBorders>
            <w:vAlign w:val="center"/>
          </w:tcPr>
          <w:p w14:paraId="085A5938"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женщины</w:t>
            </w:r>
            <w:proofErr w:type="gramEnd"/>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D1D7D88"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F65891F"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43</w:t>
            </w:r>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54A4560"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30</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7D5448EA"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73</w:t>
            </w:r>
          </w:p>
        </w:tc>
      </w:tr>
      <w:tr w:rsidR="00A9409C" w:rsidRPr="00F1144D" w14:paraId="12165B73" w14:textId="77777777" w:rsidTr="00094F6F">
        <w:trPr>
          <w:trHeight w:val="340"/>
          <w:jc w:val="center"/>
        </w:trPr>
        <w:tc>
          <w:tcPr>
            <w:tcW w:w="2268" w:type="dxa"/>
            <w:vMerge/>
            <w:vAlign w:val="center"/>
          </w:tcPr>
          <w:p w14:paraId="775433B4" w14:textId="77777777" w:rsidR="00A9409C" w:rsidRPr="00F1144D" w:rsidRDefault="00A9409C" w:rsidP="00094F6F">
            <w:pPr>
              <w:spacing w:after="0" w:line="240" w:lineRule="auto"/>
              <w:jc w:val="center"/>
              <w:rPr>
                <w:rFonts w:ascii="Times New Roman" w:hAnsi="Times New Roman"/>
                <w:sz w:val="24"/>
                <w:szCs w:val="24"/>
              </w:rPr>
            </w:pPr>
          </w:p>
        </w:tc>
        <w:tc>
          <w:tcPr>
            <w:tcW w:w="1701" w:type="dxa"/>
            <w:tcBorders>
              <w:top w:val="single" w:sz="12" w:space="0" w:color="auto"/>
            </w:tcBorders>
            <w:vAlign w:val="center"/>
          </w:tcPr>
          <w:p w14:paraId="74506AF0"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984" w:type="dxa"/>
            <w:tcBorders>
              <w:top w:val="single" w:sz="12" w:space="0" w:color="auto"/>
            </w:tcBorders>
            <w:vAlign w:val="center"/>
          </w:tcPr>
          <w:p w14:paraId="4C235E6A"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57,53</w:t>
            </w:r>
            <w:r w:rsidRPr="00F1144D">
              <w:rPr>
                <w:rFonts w:ascii="Times New Roman" w:hAnsi="Times New Roman"/>
              </w:rPr>
              <w:t>%</w:t>
            </w:r>
          </w:p>
        </w:tc>
        <w:tc>
          <w:tcPr>
            <w:tcW w:w="1984" w:type="dxa"/>
            <w:tcBorders>
              <w:top w:val="single" w:sz="12" w:space="0" w:color="auto"/>
            </w:tcBorders>
            <w:vAlign w:val="center"/>
          </w:tcPr>
          <w:p w14:paraId="03E9F1A3"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42,47</w:t>
            </w:r>
            <w:r w:rsidRPr="00F1144D">
              <w:rPr>
                <w:rFonts w:ascii="Times New Roman" w:hAnsi="Times New Roman"/>
              </w:rPr>
              <w:t>%</w:t>
            </w:r>
          </w:p>
        </w:tc>
        <w:tc>
          <w:tcPr>
            <w:tcW w:w="1417" w:type="dxa"/>
            <w:tcBorders>
              <w:top w:val="single" w:sz="12" w:space="0" w:color="auto"/>
            </w:tcBorders>
            <w:vAlign w:val="center"/>
          </w:tcPr>
          <w:p w14:paraId="40E7A79F"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r>
      <w:tr w:rsidR="00A9409C" w:rsidRPr="00F1144D" w14:paraId="2061A55C" w14:textId="77777777" w:rsidTr="00094F6F">
        <w:trPr>
          <w:trHeight w:val="340"/>
          <w:jc w:val="center"/>
        </w:trPr>
        <w:tc>
          <w:tcPr>
            <w:tcW w:w="2268" w:type="dxa"/>
            <w:vMerge/>
            <w:vAlign w:val="center"/>
          </w:tcPr>
          <w:p w14:paraId="7EBF18B3" w14:textId="77777777" w:rsidR="00A9409C" w:rsidRPr="00F1144D" w:rsidRDefault="00A9409C" w:rsidP="00094F6F">
            <w:pPr>
              <w:spacing w:after="0" w:line="240" w:lineRule="auto"/>
              <w:jc w:val="center"/>
              <w:rPr>
                <w:rFonts w:ascii="Times New Roman" w:hAnsi="Times New Roman"/>
                <w:sz w:val="24"/>
                <w:szCs w:val="24"/>
              </w:rPr>
            </w:pPr>
          </w:p>
        </w:tc>
        <w:tc>
          <w:tcPr>
            <w:tcW w:w="1701" w:type="dxa"/>
            <w:tcBorders>
              <w:bottom w:val="single" w:sz="12" w:space="0" w:color="auto"/>
            </w:tcBorders>
            <w:vAlign w:val="center"/>
          </w:tcPr>
          <w:p w14:paraId="042387A3"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984" w:type="dxa"/>
            <w:tcBorders>
              <w:bottom w:val="single" w:sz="12" w:space="0" w:color="auto"/>
            </w:tcBorders>
            <w:vAlign w:val="center"/>
          </w:tcPr>
          <w:p w14:paraId="62172E63"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55,13</w:t>
            </w:r>
            <w:r w:rsidRPr="00F1144D">
              <w:rPr>
                <w:rFonts w:ascii="Times New Roman" w:hAnsi="Times New Roman"/>
              </w:rPr>
              <w:t>%</w:t>
            </w:r>
          </w:p>
        </w:tc>
        <w:tc>
          <w:tcPr>
            <w:tcW w:w="1984" w:type="dxa"/>
            <w:tcBorders>
              <w:bottom w:val="single" w:sz="12" w:space="0" w:color="auto"/>
            </w:tcBorders>
            <w:vAlign w:val="center"/>
          </w:tcPr>
          <w:p w14:paraId="2E5B7251"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41,67</w:t>
            </w:r>
            <w:r w:rsidRPr="00F1144D">
              <w:rPr>
                <w:rFonts w:ascii="Times New Roman" w:hAnsi="Times New Roman"/>
              </w:rPr>
              <w:t>%</w:t>
            </w:r>
          </w:p>
        </w:tc>
        <w:tc>
          <w:tcPr>
            <w:tcW w:w="1417" w:type="dxa"/>
            <w:tcBorders>
              <w:bottom w:val="single" w:sz="12" w:space="0" w:color="auto"/>
            </w:tcBorders>
            <w:vAlign w:val="center"/>
          </w:tcPr>
          <w:p w14:paraId="053D6BEA"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48,67%</w:t>
            </w:r>
          </w:p>
        </w:tc>
      </w:tr>
      <w:tr w:rsidR="00A9409C" w:rsidRPr="00F1144D" w14:paraId="7215FB83" w14:textId="77777777" w:rsidTr="00094F6F">
        <w:trPr>
          <w:trHeight w:val="340"/>
          <w:jc w:val="center"/>
        </w:trPr>
        <w:tc>
          <w:tcPr>
            <w:tcW w:w="2268" w:type="dxa"/>
            <w:vMerge w:val="restart"/>
            <w:tcBorders>
              <w:right w:val="single" w:sz="12" w:space="0" w:color="auto"/>
            </w:tcBorders>
            <w:vAlign w:val="center"/>
          </w:tcPr>
          <w:p w14:paraId="5D117A7C" w14:textId="77777777" w:rsidR="00A9409C" w:rsidRPr="00F1144D" w:rsidRDefault="00A9409C" w:rsidP="00094F6F">
            <w:pPr>
              <w:spacing w:after="0" w:line="240" w:lineRule="auto"/>
              <w:jc w:val="center"/>
              <w:rPr>
                <w:rFonts w:ascii="Times New Roman" w:hAnsi="Times New Roman"/>
                <w:b/>
                <w:sz w:val="24"/>
                <w:szCs w:val="24"/>
                <w:lang w:val="en-US"/>
              </w:rPr>
            </w:pPr>
            <w:r w:rsidRPr="00F1144D">
              <w:rPr>
                <w:rFonts w:ascii="Times New Roman" w:hAnsi="Times New Roman"/>
                <w:b/>
                <w:sz w:val="24"/>
                <w:szCs w:val="24"/>
              </w:rPr>
              <w:t>Всего</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294CC81"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21762218"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78</w:t>
            </w:r>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4C06B329"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72</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813FE77"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150</w:t>
            </w:r>
          </w:p>
        </w:tc>
      </w:tr>
      <w:tr w:rsidR="00A9409C" w:rsidRPr="00F1144D" w14:paraId="2A69244A" w14:textId="77777777" w:rsidTr="00094F6F">
        <w:trPr>
          <w:trHeight w:val="340"/>
          <w:jc w:val="center"/>
        </w:trPr>
        <w:tc>
          <w:tcPr>
            <w:tcW w:w="2268" w:type="dxa"/>
            <w:vMerge/>
            <w:vAlign w:val="center"/>
          </w:tcPr>
          <w:p w14:paraId="505EBA17" w14:textId="77777777" w:rsidR="00A9409C" w:rsidRPr="00F1144D" w:rsidRDefault="00A9409C" w:rsidP="00094F6F">
            <w:pPr>
              <w:spacing w:after="0" w:line="240" w:lineRule="auto"/>
              <w:jc w:val="center"/>
              <w:rPr>
                <w:rFonts w:ascii="Times New Roman" w:hAnsi="Times New Roman"/>
                <w:sz w:val="24"/>
                <w:szCs w:val="24"/>
              </w:rPr>
            </w:pPr>
          </w:p>
        </w:tc>
        <w:tc>
          <w:tcPr>
            <w:tcW w:w="1701" w:type="dxa"/>
            <w:tcBorders>
              <w:top w:val="single" w:sz="12" w:space="0" w:color="auto"/>
            </w:tcBorders>
            <w:vAlign w:val="center"/>
          </w:tcPr>
          <w:p w14:paraId="5D15D49A"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984" w:type="dxa"/>
            <w:tcBorders>
              <w:top w:val="single" w:sz="12" w:space="0" w:color="auto"/>
            </w:tcBorders>
            <w:vAlign w:val="center"/>
          </w:tcPr>
          <w:p w14:paraId="298A0664"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51,33</w:t>
            </w:r>
            <w:r w:rsidRPr="00F1144D">
              <w:rPr>
                <w:rFonts w:ascii="Times New Roman" w:hAnsi="Times New Roman"/>
              </w:rPr>
              <w:t>%</w:t>
            </w:r>
          </w:p>
        </w:tc>
        <w:tc>
          <w:tcPr>
            <w:tcW w:w="1984" w:type="dxa"/>
            <w:tcBorders>
              <w:top w:val="single" w:sz="12" w:space="0" w:color="auto"/>
            </w:tcBorders>
            <w:vAlign w:val="center"/>
          </w:tcPr>
          <w:p w14:paraId="2F23FA21"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48,67%</w:t>
            </w:r>
          </w:p>
        </w:tc>
        <w:tc>
          <w:tcPr>
            <w:tcW w:w="1417" w:type="dxa"/>
            <w:tcBorders>
              <w:top w:val="single" w:sz="12" w:space="0" w:color="auto"/>
            </w:tcBorders>
            <w:vAlign w:val="center"/>
          </w:tcPr>
          <w:p w14:paraId="123F88A0"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r>
      <w:tr w:rsidR="00A9409C" w:rsidRPr="00F1144D" w14:paraId="5E88628F" w14:textId="77777777" w:rsidTr="00094F6F">
        <w:trPr>
          <w:trHeight w:val="340"/>
          <w:jc w:val="center"/>
        </w:trPr>
        <w:tc>
          <w:tcPr>
            <w:tcW w:w="2268" w:type="dxa"/>
            <w:vMerge/>
            <w:vAlign w:val="center"/>
          </w:tcPr>
          <w:p w14:paraId="1EA1ED46" w14:textId="77777777" w:rsidR="00A9409C" w:rsidRPr="00F1144D" w:rsidRDefault="00A9409C" w:rsidP="00094F6F">
            <w:pPr>
              <w:spacing w:after="0" w:line="240" w:lineRule="auto"/>
              <w:jc w:val="center"/>
              <w:rPr>
                <w:rFonts w:ascii="Times New Roman" w:hAnsi="Times New Roman"/>
                <w:sz w:val="24"/>
                <w:szCs w:val="24"/>
              </w:rPr>
            </w:pPr>
          </w:p>
        </w:tc>
        <w:tc>
          <w:tcPr>
            <w:tcW w:w="1701" w:type="dxa"/>
            <w:vAlign w:val="center"/>
          </w:tcPr>
          <w:p w14:paraId="4518475C"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984" w:type="dxa"/>
            <w:vAlign w:val="center"/>
          </w:tcPr>
          <w:p w14:paraId="4F765F59"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c>
          <w:tcPr>
            <w:tcW w:w="1984" w:type="dxa"/>
            <w:vAlign w:val="center"/>
          </w:tcPr>
          <w:p w14:paraId="0B34CBC0"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c>
          <w:tcPr>
            <w:tcW w:w="1417" w:type="dxa"/>
            <w:vAlign w:val="center"/>
          </w:tcPr>
          <w:p w14:paraId="0379463E"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r>
    </w:tbl>
    <w:p w14:paraId="3139DDF8" w14:textId="77777777" w:rsidR="00A9409C" w:rsidRDefault="00A9409C" w:rsidP="00A9409C">
      <w:pPr>
        <w:spacing w:after="0" w:line="240" w:lineRule="auto"/>
        <w:ind w:firstLine="567"/>
        <w:jc w:val="both"/>
        <w:rPr>
          <w:rFonts w:ascii="Times New Roman" w:hAnsi="Times New Roman"/>
          <w:sz w:val="28"/>
          <w:szCs w:val="28"/>
        </w:rPr>
      </w:pPr>
    </w:p>
    <w:p w14:paraId="14053AA7" w14:textId="77777777" w:rsidR="00A9409C" w:rsidRPr="00F1144D" w:rsidRDefault="00A9409C" w:rsidP="00A9409C">
      <w:pPr>
        <w:spacing w:after="0" w:line="240" w:lineRule="auto"/>
        <w:ind w:firstLine="567"/>
        <w:jc w:val="both"/>
        <w:rPr>
          <w:rFonts w:ascii="Times New Roman" w:hAnsi="Times New Roman"/>
          <w:sz w:val="28"/>
          <w:szCs w:val="28"/>
        </w:rPr>
      </w:pPr>
    </w:p>
    <w:p w14:paraId="27A7DE0E" w14:textId="77777777" w:rsidR="00A9409C" w:rsidRDefault="00A9409C" w:rsidP="00A9409C">
      <w:pPr>
        <w:spacing w:after="0" w:line="240" w:lineRule="auto"/>
        <w:ind w:firstLine="567"/>
        <w:jc w:val="both"/>
        <w:rPr>
          <w:rFonts w:ascii="Times New Roman" w:hAnsi="Times New Roman"/>
          <w:sz w:val="28"/>
          <w:szCs w:val="28"/>
        </w:rPr>
      </w:pPr>
      <w:r w:rsidRPr="00F1144D">
        <w:rPr>
          <w:rFonts w:ascii="Times New Roman" w:hAnsi="Times New Roman"/>
          <w:sz w:val="28"/>
          <w:szCs w:val="28"/>
        </w:rPr>
        <w:t xml:space="preserve">Оценка показала, что связь между факторным и результативным признаками статистически </w:t>
      </w:r>
      <w:r>
        <w:rPr>
          <w:rFonts w:ascii="Times New Roman" w:hAnsi="Times New Roman"/>
          <w:sz w:val="28"/>
          <w:szCs w:val="28"/>
        </w:rPr>
        <w:t xml:space="preserve">не </w:t>
      </w:r>
      <w:r w:rsidRPr="00F1144D">
        <w:rPr>
          <w:rFonts w:ascii="Times New Roman" w:hAnsi="Times New Roman"/>
          <w:sz w:val="28"/>
          <w:szCs w:val="28"/>
        </w:rPr>
        <w:t xml:space="preserve">значима. Критическое значение </w:t>
      </w:r>
      <w:r w:rsidRPr="00F1144D">
        <w:rPr>
          <w:rFonts w:ascii="Times New Roman" w:hAnsi="Times New Roman"/>
          <w:b/>
          <w:i/>
          <w:sz w:val="28"/>
          <w:szCs w:val="28"/>
        </w:rPr>
        <w:t>χ</w:t>
      </w:r>
      <w:r w:rsidRPr="00F1144D">
        <w:rPr>
          <w:rFonts w:ascii="Times New Roman" w:hAnsi="Times New Roman"/>
          <w:b/>
          <w:i/>
          <w:sz w:val="28"/>
          <w:szCs w:val="28"/>
          <w:vertAlign w:val="superscript"/>
        </w:rPr>
        <w:t>2</w:t>
      </w:r>
      <w:r w:rsidRPr="00F1144D">
        <w:rPr>
          <w:rFonts w:ascii="Times New Roman" w:hAnsi="Times New Roman"/>
          <w:sz w:val="28"/>
          <w:szCs w:val="28"/>
        </w:rPr>
        <w:t xml:space="preserve"> с поправкой </w:t>
      </w:r>
      <w:proofErr w:type="spellStart"/>
      <w:r w:rsidRPr="00F1144D">
        <w:rPr>
          <w:rFonts w:ascii="Times New Roman" w:hAnsi="Times New Roman"/>
          <w:sz w:val="28"/>
          <w:szCs w:val="28"/>
        </w:rPr>
        <w:t>Йейтса</w:t>
      </w:r>
      <w:proofErr w:type="spellEnd"/>
      <w:r w:rsidRPr="00F1144D">
        <w:rPr>
          <w:rFonts w:ascii="Times New Roman" w:hAnsi="Times New Roman"/>
          <w:sz w:val="28"/>
          <w:szCs w:val="28"/>
        </w:rPr>
        <w:t xml:space="preserve"> при уровне значимости </w:t>
      </w:r>
      <w:r w:rsidRPr="00F1144D">
        <w:rPr>
          <w:rFonts w:ascii="Times New Roman" w:hAnsi="Times New Roman"/>
          <w:sz w:val="28"/>
          <w:szCs w:val="28"/>
          <w:lang w:val="en-US"/>
        </w:rPr>
        <w:t>p</w:t>
      </w:r>
      <w:r w:rsidRPr="00F1144D">
        <w:rPr>
          <w:rFonts w:ascii="Times New Roman" w:hAnsi="Times New Roman"/>
          <w:sz w:val="28"/>
          <w:szCs w:val="28"/>
        </w:rPr>
        <w:t>=0,</w:t>
      </w:r>
      <w:r>
        <w:rPr>
          <w:rFonts w:ascii="Times New Roman" w:hAnsi="Times New Roman"/>
          <w:sz w:val="28"/>
          <w:szCs w:val="28"/>
        </w:rPr>
        <w:t>18</w:t>
      </w:r>
      <w:r w:rsidRPr="00F1144D">
        <w:rPr>
          <w:rFonts w:ascii="Times New Roman" w:hAnsi="Times New Roman"/>
          <w:sz w:val="28"/>
          <w:szCs w:val="28"/>
        </w:rPr>
        <w:t xml:space="preserve"> составляет </w:t>
      </w:r>
      <w:r>
        <w:rPr>
          <w:rFonts w:ascii="Times New Roman" w:hAnsi="Times New Roman"/>
          <w:sz w:val="28"/>
          <w:szCs w:val="28"/>
        </w:rPr>
        <w:t>1,73</w:t>
      </w:r>
      <w:r w:rsidRPr="00F1144D">
        <w:rPr>
          <w:rFonts w:ascii="Times New Roman" w:hAnsi="Times New Roman"/>
          <w:sz w:val="28"/>
          <w:szCs w:val="28"/>
        </w:rPr>
        <w:t>. Относительный риск (</w:t>
      </w:r>
      <w:r w:rsidRPr="00F1144D">
        <w:rPr>
          <w:rFonts w:ascii="Times New Roman" w:hAnsi="Times New Roman"/>
          <w:b/>
          <w:i/>
          <w:sz w:val="28"/>
          <w:szCs w:val="28"/>
          <w:lang w:val="en-US"/>
        </w:rPr>
        <w:t>RR</w:t>
      </w:r>
      <w:r w:rsidRPr="00F1144D">
        <w:rPr>
          <w:rFonts w:ascii="Times New Roman" w:hAnsi="Times New Roman"/>
          <w:sz w:val="28"/>
          <w:szCs w:val="28"/>
        </w:rPr>
        <w:t xml:space="preserve">) составил </w:t>
      </w:r>
      <w:r>
        <w:rPr>
          <w:rFonts w:ascii="Times New Roman" w:hAnsi="Times New Roman"/>
          <w:sz w:val="28"/>
          <w:szCs w:val="28"/>
        </w:rPr>
        <w:t xml:space="preserve">0,79 </w:t>
      </w:r>
      <w:r w:rsidRPr="00F1144D">
        <w:rPr>
          <w:rFonts w:ascii="Times New Roman" w:hAnsi="Times New Roman"/>
          <w:sz w:val="28"/>
          <w:szCs w:val="28"/>
        </w:rPr>
        <w:t>(95% ДИ=</w:t>
      </w:r>
      <w:r>
        <w:rPr>
          <w:rFonts w:ascii="Times New Roman" w:hAnsi="Times New Roman"/>
          <w:sz w:val="28"/>
          <w:szCs w:val="28"/>
        </w:rPr>
        <w:t>0,58-1,08</w:t>
      </w:r>
      <w:r w:rsidRPr="00F1144D">
        <w:rPr>
          <w:rFonts w:ascii="Times New Roman" w:hAnsi="Times New Roman"/>
          <w:sz w:val="28"/>
          <w:szCs w:val="28"/>
        </w:rPr>
        <w:t>)</w:t>
      </w:r>
      <w:r>
        <w:rPr>
          <w:rFonts w:ascii="Times New Roman" w:hAnsi="Times New Roman"/>
          <w:sz w:val="28"/>
          <w:szCs w:val="28"/>
        </w:rPr>
        <w:t xml:space="preserve">, что </w:t>
      </w:r>
      <w:r w:rsidRPr="00F1144D">
        <w:rPr>
          <w:rFonts w:ascii="Times New Roman" w:hAnsi="Times New Roman"/>
          <w:sz w:val="28"/>
          <w:szCs w:val="28"/>
        </w:rPr>
        <w:t>свидетельствует о</w:t>
      </w:r>
      <w:r>
        <w:rPr>
          <w:rFonts w:ascii="Times New Roman" w:hAnsi="Times New Roman"/>
          <w:sz w:val="28"/>
          <w:szCs w:val="28"/>
        </w:rPr>
        <w:t xml:space="preserve">б отсутствии </w:t>
      </w:r>
      <w:r w:rsidRPr="00F1144D">
        <w:rPr>
          <w:rFonts w:ascii="Times New Roman" w:hAnsi="Times New Roman"/>
          <w:sz w:val="28"/>
          <w:szCs w:val="28"/>
        </w:rPr>
        <w:t xml:space="preserve">прямой связи между </w:t>
      </w:r>
      <w:r>
        <w:rPr>
          <w:rFonts w:ascii="Times New Roman" w:hAnsi="Times New Roman"/>
          <w:sz w:val="28"/>
          <w:szCs w:val="28"/>
        </w:rPr>
        <w:t>полом</w:t>
      </w:r>
      <w:r w:rsidRPr="00F1144D">
        <w:rPr>
          <w:rFonts w:ascii="Times New Roman" w:hAnsi="Times New Roman"/>
          <w:sz w:val="28"/>
          <w:szCs w:val="28"/>
        </w:rPr>
        <w:t xml:space="preserve"> и </w:t>
      </w:r>
      <w:r>
        <w:rPr>
          <w:rFonts w:ascii="Times New Roman" w:hAnsi="Times New Roman"/>
          <w:sz w:val="28"/>
          <w:szCs w:val="28"/>
        </w:rPr>
        <w:t>функциональной недостаточностью</w:t>
      </w:r>
      <w:r w:rsidRPr="00F1144D">
        <w:rPr>
          <w:rFonts w:ascii="Times New Roman" w:hAnsi="Times New Roman"/>
          <w:sz w:val="28"/>
          <w:szCs w:val="28"/>
        </w:rPr>
        <w:t>.</w:t>
      </w:r>
    </w:p>
    <w:p w14:paraId="6DFE7A34" w14:textId="77777777" w:rsidR="00A9409C" w:rsidRPr="00F1144D" w:rsidRDefault="00A9409C" w:rsidP="00A9409C">
      <w:pPr>
        <w:widowControl w:val="0"/>
        <w:spacing w:after="0" w:line="240" w:lineRule="auto"/>
        <w:ind w:firstLine="567"/>
        <w:jc w:val="both"/>
        <w:rPr>
          <w:rFonts w:ascii="Times New Roman" w:hAnsi="Times New Roman"/>
          <w:sz w:val="28"/>
          <w:szCs w:val="28"/>
        </w:rPr>
      </w:pPr>
      <w:r w:rsidRPr="002E7B5D">
        <w:rPr>
          <w:rFonts w:ascii="Times New Roman" w:hAnsi="Times New Roman"/>
          <w:sz w:val="28"/>
          <w:szCs w:val="28"/>
        </w:rPr>
        <w:t xml:space="preserve">Анализ связи </w:t>
      </w:r>
      <w:r>
        <w:rPr>
          <w:rFonts w:ascii="Times New Roman" w:hAnsi="Times New Roman"/>
          <w:sz w:val="28"/>
          <w:szCs w:val="28"/>
        </w:rPr>
        <w:t xml:space="preserve">пола и исхода болезни представлен в </w:t>
      </w:r>
      <w:r w:rsidRPr="002E7B5D">
        <w:rPr>
          <w:rFonts w:ascii="Times New Roman" w:hAnsi="Times New Roman"/>
          <w:sz w:val="28"/>
          <w:szCs w:val="28"/>
        </w:rPr>
        <w:t>таблиц</w:t>
      </w:r>
      <w:r>
        <w:rPr>
          <w:rFonts w:ascii="Times New Roman" w:hAnsi="Times New Roman"/>
          <w:sz w:val="28"/>
          <w:szCs w:val="28"/>
        </w:rPr>
        <w:t>е</w:t>
      </w:r>
      <w:r w:rsidRPr="002E7B5D">
        <w:rPr>
          <w:rFonts w:ascii="Times New Roman" w:hAnsi="Times New Roman"/>
          <w:sz w:val="28"/>
          <w:szCs w:val="28"/>
        </w:rPr>
        <w:t xml:space="preserve"> </w:t>
      </w:r>
      <w:r>
        <w:rPr>
          <w:rFonts w:ascii="Times New Roman" w:hAnsi="Times New Roman"/>
          <w:sz w:val="28"/>
          <w:szCs w:val="28"/>
        </w:rPr>
        <w:t>1</w:t>
      </w:r>
      <w:r w:rsidRPr="00870ADF">
        <w:rPr>
          <w:rFonts w:ascii="Times New Roman" w:hAnsi="Times New Roman"/>
          <w:sz w:val="28"/>
          <w:szCs w:val="28"/>
        </w:rPr>
        <w:t>9</w:t>
      </w:r>
      <w:r w:rsidRPr="002E7B5D">
        <w:rPr>
          <w:rFonts w:ascii="Times New Roman" w:hAnsi="Times New Roman"/>
          <w:sz w:val="28"/>
          <w:szCs w:val="28"/>
        </w:rPr>
        <w:t>.</w:t>
      </w:r>
      <w:r>
        <w:rPr>
          <w:rFonts w:ascii="Times New Roman" w:hAnsi="Times New Roman"/>
          <w:sz w:val="28"/>
          <w:szCs w:val="28"/>
        </w:rPr>
        <w:t xml:space="preserve"> </w:t>
      </w:r>
      <w:r w:rsidRPr="00F1144D">
        <w:rPr>
          <w:rFonts w:ascii="Times New Roman" w:hAnsi="Times New Roman"/>
          <w:sz w:val="28"/>
          <w:szCs w:val="28"/>
        </w:rPr>
        <w:t xml:space="preserve">Оценка показала, что связь между факторным и результативным признаками статистически </w:t>
      </w:r>
      <w:r>
        <w:rPr>
          <w:rFonts w:ascii="Times New Roman" w:hAnsi="Times New Roman"/>
          <w:sz w:val="28"/>
          <w:szCs w:val="28"/>
        </w:rPr>
        <w:t xml:space="preserve">не </w:t>
      </w:r>
      <w:r w:rsidRPr="00F1144D">
        <w:rPr>
          <w:rFonts w:ascii="Times New Roman" w:hAnsi="Times New Roman"/>
          <w:sz w:val="28"/>
          <w:szCs w:val="28"/>
        </w:rPr>
        <w:t>значима.</w:t>
      </w:r>
    </w:p>
    <w:p w14:paraId="56A302CB" w14:textId="77777777" w:rsidR="00A9409C" w:rsidRDefault="00A9409C" w:rsidP="00A9409C">
      <w:pPr>
        <w:widowControl w:val="0"/>
        <w:spacing w:after="0" w:line="240" w:lineRule="auto"/>
        <w:ind w:firstLine="567"/>
        <w:jc w:val="both"/>
        <w:rPr>
          <w:rFonts w:ascii="Times New Roman" w:hAnsi="Times New Roman"/>
          <w:sz w:val="28"/>
          <w:szCs w:val="28"/>
        </w:rPr>
      </w:pPr>
    </w:p>
    <w:p w14:paraId="46AF00C9" w14:textId="77777777" w:rsidR="00A9409C" w:rsidRPr="00F1144D" w:rsidRDefault="00A9409C" w:rsidP="00A9409C">
      <w:pPr>
        <w:spacing w:after="0" w:line="240" w:lineRule="auto"/>
        <w:jc w:val="both"/>
        <w:rPr>
          <w:rFonts w:ascii="Times New Roman" w:hAnsi="Times New Roman"/>
          <w:sz w:val="28"/>
          <w:szCs w:val="28"/>
        </w:rPr>
      </w:pPr>
      <w:r w:rsidRPr="00F1144D">
        <w:rPr>
          <w:rFonts w:ascii="Times New Roman" w:hAnsi="Times New Roman"/>
          <w:sz w:val="28"/>
          <w:szCs w:val="28"/>
        </w:rPr>
        <w:lastRenderedPageBreak/>
        <w:t xml:space="preserve">Таблица </w:t>
      </w:r>
      <w:r>
        <w:rPr>
          <w:rFonts w:ascii="Times New Roman" w:hAnsi="Times New Roman"/>
          <w:sz w:val="28"/>
          <w:szCs w:val="28"/>
        </w:rPr>
        <w:t>1</w:t>
      </w:r>
      <w:r w:rsidRPr="00870ADF">
        <w:rPr>
          <w:rFonts w:ascii="Times New Roman" w:hAnsi="Times New Roman"/>
          <w:sz w:val="28"/>
          <w:szCs w:val="28"/>
        </w:rPr>
        <w:t>9</w:t>
      </w:r>
      <w:r w:rsidRPr="00F1144D">
        <w:rPr>
          <w:rFonts w:ascii="Times New Roman" w:hAnsi="Times New Roman"/>
          <w:sz w:val="28"/>
          <w:szCs w:val="28"/>
        </w:rPr>
        <w:t xml:space="preserve"> – Оценка связи между факторным (</w:t>
      </w:r>
      <w:r>
        <w:rPr>
          <w:rFonts w:ascii="Times New Roman" w:hAnsi="Times New Roman"/>
          <w:sz w:val="28"/>
          <w:szCs w:val="28"/>
        </w:rPr>
        <w:t>пол</w:t>
      </w:r>
      <w:r w:rsidRPr="00F1144D">
        <w:rPr>
          <w:rFonts w:ascii="Times New Roman" w:hAnsi="Times New Roman"/>
          <w:sz w:val="28"/>
          <w:szCs w:val="28"/>
        </w:rPr>
        <w:t>) и результативным (</w:t>
      </w:r>
      <w:r>
        <w:rPr>
          <w:rFonts w:ascii="Times New Roman" w:hAnsi="Times New Roman"/>
          <w:sz w:val="28"/>
          <w:szCs w:val="28"/>
        </w:rPr>
        <w:t>исход</w:t>
      </w:r>
      <w:r w:rsidRPr="00F1144D">
        <w:rPr>
          <w:rFonts w:ascii="Times New Roman" w:hAnsi="Times New Roman"/>
          <w:sz w:val="28"/>
          <w:szCs w:val="28"/>
        </w:rPr>
        <w:t>) признаками у исследуемых больных</w:t>
      </w:r>
    </w:p>
    <w:p w14:paraId="42BDED18" w14:textId="77777777" w:rsidR="00A9409C" w:rsidRPr="00F1144D" w:rsidRDefault="00A9409C" w:rsidP="00A9409C">
      <w:pPr>
        <w:spacing w:after="0" w:line="240" w:lineRule="auto"/>
        <w:ind w:firstLine="567"/>
        <w:jc w:val="both"/>
        <w:rPr>
          <w:rFonts w:ascii="Times New Roman" w:hAnsi="Times New Roman"/>
          <w:sz w:val="28"/>
          <w:szCs w:val="28"/>
        </w:rPr>
      </w:pPr>
    </w:p>
    <w:tbl>
      <w:tblPr>
        <w:tblStyle w:val="af1"/>
        <w:tblW w:w="9354" w:type="dxa"/>
        <w:jc w:val="center"/>
        <w:tblLook w:val="04A0" w:firstRow="1" w:lastRow="0" w:firstColumn="1" w:lastColumn="0" w:noHBand="0" w:noVBand="1"/>
      </w:tblPr>
      <w:tblGrid>
        <w:gridCol w:w="2268"/>
        <w:gridCol w:w="1701"/>
        <w:gridCol w:w="1984"/>
        <w:gridCol w:w="1984"/>
        <w:gridCol w:w="1417"/>
      </w:tblGrid>
      <w:tr w:rsidR="00A9409C" w:rsidRPr="00F1144D" w14:paraId="292AFD39" w14:textId="77777777" w:rsidTr="00094F6F">
        <w:trPr>
          <w:trHeight w:val="340"/>
          <w:jc w:val="center"/>
        </w:trPr>
        <w:tc>
          <w:tcPr>
            <w:tcW w:w="3969" w:type="dxa"/>
            <w:gridSpan w:val="2"/>
            <w:vMerge w:val="restart"/>
            <w:vAlign w:val="center"/>
          </w:tcPr>
          <w:p w14:paraId="0B3D95E7"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Факторный признак</w:t>
            </w:r>
          </w:p>
          <w:p w14:paraId="54AC6CC6" w14:textId="77777777" w:rsidR="00A9409C" w:rsidRPr="000D17BF"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пол</w:t>
            </w:r>
            <w:proofErr w:type="gramEnd"/>
          </w:p>
        </w:tc>
        <w:tc>
          <w:tcPr>
            <w:tcW w:w="3968" w:type="dxa"/>
            <w:gridSpan w:val="2"/>
            <w:vAlign w:val="center"/>
          </w:tcPr>
          <w:p w14:paraId="75D5C80F"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Результативный признак</w:t>
            </w:r>
          </w:p>
          <w:p w14:paraId="2568E960" w14:textId="77777777" w:rsidR="00A9409C" w:rsidRPr="00F1144D" w:rsidRDefault="00A9409C" w:rsidP="00094F6F">
            <w:pPr>
              <w:spacing w:after="0" w:line="240" w:lineRule="auto"/>
              <w:jc w:val="center"/>
              <w:rPr>
                <w:rFonts w:ascii="Times New Roman" w:hAnsi="Times New Roman"/>
                <w:i/>
                <w:sz w:val="24"/>
                <w:szCs w:val="24"/>
              </w:rPr>
            </w:pPr>
            <w:r>
              <w:rPr>
                <w:rFonts w:ascii="Times New Roman" w:hAnsi="Times New Roman"/>
                <w:i/>
                <w:sz w:val="24"/>
                <w:szCs w:val="24"/>
              </w:rPr>
              <w:t>Исход</w:t>
            </w:r>
          </w:p>
        </w:tc>
        <w:tc>
          <w:tcPr>
            <w:tcW w:w="1417" w:type="dxa"/>
            <w:vMerge w:val="restart"/>
            <w:vAlign w:val="center"/>
          </w:tcPr>
          <w:p w14:paraId="44CDE084"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Итого</w:t>
            </w:r>
          </w:p>
        </w:tc>
      </w:tr>
      <w:tr w:rsidR="00A9409C" w:rsidRPr="00F1144D" w14:paraId="121CA098" w14:textId="77777777" w:rsidTr="00094F6F">
        <w:trPr>
          <w:trHeight w:val="340"/>
          <w:jc w:val="center"/>
        </w:trPr>
        <w:tc>
          <w:tcPr>
            <w:tcW w:w="3969" w:type="dxa"/>
            <w:gridSpan w:val="2"/>
            <w:vMerge/>
            <w:vAlign w:val="center"/>
          </w:tcPr>
          <w:p w14:paraId="7141424E" w14:textId="77777777" w:rsidR="00A9409C" w:rsidRPr="00F1144D" w:rsidRDefault="00A9409C" w:rsidP="00094F6F">
            <w:pPr>
              <w:spacing w:after="0" w:line="240" w:lineRule="auto"/>
              <w:jc w:val="center"/>
              <w:rPr>
                <w:rFonts w:ascii="Times New Roman" w:hAnsi="Times New Roman"/>
                <w:sz w:val="24"/>
                <w:szCs w:val="24"/>
              </w:rPr>
            </w:pPr>
          </w:p>
        </w:tc>
        <w:tc>
          <w:tcPr>
            <w:tcW w:w="1984" w:type="dxa"/>
            <w:tcBorders>
              <w:bottom w:val="single" w:sz="12" w:space="0" w:color="auto"/>
            </w:tcBorders>
            <w:vAlign w:val="center"/>
          </w:tcPr>
          <w:p w14:paraId="6F9998ED"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жив</w:t>
            </w:r>
            <w:proofErr w:type="gramEnd"/>
          </w:p>
        </w:tc>
        <w:tc>
          <w:tcPr>
            <w:tcW w:w="1984" w:type="dxa"/>
            <w:vAlign w:val="center"/>
          </w:tcPr>
          <w:p w14:paraId="728CC032"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умер</w:t>
            </w:r>
            <w:proofErr w:type="gramEnd"/>
          </w:p>
        </w:tc>
        <w:tc>
          <w:tcPr>
            <w:tcW w:w="1417" w:type="dxa"/>
            <w:vMerge/>
            <w:vAlign w:val="center"/>
          </w:tcPr>
          <w:p w14:paraId="1CB620FF" w14:textId="77777777" w:rsidR="00A9409C" w:rsidRPr="00F1144D" w:rsidRDefault="00A9409C" w:rsidP="00094F6F">
            <w:pPr>
              <w:spacing w:after="0" w:line="240" w:lineRule="auto"/>
              <w:jc w:val="center"/>
              <w:rPr>
                <w:rFonts w:ascii="Times New Roman" w:hAnsi="Times New Roman"/>
                <w:sz w:val="24"/>
                <w:szCs w:val="24"/>
              </w:rPr>
            </w:pPr>
          </w:p>
        </w:tc>
      </w:tr>
      <w:tr w:rsidR="00A9409C" w:rsidRPr="00F1144D" w14:paraId="2BC8FD82" w14:textId="77777777" w:rsidTr="00094F6F">
        <w:trPr>
          <w:trHeight w:val="340"/>
          <w:jc w:val="center"/>
        </w:trPr>
        <w:tc>
          <w:tcPr>
            <w:tcW w:w="2268" w:type="dxa"/>
            <w:vMerge w:val="restart"/>
            <w:tcBorders>
              <w:right w:val="single" w:sz="12" w:space="0" w:color="auto"/>
            </w:tcBorders>
            <w:vAlign w:val="center"/>
          </w:tcPr>
          <w:p w14:paraId="6F49A568"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мужчины</w:t>
            </w:r>
            <w:proofErr w:type="gramEnd"/>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775B7DD7"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BF79313"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37</w:t>
            </w:r>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3D1FE05"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40</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1A0ACF8C"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77</w:t>
            </w:r>
          </w:p>
        </w:tc>
      </w:tr>
      <w:tr w:rsidR="00A9409C" w:rsidRPr="00F1144D" w14:paraId="09AF23B9" w14:textId="77777777" w:rsidTr="00094F6F">
        <w:trPr>
          <w:trHeight w:val="340"/>
          <w:jc w:val="center"/>
        </w:trPr>
        <w:tc>
          <w:tcPr>
            <w:tcW w:w="2268" w:type="dxa"/>
            <w:vMerge/>
            <w:vAlign w:val="center"/>
          </w:tcPr>
          <w:p w14:paraId="58B24149" w14:textId="77777777" w:rsidR="00A9409C" w:rsidRPr="00F1144D" w:rsidRDefault="00A9409C" w:rsidP="00094F6F">
            <w:pPr>
              <w:spacing w:after="0" w:line="240" w:lineRule="auto"/>
              <w:jc w:val="center"/>
              <w:rPr>
                <w:rFonts w:ascii="Times New Roman" w:hAnsi="Times New Roman"/>
                <w:i/>
                <w:sz w:val="24"/>
                <w:szCs w:val="24"/>
              </w:rPr>
            </w:pPr>
          </w:p>
        </w:tc>
        <w:tc>
          <w:tcPr>
            <w:tcW w:w="1701" w:type="dxa"/>
            <w:tcBorders>
              <w:top w:val="single" w:sz="12" w:space="0" w:color="auto"/>
            </w:tcBorders>
            <w:vAlign w:val="center"/>
          </w:tcPr>
          <w:p w14:paraId="497F7E49"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984" w:type="dxa"/>
            <w:tcBorders>
              <w:top w:val="single" w:sz="12" w:space="0" w:color="auto"/>
            </w:tcBorders>
            <w:vAlign w:val="center"/>
          </w:tcPr>
          <w:p w14:paraId="3B1C9E85"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48,05</w:t>
            </w:r>
            <w:r w:rsidRPr="00F1144D">
              <w:rPr>
                <w:rFonts w:ascii="Times New Roman" w:hAnsi="Times New Roman"/>
              </w:rPr>
              <w:t>%</w:t>
            </w:r>
          </w:p>
        </w:tc>
        <w:tc>
          <w:tcPr>
            <w:tcW w:w="1984" w:type="dxa"/>
            <w:vAlign w:val="center"/>
          </w:tcPr>
          <w:p w14:paraId="53FA32A6"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51,95</w:t>
            </w:r>
            <w:r w:rsidRPr="00F1144D">
              <w:rPr>
                <w:rFonts w:ascii="Times New Roman" w:hAnsi="Times New Roman"/>
              </w:rPr>
              <w:t>%</w:t>
            </w:r>
          </w:p>
        </w:tc>
        <w:tc>
          <w:tcPr>
            <w:tcW w:w="1417" w:type="dxa"/>
            <w:vAlign w:val="center"/>
          </w:tcPr>
          <w:p w14:paraId="4075FE72"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r>
      <w:tr w:rsidR="00A9409C" w:rsidRPr="00F1144D" w14:paraId="4B8E3B3B" w14:textId="77777777" w:rsidTr="00094F6F">
        <w:trPr>
          <w:trHeight w:val="340"/>
          <w:jc w:val="center"/>
        </w:trPr>
        <w:tc>
          <w:tcPr>
            <w:tcW w:w="2268" w:type="dxa"/>
            <w:vMerge/>
            <w:vAlign w:val="center"/>
          </w:tcPr>
          <w:p w14:paraId="1EFA2E8D" w14:textId="77777777" w:rsidR="00A9409C" w:rsidRPr="00F1144D" w:rsidRDefault="00A9409C" w:rsidP="00094F6F">
            <w:pPr>
              <w:spacing w:after="0" w:line="240" w:lineRule="auto"/>
              <w:jc w:val="center"/>
              <w:rPr>
                <w:rFonts w:ascii="Times New Roman" w:hAnsi="Times New Roman"/>
                <w:i/>
                <w:sz w:val="24"/>
                <w:szCs w:val="24"/>
              </w:rPr>
            </w:pPr>
          </w:p>
        </w:tc>
        <w:tc>
          <w:tcPr>
            <w:tcW w:w="1701" w:type="dxa"/>
            <w:tcBorders>
              <w:bottom w:val="single" w:sz="12" w:space="0" w:color="auto"/>
            </w:tcBorders>
            <w:vAlign w:val="center"/>
          </w:tcPr>
          <w:p w14:paraId="7ED88F7E"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984" w:type="dxa"/>
            <w:tcBorders>
              <w:bottom w:val="single" w:sz="12" w:space="0" w:color="auto"/>
            </w:tcBorders>
            <w:vAlign w:val="center"/>
          </w:tcPr>
          <w:p w14:paraId="5505BE6C"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50,00</w:t>
            </w:r>
            <w:r w:rsidRPr="00F1144D">
              <w:rPr>
                <w:rFonts w:ascii="Times New Roman" w:hAnsi="Times New Roman"/>
              </w:rPr>
              <w:t>%</w:t>
            </w:r>
          </w:p>
        </w:tc>
        <w:tc>
          <w:tcPr>
            <w:tcW w:w="1984" w:type="dxa"/>
            <w:tcBorders>
              <w:bottom w:val="single" w:sz="12" w:space="0" w:color="auto"/>
            </w:tcBorders>
            <w:vAlign w:val="center"/>
          </w:tcPr>
          <w:p w14:paraId="58671391"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57,53</w:t>
            </w:r>
            <w:r w:rsidRPr="00F1144D">
              <w:rPr>
                <w:rFonts w:ascii="Times New Roman" w:hAnsi="Times New Roman"/>
              </w:rPr>
              <w:t>%</w:t>
            </w:r>
          </w:p>
        </w:tc>
        <w:tc>
          <w:tcPr>
            <w:tcW w:w="1417" w:type="dxa"/>
            <w:tcBorders>
              <w:bottom w:val="single" w:sz="12" w:space="0" w:color="auto"/>
            </w:tcBorders>
            <w:vAlign w:val="center"/>
          </w:tcPr>
          <w:p w14:paraId="056695D2"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51,33%</w:t>
            </w:r>
          </w:p>
        </w:tc>
      </w:tr>
      <w:tr w:rsidR="00A9409C" w:rsidRPr="00F1144D" w14:paraId="3BF7031D" w14:textId="77777777" w:rsidTr="00094F6F">
        <w:trPr>
          <w:trHeight w:val="340"/>
          <w:jc w:val="center"/>
        </w:trPr>
        <w:tc>
          <w:tcPr>
            <w:tcW w:w="2268" w:type="dxa"/>
            <w:vMerge w:val="restart"/>
            <w:tcBorders>
              <w:right w:val="single" w:sz="12" w:space="0" w:color="auto"/>
            </w:tcBorders>
            <w:vAlign w:val="center"/>
          </w:tcPr>
          <w:p w14:paraId="2A832B24"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женщины</w:t>
            </w:r>
            <w:proofErr w:type="gramEnd"/>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51ABC5A"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6DB88BFA"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37</w:t>
            </w:r>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5BDEFA5E"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36</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1437CE6E"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73</w:t>
            </w:r>
          </w:p>
        </w:tc>
      </w:tr>
      <w:tr w:rsidR="00A9409C" w:rsidRPr="00F1144D" w14:paraId="670A4B65" w14:textId="77777777" w:rsidTr="00094F6F">
        <w:trPr>
          <w:trHeight w:val="340"/>
          <w:jc w:val="center"/>
        </w:trPr>
        <w:tc>
          <w:tcPr>
            <w:tcW w:w="2268" w:type="dxa"/>
            <w:vMerge/>
            <w:vAlign w:val="center"/>
          </w:tcPr>
          <w:p w14:paraId="0E3F4F5F" w14:textId="77777777" w:rsidR="00A9409C" w:rsidRPr="00F1144D" w:rsidRDefault="00A9409C" w:rsidP="00094F6F">
            <w:pPr>
              <w:spacing w:after="0" w:line="240" w:lineRule="auto"/>
              <w:jc w:val="center"/>
              <w:rPr>
                <w:rFonts w:ascii="Times New Roman" w:hAnsi="Times New Roman"/>
                <w:sz w:val="24"/>
                <w:szCs w:val="24"/>
              </w:rPr>
            </w:pPr>
          </w:p>
        </w:tc>
        <w:tc>
          <w:tcPr>
            <w:tcW w:w="1701" w:type="dxa"/>
            <w:tcBorders>
              <w:top w:val="single" w:sz="12" w:space="0" w:color="auto"/>
            </w:tcBorders>
            <w:vAlign w:val="center"/>
          </w:tcPr>
          <w:p w14:paraId="2DD4AF34"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984" w:type="dxa"/>
            <w:tcBorders>
              <w:top w:val="single" w:sz="12" w:space="0" w:color="auto"/>
            </w:tcBorders>
            <w:vAlign w:val="center"/>
          </w:tcPr>
          <w:p w14:paraId="53522080"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50,68</w:t>
            </w:r>
            <w:r w:rsidRPr="00F1144D">
              <w:rPr>
                <w:rFonts w:ascii="Times New Roman" w:hAnsi="Times New Roman"/>
              </w:rPr>
              <w:t>%</w:t>
            </w:r>
          </w:p>
        </w:tc>
        <w:tc>
          <w:tcPr>
            <w:tcW w:w="1984" w:type="dxa"/>
            <w:tcBorders>
              <w:top w:val="single" w:sz="12" w:space="0" w:color="auto"/>
            </w:tcBorders>
            <w:vAlign w:val="center"/>
          </w:tcPr>
          <w:p w14:paraId="10B5BAB3"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49,32</w:t>
            </w:r>
            <w:r w:rsidRPr="00F1144D">
              <w:rPr>
                <w:rFonts w:ascii="Times New Roman" w:hAnsi="Times New Roman"/>
              </w:rPr>
              <w:t>%</w:t>
            </w:r>
          </w:p>
        </w:tc>
        <w:tc>
          <w:tcPr>
            <w:tcW w:w="1417" w:type="dxa"/>
            <w:tcBorders>
              <w:top w:val="single" w:sz="12" w:space="0" w:color="auto"/>
            </w:tcBorders>
            <w:vAlign w:val="center"/>
          </w:tcPr>
          <w:p w14:paraId="26C82398"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r>
      <w:tr w:rsidR="00A9409C" w:rsidRPr="00F1144D" w14:paraId="1679F7AF" w14:textId="77777777" w:rsidTr="00094F6F">
        <w:trPr>
          <w:trHeight w:val="340"/>
          <w:jc w:val="center"/>
        </w:trPr>
        <w:tc>
          <w:tcPr>
            <w:tcW w:w="2268" w:type="dxa"/>
            <w:vMerge/>
            <w:vAlign w:val="center"/>
          </w:tcPr>
          <w:p w14:paraId="10FB3EFB" w14:textId="77777777" w:rsidR="00A9409C" w:rsidRPr="00F1144D" w:rsidRDefault="00A9409C" w:rsidP="00094F6F">
            <w:pPr>
              <w:spacing w:after="0" w:line="240" w:lineRule="auto"/>
              <w:jc w:val="center"/>
              <w:rPr>
                <w:rFonts w:ascii="Times New Roman" w:hAnsi="Times New Roman"/>
                <w:sz w:val="24"/>
                <w:szCs w:val="24"/>
              </w:rPr>
            </w:pPr>
          </w:p>
        </w:tc>
        <w:tc>
          <w:tcPr>
            <w:tcW w:w="1701" w:type="dxa"/>
            <w:tcBorders>
              <w:bottom w:val="single" w:sz="12" w:space="0" w:color="auto"/>
            </w:tcBorders>
            <w:vAlign w:val="center"/>
          </w:tcPr>
          <w:p w14:paraId="11ABDC22"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984" w:type="dxa"/>
            <w:tcBorders>
              <w:bottom w:val="single" w:sz="12" w:space="0" w:color="auto"/>
            </w:tcBorders>
            <w:vAlign w:val="center"/>
          </w:tcPr>
          <w:p w14:paraId="0928B9A1"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50,00</w:t>
            </w:r>
            <w:r w:rsidRPr="00F1144D">
              <w:rPr>
                <w:rFonts w:ascii="Times New Roman" w:hAnsi="Times New Roman"/>
              </w:rPr>
              <w:t>%</w:t>
            </w:r>
          </w:p>
        </w:tc>
        <w:tc>
          <w:tcPr>
            <w:tcW w:w="1984" w:type="dxa"/>
            <w:tcBorders>
              <w:bottom w:val="single" w:sz="12" w:space="0" w:color="auto"/>
            </w:tcBorders>
            <w:vAlign w:val="center"/>
          </w:tcPr>
          <w:p w14:paraId="7A660E95"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47,37</w:t>
            </w:r>
            <w:r w:rsidRPr="00F1144D">
              <w:rPr>
                <w:rFonts w:ascii="Times New Roman" w:hAnsi="Times New Roman"/>
              </w:rPr>
              <w:t>%</w:t>
            </w:r>
          </w:p>
        </w:tc>
        <w:tc>
          <w:tcPr>
            <w:tcW w:w="1417" w:type="dxa"/>
            <w:tcBorders>
              <w:bottom w:val="single" w:sz="12" w:space="0" w:color="auto"/>
            </w:tcBorders>
            <w:vAlign w:val="center"/>
          </w:tcPr>
          <w:p w14:paraId="384A53B4"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48,67%</w:t>
            </w:r>
          </w:p>
        </w:tc>
      </w:tr>
      <w:tr w:rsidR="00A9409C" w:rsidRPr="00F1144D" w14:paraId="24F1E2C2" w14:textId="77777777" w:rsidTr="00094F6F">
        <w:trPr>
          <w:trHeight w:val="340"/>
          <w:jc w:val="center"/>
        </w:trPr>
        <w:tc>
          <w:tcPr>
            <w:tcW w:w="2268" w:type="dxa"/>
            <w:vMerge w:val="restart"/>
            <w:tcBorders>
              <w:right w:val="single" w:sz="12" w:space="0" w:color="auto"/>
            </w:tcBorders>
            <w:vAlign w:val="center"/>
          </w:tcPr>
          <w:p w14:paraId="601FBF80" w14:textId="77777777" w:rsidR="00A9409C" w:rsidRPr="00F1144D" w:rsidRDefault="00A9409C" w:rsidP="00094F6F">
            <w:pPr>
              <w:spacing w:after="0" w:line="240" w:lineRule="auto"/>
              <w:jc w:val="center"/>
              <w:rPr>
                <w:rFonts w:ascii="Times New Roman" w:hAnsi="Times New Roman"/>
                <w:b/>
                <w:sz w:val="24"/>
                <w:szCs w:val="24"/>
                <w:lang w:val="en-US"/>
              </w:rPr>
            </w:pPr>
            <w:r w:rsidRPr="00F1144D">
              <w:rPr>
                <w:rFonts w:ascii="Times New Roman" w:hAnsi="Times New Roman"/>
                <w:b/>
                <w:sz w:val="24"/>
                <w:szCs w:val="24"/>
              </w:rPr>
              <w:t>Всего</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D0283EA"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248B8FDC"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74</w:t>
            </w:r>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191ABB53"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7276</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1910ECF" w14:textId="77777777" w:rsidR="00A9409C" w:rsidRPr="00F1144D" w:rsidRDefault="00A9409C" w:rsidP="00094F6F">
            <w:pPr>
              <w:spacing w:after="0" w:line="240" w:lineRule="auto"/>
              <w:jc w:val="center"/>
              <w:rPr>
                <w:rFonts w:ascii="Times New Roman" w:hAnsi="Times New Roman"/>
                <w:b/>
                <w:sz w:val="24"/>
                <w:szCs w:val="24"/>
              </w:rPr>
            </w:pPr>
            <w:r>
              <w:rPr>
                <w:rFonts w:ascii="Times New Roman" w:hAnsi="Times New Roman"/>
                <w:b/>
                <w:sz w:val="24"/>
                <w:szCs w:val="24"/>
              </w:rPr>
              <w:t>150</w:t>
            </w:r>
          </w:p>
        </w:tc>
      </w:tr>
      <w:tr w:rsidR="00A9409C" w:rsidRPr="00F1144D" w14:paraId="584340BC" w14:textId="77777777" w:rsidTr="00094F6F">
        <w:trPr>
          <w:trHeight w:val="340"/>
          <w:jc w:val="center"/>
        </w:trPr>
        <w:tc>
          <w:tcPr>
            <w:tcW w:w="2268" w:type="dxa"/>
            <w:vMerge/>
            <w:vAlign w:val="center"/>
          </w:tcPr>
          <w:p w14:paraId="6E94F1DC" w14:textId="77777777" w:rsidR="00A9409C" w:rsidRPr="00F1144D" w:rsidRDefault="00A9409C" w:rsidP="00094F6F">
            <w:pPr>
              <w:spacing w:after="0" w:line="240" w:lineRule="auto"/>
              <w:jc w:val="center"/>
              <w:rPr>
                <w:rFonts w:ascii="Times New Roman" w:hAnsi="Times New Roman"/>
                <w:sz w:val="24"/>
                <w:szCs w:val="24"/>
              </w:rPr>
            </w:pPr>
          </w:p>
        </w:tc>
        <w:tc>
          <w:tcPr>
            <w:tcW w:w="1701" w:type="dxa"/>
            <w:tcBorders>
              <w:top w:val="single" w:sz="12" w:space="0" w:color="auto"/>
            </w:tcBorders>
            <w:vAlign w:val="center"/>
          </w:tcPr>
          <w:p w14:paraId="630F6667"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984" w:type="dxa"/>
            <w:tcBorders>
              <w:top w:val="single" w:sz="12" w:space="0" w:color="auto"/>
            </w:tcBorders>
            <w:vAlign w:val="center"/>
          </w:tcPr>
          <w:p w14:paraId="60D86365"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49,33</w:t>
            </w:r>
            <w:r w:rsidRPr="00F1144D">
              <w:rPr>
                <w:rFonts w:ascii="Times New Roman" w:hAnsi="Times New Roman"/>
              </w:rPr>
              <w:t>%</w:t>
            </w:r>
          </w:p>
        </w:tc>
        <w:tc>
          <w:tcPr>
            <w:tcW w:w="1984" w:type="dxa"/>
            <w:tcBorders>
              <w:top w:val="single" w:sz="12" w:space="0" w:color="auto"/>
            </w:tcBorders>
            <w:vAlign w:val="center"/>
          </w:tcPr>
          <w:p w14:paraId="6869FBB2" w14:textId="77777777" w:rsidR="00A9409C" w:rsidRPr="00F1144D" w:rsidRDefault="00A9409C" w:rsidP="00094F6F">
            <w:pPr>
              <w:spacing w:after="0" w:line="240" w:lineRule="auto"/>
              <w:jc w:val="center"/>
              <w:rPr>
                <w:rFonts w:ascii="Times New Roman" w:hAnsi="Times New Roman"/>
              </w:rPr>
            </w:pPr>
            <w:r>
              <w:rPr>
                <w:rFonts w:ascii="Times New Roman" w:hAnsi="Times New Roman"/>
              </w:rPr>
              <w:t>50,67%</w:t>
            </w:r>
          </w:p>
        </w:tc>
        <w:tc>
          <w:tcPr>
            <w:tcW w:w="1417" w:type="dxa"/>
            <w:tcBorders>
              <w:top w:val="single" w:sz="12" w:space="0" w:color="auto"/>
            </w:tcBorders>
            <w:vAlign w:val="center"/>
          </w:tcPr>
          <w:p w14:paraId="44E9CBFB"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r>
      <w:tr w:rsidR="00A9409C" w:rsidRPr="00F1144D" w14:paraId="7FFD84EA" w14:textId="77777777" w:rsidTr="00094F6F">
        <w:trPr>
          <w:trHeight w:val="340"/>
          <w:jc w:val="center"/>
        </w:trPr>
        <w:tc>
          <w:tcPr>
            <w:tcW w:w="2268" w:type="dxa"/>
            <w:vMerge/>
            <w:vAlign w:val="center"/>
          </w:tcPr>
          <w:p w14:paraId="2717635C" w14:textId="77777777" w:rsidR="00A9409C" w:rsidRPr="00F1144D" w:rsidRDefault="00A9409C" w:rsidP="00094F6F">
            <w:pPr>
              <w:spacing w:after="0" w:line="240" w:lineRule="auto"/>
              <w:jc w:val="center"/>
              <w:rPr>
                <w:rFonts w:ascii="Times New Roman" w:hAnsi="Times New Roman"/>
                <w:sz w:val="24"/>
                <w:szCs w:val="24"/>
              </w:rPr>
            </w:pPr>
          </w:p>
        </w:tc>
        <w:tc>
          <w:tcPr>
            <w:tcW w:w="1701" w:type="dxa"/>
            <w:vAlign w:val="center"/>
          </w:tcPr>
          <w:p w14:paraId="474B8BF3"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984" w:type="dxa"/>
            <w:vAlign w:val="center"/>
          </w:tcPr>
          <w:p w14:paraId="3844C6B7"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c>
          <w:tcPr>
            <w:tcW w:w="1984" w:type="dxa"/>
            <w:vAlign w:val="center"/>
          </w:tcPr>
          <w:p w14:paraId="4188215D"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c>
          <w:tcPr>
            <w:tcW w:w="1417" w:type="dxa"/>
            <w:vAlign w:val="center"/>
          </w:tcPr>
          <w:p w14:paraId="1E74C02F"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100,00%</w:t>
            </w:r>
          </w:p>
        </w:tc>
      </w:tr>
    </w:tbl>
    <w:p w14:paraId="3BE10DE7" w14:textId="77777777" w:rsidR="00A9409C" w:rsidRDefault="00A9409C" w:rsidP="00A9409C">
      <w:pPr>
        <w:spacing w:after="0" w:line="240" w:lineRule="auto"/>
        <w:ind w:firstLine="567"/>
        <w:jc w:val="both"/>
        <w:rPr>
          <w:rFonts w:ascii="Times New Roman" w:hAnsi="Times New Roman"/>
          <w:sz w:val="28"/>
          <w:szCs w:val="28"/>
        </w:rPr>
      </w:pPr>
    </w:p>
    <w:p w14:paraId="43DF2B5D" w14:textId="77777777" w:rsidR="00A9409C" w:rsidRDefault="00A9409C" w:rsidP="00A9409C">
      <w:pPr>
        <w:spacing w:after="0" w:line="240" w:lineRule="auto"/>
        <w:ind w:firstLine="567"/>
        <w:jc w:val="both"/>
        <w:rPr>
          <w:rFonts w:ascii="Times New Roman" w:hAnsi="Times New Roman"/>
          <w:sz w:val="28"/>
          <w:szCs w:val="28"/>
        </w:rPr>
      </w:pPr>
    </w:p>
    <w:p w14:paraId="638F5D75" w14:textId="77777777" w:rsidR="00A9409C" w:rsidRPr="00F1144D" w:rsidRDefault="00A9409C" w:rsidP="00A9409C">
      <w:pPr>
        <w:widowControl w:val="0"/>
        <w:spacing w:after="0" w:line="240" w:lineRule="auto"/>
        <w:ind w:firstLine="567"/>
        <w:jc w:val="both"/>
        <w:rPr>
          <w:rFonts w:ascii="Times New Roman" w:hAnsi="Times New Roman"/>
          <w:sz w:val="28"/>
          <w:szCs w:val="28"/>
        </w:rPr>
      </w:pPr>
      <w:r w:rsidRPr="00F1144D">
        <w:rPr>
          <w:rFonts w:ascii="Times New Roman" w:hAnsi="Times New Roman"/>
          <w:sz w:val="28"/>
          <w:szCs w:val="28"/>
        </w:rPr>
        <w:t xml:space="preserve">Критическое значение </w:t>
      </w:r>
      <w:r w:rsidRPr="00F1144D">
        <w:rPr>
          <w:rFonts w:ascii="Times New Roman" w:hAnsi="Times New Roman"/>
          <w:b/>
          <w:i/>
          <w:sz w:val="28"/>
          <w:szCs w:val="28"/>
        </w:rPr>
        <w:t>χ</w:t>
      </w:r>
      <w:r w:rsidRPr="00F1144D">
        <w:rPr>
          <w:rFonts w:ascii="Times New Roman" w:hAnsi="Times New Roman"/>
          <w:b/>
          <w:i/>
          <w:sz w:val="28"/>
          <w:szCs w:val="28"/>
          <w:vertAlign w:val="superscript"/>
        </w:rPr>
        <w:t>2</w:t>
      </w:r>
      <w:r w:rsidRPr="00F1144D">
        <w:rPr>
          <w:rFonts w:ascii="Times New Roman" w:hAnsi="Times New Roman"/>
          <w:sz w:val="28"/>
          <w:szCs w:val="28"/>
        </w:rPr>
        <w:t xml:space="preserve"> с поправкой </w:t>
      </w:r>
      <w:proofErr w:type="spellStart"/>
      <w:r w:rsidRPr="00F1144D">
        <w:rPr>
          <w:rFonts w:ascii="Times New Roman" w:hAnsi="Times New Roman"/>
          <w:sz w:val="28"/>
          <w:szCs w:val="28"/>
        </w:rPr>
        <w:t>Йейтса</w:t>
      </w:r>
      <w:proofErr w:type="spellEnd"/>
      <w:r w:rsidRPr="00F1144D">
        <w:rPr>
          <w:rFonts w:ascii="Times New Roman" w:hAnsi="Times New Roman"/>
          <w:sz w:val="28"/>
          <w:szCs w:val="28"/>
        </w:rPr>
        <w:t xml:space="preserve"> при уровне значимости </w:t>
      </w:r>
      <w:r w:rsidRPr="00F1144D">
        <w:rPr>
          <w:rFonts w:ascii="Times New Roman" w:hAnsi="Times New Roman"/>
          <w:sz w:val="28"/>
          <w:szCs w:val="28"/>
          <w:lang w:val="en-US"/>
        </w:rPr>
        <w:t>p</w:t>
      </w:r>
      <w:r w:rsidRPr="00F1144D">
        <w:rPr>
          <w:rFonts w:ascii="Times New Roman" w:hAnsi="Times New Roman"/>
          <w:sz w:val="28"/>
          <w:szCs w:val="28"/>
        </w:rPr>
        <w:t>=0,</w:t>
      </w:r>
      <w:r>
        <w:rPr>
          <w:rFonts w:ascii="Times New Roman" w:hAnsi="Times New Roman"/>
          <w:sz w:val="28"/>
          <w:szCs w:val="28"/>
        </w:rPr>
        <w:t>878</w:t>
      </w:r>
      <w:r w:rsidRPr="00F1144D">
        <w:rPr>
          <w:rFonts w:ascii="Times New Roman" w:hAnsi="Times New Roman"/>
          <w:sz w:val="28"/>
          <w:szCs w:val="28"/>
        </w:rPr>
        <w:t xml:space="preserve"> составляет </w:t>
      </w:r>
      <w:r>
        <w:rPr>
          <w:rFonts w:ascii="Times New Roman" w:hAnsi="Times New Roman"/>
          <w:sz w:val="28"/>
          <w:szCs w:val="28"/>
        </w:rPr>
        <w:t>0,87</w:t>
      </w:r>
      <w:r w:rsidRPr="00F1144D">
        <w:rPr>
          <w:rFonts w:ascii="Times New Roman" w:hAnsi="Times New Roman"/>
          <w:sz w:val="28"/>
          <w:szCs w:val="28"/>
        </w:rPr>
        <w:t>. Относительный риск (</w:t>
      </w:r>
      <w:r w:rsidRPr="00F1144D">
        <w:rPr>
          <w:rFonts w:ascii="Times New Roman" w:hAnsi="Times New Roman"/>
          <w:b/>
          <w:i/>
          <w:sz w:val="28"/>
          <w:szCs w:val="28"/>
          <w:lang w:val="en-US"/>
        </w:rPr>
        <w:t>RR</w:t>
      </w:r>
      <w:r w:rsidRPr="00F1144D">
        <w:rPr>
          <w:rFonts w:ascii="Times New Roman" w:hAnsi="Times New Roman"/>
          <w:sz w:val="28"/>
          <w:szCs w:val="28"/>
        </w:rPr>
        <w:t xml:space="preserve">) составил </w:t>
      </w:r>
      <w:r>
        <w:rPr>
          <w:rFonts w:ascii="Times New Roman" w:hAnsi="Times New Roman"/>
          <w:sz w:val="28"/>
          <w:szCs w:val="28"/>
        </w:rPr>
        <w:t xml:space="preserve">0,94 </w:t>
      </w:r>
      <w:r w:rsidRPr="00F1144D">
        <w:rPr>
          <w:rFonts w:ascii="Times New Roman" w:hAnsi="Times New Roman"/>
          <w:sz w:val="28"/>
          <w:szCs w:val="28"/>
        </w:rPr>
        <w:t>(95% ДИ=</w:t>
      </w:r>
      <w:r>
        <w:rPr>
          <w:rFonts w:ascii="Times New Roman" w:hAnsi="Times New Roman"/>
          <w:sz w:val="28"/>
          <w:szCs w:val="28"/>
        </w:rPr>
        <w:t>0,69-1,31</w:t>
      </w:r>
      <w:r w:rsidRPr="00F1144D">
        <w:rPr>
          <w:rFonts w:ascii="Times New Roman" w:hAnsi="Times New Roman"/>
          <w:sz w:val="28"/>
          <w:szCs w:val="28"/>
        </w:rPr>
        <w:t>)</w:t>
      </w:r>
      <w:r>
        <w:rPr>
          <w:rFonts w:ascii="Times New Roman" w:hAnsi="Times New Roman"/>
          <w:sz w:val="28"/>
          <w:szCs w:val="28"/>
        </w:rPr>
        <w:t xml:space="preserve">, что </w:t>
      </w:r>
      <w:r w:rsidRPr="00F1144D">
        <w:rPr>
          <w:rFonts w:ascii="Times New Roman" w:hAnsi="Times New Roman"/>
          <w:sz w:val="28"/>
          <w:szCs w:val="28"/>
        </w:rPr>
        <w:t>свидетельствует о</w:t>
      </w:r>
      <w:r>
        <w:rPr>
          <w:rFonts w:ascii="Times New Roman" w:hAnsi="Times New Roman"/>
          <w:sz w:val="28"/>
          <w:szCs w:val="28"/>
        </w:rPr>
        <w:t xml:space="preserve">б отсутствии </w:t>
      </w:r>
      <w:r w:rsidRPr="00F1144D">
        <w:rPr>
          <w:rFonts w:ascii="Times New Roman" w:hAnsi="Times New Roman"/>
          <w:sz w:val="28"/>
          <w:szCs w:val="28"/>
        </w:rPr>
        <w:t xml:space="preserve">связи между </w:t>
      </w:r>
      <w:r>
        <w:rPr>
          <w:rFonts w:ascii="Times New Roman" w:hAnsi="Times New Roman"/>
          <w:sz w:val="28"/>
          <w:szCs w:val="28"/>
        </w:rPr>
        <w:t>полом</w:t>
      </w:r>
      <w:r w:rsidRPr="00F1144D">
        <w:rPr>
          <w:rFonts w:ascii="Times New Roman" w:hAnsi="Times New Roman"/>
          <w:sz w:val="28"/>
          <w:szCs w:val="28"/>
        </w:rPr>
        <w:t xml:space="preserve"> и </w:t>
      </w:r>
      <w:r>
        <w:rPr>
          <w:rFonts w:ascii="Times New Roman" w:hAnsi="Times New Roman"/>
          <w:sz w:val="28"/>
          <w:szCs w:val="28"/>
        </w:rPr>
        <w:t>исходом болезни</w:t>
      </w:r>
      <w:r w:rsidRPr="00F1144D">
        <w:rPr>
          <w:rFonts w:ascii="Times New Roman" w:hAnsi="Times New Roman"/>
          <w:sz w:val="28"/>
          <w:szCs w:val="28"/>
        </w:rPr>
        <w:t>.</w:t>
      </w:r>
    </w:p>
    <w:p w14:paraId="0E014712" w14:textId="77777777" w:rsidR="00A9409C" w:rsidRDefault="00A9409C" w:rsidP="00A9409C">
      <w:pPr>
        <w:widowControl w:val="0"/>
        <w:spacing w:after="0" w:line="240" w:lineRule="auto"/>
        <w:ind w:firstLine="567"/>
        <w:jc w:val="both"/>
        <w:rPr>
          <w:rFonts w:ascii="Times New Roman" w:hAnsi="Times New Roman"/>
          <w:sz w:val="28"/>
          <w:szCs w:val="28"/>
        </w:rPr>
      </w:pPr>
      <w:r w:rsidRPr="002E7B5D">
        <w:rPr>
          <w:rFonts w:ascii="Times New Roman" w:hAnsi="Times New Roman"/>
          <w:sz w:val="28"/>
          <w:szCs w:val="28"/>
        </w:rPr>
        <w:t xml:space="preserve">Анализ исследования связи </w:t>
      </w:r>
      <w:r>
        <w:rPr>
          <w:rFonts w:ascii="Times New Roman" w:hAnsi="Times New Roman"/>
          <w:sz w:val="28"/>
          <w:szCs w:val="28"/>
        </w:rPr>
        <w:t>пола и наличия сопутствующих заболеваний</w:t>
      </w:r>
      <w:r w:rsidRPr="002E7B5D">
        <w:rPr>
          <w:rFonts w:ascii="Times New Roman" w:hAnsi="Times New Roman"/>
          <w:sz w:val="28"/>
          <w:szCs w:val="28"/>
        </w:rPr>
        <w:t xml:space="preserve">. Для этого были </w:t>
      </w:r>
      <w:r>
        <w:rPr>
          <w:rFonts w:ascii="Times New Roman" w:hAnsi="Times New Roman"/>
          <w:sz w:val="28"/>
          <w:szCs w:val="28"/>
        </w:rPr>
        <w:t>исследованы</w:t>
      </w:r>
      <w:r w:rsidRPr="002E7B5D">
        <w:rPr>
          <w:rFonts w:ascii="Times New Roman" w:hAnsi="Times New Roman"/>
          <w:sz w:val="28"/>
          <w:szCs w:val="28"/>
        </w:rPr>
        <w:t xml:space="preserve"> две группы – в первую вошли </w:t>
      </w:r>
      <w:r>
        <w:rPr>
          <w:rFonts w:ascii="Times New Roman" w:hAnsi="Times New Roman"/>
          <w:sz w:val="28"/>
          <w:szCs w:val="28"/>
        </w:rPr>
        <w:t>77 мужчин</w:t>
      </w:r>
      <w:r w:rsidRPr="002E7B5D">
        <w:rPr>
          <w:rFonts w:ascii="Times New Roman" w:hAnsi="Times New Roman"/>
          <w:sz w:val="28"/>
          <w:szCs w:val="28"/>
        </w:rPr>
        <w:t xml:space="preserve">, во вторую группу – </w:t>
      </w:r>
      <w:r>
        <w:rPr>
          <w:rFonts w:ascii="Times New Roman" w:hAnsi="Times New Roman"/>
          <w:sz w:val="28"/>
          <w:szCs w:val="28"/>
        </w:rPr>
        <w:t>73 женщин</w:t>
      </w:r>
      <w:r w:rsidRPr="002E7B5D">
        <w:rPr>
          <w:rFonts w:ascii="Times New Roman" w:hAnsi="Times New Roman"/>
          <w:sz w:val="28"/>
          <w:szCs w:val="28"/>
        </w:rPr>
        <w:t xml:space="preserve">. </w:t>
      </w:r>
      <w:r>
        <w:rPr>
          <w:rFonts w:ascii="Times New Roman" w:hAnsi="Times New Roman"/>
          <w:sz w:val="28"/>
          <w:szCs w:val="28"/>
        </w:rPr>
        <w:t>Сопутствующие заболевания были выявлены у 51 мужчин и 45 у женщин</w:t>
      </w:r>
      <w:r w:rsidRPr="002E7B5D">
        <w:rPr>
          <w:rFonts w:ascii="Times New Roman" w:hAnsi="Times New Roman"/>
          <w:sz w:val="28"/>
          <w:szCs w:val="28"/>
        </w:rPr>
        <w:t xml:space="preserve">. Соответственно </w:t>
      </w:r>
      <w:r>
        <w:rPr>
          <w:rFonts w:ascii="Times New Roman" w:hAnsi="Times New Roman"/>
          <w:sz w:val="28"/>
          <w:szCs w:val="28"/>
        </w:rPr>
        <w:t xml:space="preserve">не </w:t>
      </w:r>
      <w:r w:rsidRPr="002E7B5D">
        <w:rPr>
          <w:rFonts w:ascii="Times New Roman" w:hAnsi="Times New Roman"/>
          <w:sz w:val="28"/>
          <w:szCs w:val="28"/>
        </w:rPr>
        <w:t>был</w:t>
      </w:r>
      <w:r>
        <w:rPr>
          <w:rFonts w:ascii="Times New Roman" w:hAnsi="Times New Roman"/>
          <w:sz w:val="28"/>
          <w:szCs w:val="28"/>
        </w:rPr>
        <w:t xml:space="preserve">о у 26 мужчин и у 28 женщин </w:t>
      </w:r>
      <w:r w:rsidRPr="002E7B5D">
        <w:rPr>
          <w:rFonts w:ascii="Times New Roman" w:hAnsi="Times New Roman"/>
          <w:sz w:val="28"/>
          <w:szCs w:val="28"/>
        </w:rPr>
        <w:t xml:space="preserve">(таблица </w:t>
      </w:r>
      <w:r w:rsidRPr="00870ADF">
        <w:rPr>
          <w:rFonts w:ascii="Times New Roman" w:hAnsi="Times New Roman"/>
          <w:sz w:val="28"/>
          <w:szCs w:val="28"/>
        </w:rPr>
        <w:t>20</w:t>
      </w:r>
      <w:r>
        <w:rPr>
          <w:rFonts w:ascii="Times New Roman" w:hAnsi="Times New Roman"/>
          <w:sz w:val="28"/>
          <w:szCs w:val="28"/>
        </w:rPr>
        <w:t>)</w:t>
      </w:r>
      <w:r w:rsidRPr="002E7B5D">
        <w:rPr>
          <w:rFonts w:ascii="Times New Roman" w:hAnsi="Times New Roman"/>
          <w:sz w:val="28"/>
          <w:szCs w:val="28"/>
        </w:rPr>
        <w:t>.</w:t>
      </w:r>
    </w:p>
    <w:p w14:paraId="621030CA" w14:textId="77777777" w:rsidR="00A9409C" w:rsidRDefault="00A9409C" w:rsidP="00A9409C">
      <w:pPr>
        <w:widowControl w:val="0"/>
        <w:spacing w:after="0" w:line="240" w:lineRule="auto"/>
        <w:ind w:firstLine="567"/>
        <w:jc w:val="both"/>
        <w:rPr>
          <w:rFonts w:ascii="Times New Roman" w:hAnsi="Times New Roman"/>
          <w:sz w:val="28"/>
          <w:szCs w:val="28"/>
        </w:rPr>
      </w:pPr>
    </w:p>
    <w:p w14:paraId="222C9884" w14:textId="77777777" w:rsidR="00A9409C" w:rsidRPr="00F1144D" w:rsidRDefault="00A9409C" w:rsidP="00A9409C">
      <w:pPr>
        <w:spacing w:after="0" w:line="240" w:lineRule="auto"/>
        <w:jc w:val="both"/>
        <w:rPr>
          <w:rFonts w:ascii="Times New Roman" w:hAnsi="Times New Roman"/>
          <w:sz w:val="28"/>
          <w:szCs w:val="28"/>
        </w:rPr>
      </w:pPr>
      <w:r w:rsidRPr="00F1144D">
        <w:rPr>
          <w:rFonts w:ascii="Times New Roman" w:hAnsi="Times New Roman"/>
          <w:sz w:val="28"/>
          <w:szCs w:val="28"/>
        </w:rPr>
        <w:t xml:space="preserve">Таблица </w:t>
      </w:r>
      <w:r w:rsidRPr="00870ADF">
        <w:rPr>
          <w:rFonts w:ascii="Times New Roman" w:hAnsi="Times New Roman"/>
          <w:sz w:val="28"/>
          <w:szCs w:val="28"/>
        </w:rPr>
        <w:t>20</w:t>
      </w:r>
      <w:r w:rsidRPr="00F1144D">
        <w:rPr>
          <w:rFonts w:ascii="Times New Roman" w:hAnsi="Times New Roman"/>
          <w:sz w:val="28"/>
          <w:szCs w:val="28"/>
        </w:rPr>
        <w:t xml:space="preserve"> – Оценка связи между факторным (</w:t>
      </w:r>
      <w:r>
        <w:rPr>
          <w:rFonts w:ascii="Times New Roman" w:hAnsi="Times New Roman"/>
          <w:sz w:val="28"/>
          <w:szCs w:val="28"/>
        </w:rPr>
        <w:t>пол</w:t>
      </w:r>
      <w:r w:rsidRPr="00F1144D">
        <w:rPr>
          <w:rFonts w:ascii="Times New Roman" w:hAnsi="Times New Roman"/>
          <w:sz w:val="28"/>
          <w:szCs w:val="28"/>
        </w:rPr>
        <w:t>) и результативным (</w:t>
      </w:r>
      <w:r>
        <w:rPr>
          <w:rFonts w:ascii="Times New Roman" w:hAnsi="Times New Roman"/>
          <w:sz w:val="28"/>
          <w:szCs w:val="28"/>
        </w:rPr>
        <w:t>сопутствующие болезни</w:t>
      </w:r>
      <w:r w:rsidRPr="00F1144D">
        <w:rPr>
          <w:rFonts w:ascii="Times New Roman" w:hAnsi="Times New Roman"/>
          <w:sz w:val="28"/>
          <w:szCs w:val="28"/>
        </w:rPr>
        <w:t>) признаками у исследуемых больных</w:t>
      </w:r>
    </w:p>
    <w:p w14:paraId="23E3BF58" w14:textId="77777777" w:rsidR="00A9409C" w:rsidRPr="00F1144D" w:rsidRDefault="00A9409C" w:rsidP="00A9409C">
      <w:pPr>
        <w:spacing w:after="0" w:line="240" w:lineRule="auto"/>
        <w:ind w:firstLine="567"/>
        <w:jc w:val="both"/>
        <w:rPr>
          <w:rFonts w:ascii="Times New Roman" w:hAnsi="Times New Roman"/>
          <w:sz w:val="28"/>
          <w:szCs w:val="28"/>
        </w:rPr>
      </w:pPr>
    </w:p>
    <w:tbl>
      <w:tblPr>
        <w:tblStyle w:val="af1"/>
        <w:tblW w:w="9354" w:type="dxa"/>
        <w:jc w:val="center"/>
        <w:tblLook w:val="04A0" w:firstRow="1" w:lastRow="0" w:firstColumn="1" w:lastColumn="0" w:noHBand="0" w:noVBand="1"/>
      </w:tblPr>
      <w:tblGrid>
        <w:gridCol w:w="2268"/>
        <w:gridCol w:w="1701"/>
        <w:gridCol w:w="1984"/>
        <w:gridCol w:w="1984"/>
        <w:gridCol w:w="1417"/>
      </w:tblGrid>
      <w:tr w:rsidR="00A9409C" w:rsidRPr="00F1144D" w14:paraId="00E2468D" w14:textId="77777777" w:rsidTr="00094F6F">
        <w:trPr>
          <w:trHeight w:val="340"/>
          <w:jc w:val="center"/>
        </w:trPr>
        <w:tc>
          <w:tcPr>
            <w:tcW w:w="3969" w:type="dxa"/>
            <w:gridSpan w:val="2"/>
            <w:vMerge w:val="restart"/>
            <w:vAlign w:val="center"/>
          </w:tcPr>
          <w:p w14:paraId="73306011"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Факторный признак</w:t>
            </w:r>
          </w:p>
          <w:p w14:paraId="21E268DC" w14:textId="77777777" w:rsidR="00A9409C" w:rsidRPr="000D17BF"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пол</w:t>
            </w:r>
            <w:proofErr w:type="gramEnd"/>
          </w:p>
        </w:tc>
        <w:tc>
          <w:tcPr>
            <w:tcW w:w="3968" w:type="dxa"/>
            <w:gridSpan w:val="2"/>
            <w:vAlign w:val="center"/>
          </w:tcPr>
          <w:p w14:paraId="05DD7CFE"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Результативный признак</w:t>
            </w:r>
          </w:p>
          <w:p w14:paraId="1D10D12D"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сопутствующие</w:t>
            </w:r>
            <w:proofErr w:type="gramEnd"/>
            <w:r>
              <w:rPr>
                <w:rFonts w:ascii="Times New Roman" w:hAnsi="Times New Roman"/>
                <w:i/>
                <w:sz w:val="24"/>
                <w:szCs w:val="24"/>
              </w:rPr>
              <w:t xml:space="preserve"> болезни</w:t>
            </w:r>
          </w:p>
        </w:tc>
        <w:tc>
          <w:tcPr>
            <w:tcW w:w="1417" w:type="dxa"/>
            <w:vMerge w:val="restart"/>
            <w:vAlign w:val="center"/>
          </w:tcPr>
          <w:p w14:paraId="293567F7" w14:textId="77777777" w:rsidR="00A9409C" w:rsidRPr="00F1144D" w:rsidRDefault="00A9409C" w:rsidP="00094F6F">
            <w:pPr>
              <w:spacing w:after="0" w:line="240" w:lineRule="auto"/>
              <w:jc w:val="center"/>
              <w:rPr>
                <w:rFonts w:ascii="Times New Roman" w:hAnsi="Times New Roman"/>
                <w:b/>
                <w:sz w:val="24"/>
                <w:szCs w:val="24"/>
              </w:rPr>
            </w:pPr>
            <w:r w:rsidRPr="00F1144D">
              <w:rPr>
                <w:rFonts w:ascii="Times New Roman" w:hAnsi="Times New Roman"/>
                <w:b/>
                <w:sz w:val="24"/>
                <w:szCs w:val="24"/>
              </w:rPr>
              <w:t>Итого</w:t>
            </w:r>
          </w:p>
        </w:tc>
      </w:tr>
      <w:tr w:rsidR="00A9409C" w:rsidRPr="00F1144D" w14:paraId="36EF2B33" w14:textId="77777777" w:rsidTr="00094F6F">
        <w:trPr>
          <w:trHeight w:val="340"/>
          <w:jc w:val="center"/>
        </w:trPr>
        <w:tc>
          <w:tcPr>
            <w:tcW w:w="3969" w:type="dxa"/>
            <w:gridSpan w:val="2"/>
            <w:vMerge/>
            <w:vAlign w:val="center"/>
          </w:tcPr>
          <w:p w14:paraId="03B93E35" w14:textId="77777777" w:rsidR="00A9409C" w:rsidRPr="00F1144D" w:rsidRDefault="00A9409C" w:rsidP="00094F6F">
            <w:pPr>
              <w:spacing w:after="0" w:line="240" w:lineRule="auto"/>
              <w:jc w:val="center"/>
              <w:rPr>
                <w:rFonts w:ascii="Times New Roman" w:hAnsi="Times New Roman"/>
                <w:sz w:val="24"/>
                <w:szCs w:val="24"/>
              </w:rPr>
            </w:pPr>
          </w:p>
        </w:tc>
        <w:tc>
          <w:tcPr>
            <w:tcW w:w="1984" w:type="dxa"/>
            <w:tcBorders>
              <w:bottom w:val="single" w:sz="12" w:space="0" w:color="auto"/>
            </w:tcBorders>
            <w:vAlign w:val="center"/>
          </w:tcPr>
          <w:p w14:paraId="74942675"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есть</w:t>
            </w:r>
            <w:proofErr w:type="gramEnd"/>
          </w:p>
        </w:tc>
        <w:tc>
          <w:tcPr>
            <w:tcW w:w="1984" w:type="dxa"/>
            <w:vAlign w:val="center"/>
          </w:tcPr>
          <w:p w14:paraId="72944C79"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нет</w:t>
            </w:r>
            <w:proofErr w:type="gramEnd"/>
          </w:p>
        </w:tc>
        <w:tc>
          <w:tcPr>
            <w:tcW w:w="1417" w:type="dxa"/>
            <w:vMerge/>
            <w:vAlign w:val="center"/>
          </w:tcPr>
          <w:p w14:paraId="3E46A330" w14:textId="77777777" w:rsidR="00A9409C" w:rsidRPr="00F1144D" w:rsidRDefault="00A9409C" w:rsidP="00094F6F">
            <w:pPr>
              <w:spacing w:after="0" w:line="240" w:lineRule="auto"/>
              <w:jc w:val="center"/>
              <w:rPr>
                <w:rFonts w:ascii="Times New Roman" w:hAnsi="Times New Roman"/>
                <w:sz w:val="24"/>
                <w:szCs w:val="24"/>
              </w:rPr>
            </w:pPr>
          </w:p>
        </w:tc>
      </w:tr>
      <w:tr w:rsidR="00A9409C" w:rsidRPr="00F1144D" w14:paraId="5CF6019B" w14:textId="77777777" w:rsidTr="00094F6F">
        <w:trPr>
          <w:trHeight w:val="340"/>
          <w:jc w:val="center"/>
        </w:trPr>
        <w:tc>
          <w:tcPr>
            <w:tcW w:w="2268" w:type="dxa"/>
            <w:vMerge w:val="restart"/>
            <w:tcBorders>
              <w:right w:val="single" w:sz="12" w:space="0" w:color="auto"/>
            </w:tcBorders>
            <w:vAlign w:val="center"/>
          </w:tcPr>
          <w:p w14:paraId="1059174D"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мужчины</w:t>
            </w:r>
            <w:proofErr w:type="gramEnd"/>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44DF9B4C"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51558089" w14:textId="77777777" w:rsidR="00A9409C" w:rsidRPr="00DC6975" w:rsidRDefault="00A9409C" w:rsidP="00094F6F">
            <w:pPr>
              <w:spacing w:after="0" w:line="240" w:lineRule="auto"/>
              <w:jc w:val="center"/>
              <w:rPr>
                <w:rFonts w:ascii="Times New Roman" w:hAnsi="Times New Roman"/>
                <w:b/>
                <w:bCs/>
                <w:sz w:val="24"/>
                <w:szCs w:val="24"/>
              </w:rPr>
            </w:pPr>
            <w:r w:rsidRPr="00DC6975">
              <w:rPr>
                <w:rFonts w:ascii="Times New Roman" w:hAnsi="Times New Roman"/>
                <w:b/>
                <w:bCs/>
                <w:color w:val="000000"/>
                <w:sz w:val="24"/>
                <w:szCs w:val="24"/>
              </w:rPr>
              <w:t>51</w:t>
            </w:r>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5830DE03" w14:textId="77777777" w:rsidR="00A9409C" w:rsidRPr="00DC6975" w:rsidRDefault="00A9409C" w:rsidP="00094F6F">
            <w:pPr>
              <w:spacing w:after="0" w:line="240" w:lineRule="auto"/>
              <w:jc w:val="center"/>
              <w:rPr>
                <w:rFonts w:ascii="Times New Roman" w:hAnsi="Times New Roman"/>
                <w:b/>
                <w:bCs/>
                <w:sz w:val="24"/>
                <w:szCs w:val="24"/>
              </w:rPr>
            </w:pPr>
            <w:r w:rsidRPr="00DC6975">
              <w:rPr>
                <w:rFonts w:ascii="Times New Roman" w:hAnsi="Times New Roman"/>
                <w:b/>
                <w:bCs/>
                <w:color w:val="000000"/>
                <w:sz w:val="24"/>
                <w:szCs w:val="24"/>
              </w:rPr>
              <w:t>26</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65C1F58D" w14:textId="77777777" w:rsidR="00A9409C" w:rsidRPr="00DC6975" w:rsidRDefault="00A9409C" w:rsidP="00094F6F">
            <w:pPr>
              <w:spacing w:after="0" w:line="240" w:lineRule="auto"/>
              <w:jc w:val="center"/>
              <w:rPr>
                <w:rFonts w:ascii="Times New Roman" w:hAnsi="Times New Roman"/>
                <w:b/>
                <w:bCs/>
                <w:sz w:val="24"/>
                <w:szCs w:val="24"/>
              </w:rPr>
            </w:pPr>
            <w:r w:rsidRPr="00DC6975">
              <w:rPr>
                <w:rFonts w:ascii="Times New Roman" w:hAnsi="Times New Roman"/>
                <w:b/>
                <w:bCs/>
                <w:color w:val="000000"/>
                <w:sz w:val="24"/>
                <w:szCs w:val="24"/>
              </w:rPr>
              <w:t>77</w:t>
            </w:r>
          </w:p>
        </w:tc>
      </w:tr>
      <w:tr w:rsidR="00A9409C" w:rsidRPr="00F1144D" w14:paraId="64F5313C" w14:textId="77777777" w:rsidTr="00094F6F">
        <w:trPr>
          <w:trHeight w:val="340"/>
          <w:jc w:val="center"/>
        </w:trPr>
        <w:tc>
          <w:tcPr>
            <w:tcW w:w="2268" w:type="dxa"/>
            <w:vMerge/>
            <w:vAlign w:val="center"/>
          </w:tcPr>
          <w:p w14:paraId="64A879EA" w14:textId="77777777" w:rsidR="00A9409C" w:rsidRPr="00F1144D" w:rsidRDefault="00A9409C" w:rsidP="00094F6F">
            <w:pPr>
              <w:spacing w:after="0" w:line="240" w:lineRule="auto"/>
              <w:jc w:val="center"/>
              <w:rPr>
                <w:rFonts w:ascii="Times New Roman" w:hAnsi="Times New Roman"/>
                <w:i/>
                <w:sz w:val="24"/>
                <w:szCs w:val="24"/>
              </w:rPr>
            </w:pPr>
          </w:p>
        </w:tc>
        <w:tc>
          <w:tcPr>
            <w:tcW w:w="1701" w:type="dxa"/>
            <w:tcBorders>
              <w:top w:val="single" w:sz="12" w:space="0" w:color="auto"/>
            </w:tcBorders>
            <w:vAlign w:val="center"/>
          </w:tcPr>
          <w:p w14:paraId="2E59E159"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984" w:type="dxa"/>
            <w:tcBorders>
              <w:top w:val="single" w:sz="12" w:space="0" w:color="auto"/>
            </w:tcBorders>
            <w:vAlign w:val="center"/>
          </w:tcPr>
          <w:p w14:paraId="4926D6EB"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66,23</w:t>
            </w:r>
            <w:r>
              <w:rPr>
                <w:rFonts w:ascii="Times New Roman" w:hAnsi="Times New Roman"/>
                <w:color w:val="000000"/>
                <w:sz w:val="24"/>
                <w:szCs w:val="24"/>
              </w:rPr>
              <w:t>%</w:t>
            </w:r>
          </w:p>
        </w:tc>
        <w:tc>
          <w:tcPr>
            <w:tcW w:w="1984" w:type="dxa"/>
            <w:vAlign w:val="center"/>
          </w:tcPr>
          <w:p w14:paraId="720FC910"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33,77</w:t>
            </w:r>
            <w:r>
              <w:rPr>
                <w:rFonts w:ascii="Times New Roman" w:hAnsi="Times New Roman"/>
                <w:color w:val="000000"/>
                <w:sz w:val="24"/>
                <w:szCs w:val="24"/>
              </w:rPr>
              <w:t>%</w:t>
            </w:r>
          </w:p>
        </w:tc>
        <w:tc>
          <w:tcPr>
            <w:tcW w:w="1417" w:type="dxa"/>
            <w:vAlign w:val="center"/>
          </w:tcPr>
          <w:p w14:paraId="62A166E4"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100</w:t>
            </w:r>
            <w:r>
              <w:rPr>
                <w:rFonts w:ascii="Times New Roman" w:hAnsi="Times New Roman"/>
                <w:color w:val="000000"/>
                <w:sz w:val="24"/>
                <w:szCs w:val="24"/>
              </w:rPr>
              <w:t>,00%</w:t>
            </w:r>
          </w:p>
        </w:tc>
      </w:tr>
      <w:tr w:rsidR="00A9409C" w:rsidRPr="00F1144D" w14:paraId="46D8E9D5" w14:textId="77777777" w:rsidTr="00094F6F">
        <w:trPr>
          <w:trHeight w:val="340"/>
          <w:jc w:val="center"/>
        </w:trPr>
        <w:tc>
          <w:tcPr>
            <w:tcW w:w="2268" w:type="dxa"/>
            <w:vMerge/>
            <w:vAlign w:val="center"/>
          </w:tcPr>
          <w:p w14:paraId="2D6EC708" w14:textId="77777777" w:rsidR="00A9409C" w:rsidRPr="00F1144D" w:rsidRDefault="00A9409C" w:rsidP="00094F6F">
            <w:pPr>
              <w:spacing w:after="0" w:line="240" w:lineRule="auto"/>
              <w:jc w:val="center"/>
              <w:rPr>
                <w:rFonts w:ascii="Times New Roman" w:hAnsi="Times New Roman"/>
                <w:i/>
                <w:sz w:val="24"/>
                <w:szCs w:val="24"/>
              </w:rPr>
            </w:pPr>
          </w:p>
        </w:tc>
        <w:tc>
          <w:tcPr>
            <w:tcW w:w="1701" w:type="dxa"/>
            <w:tcBorders>
              <w:bottom w:val="single" w:sz="12" w:space="0" w:color="auto"/>
            </w:tcBorders>
            <w:vAlign w:val="center"/>
          </w:tcPr>
          <w:p w14:paraId="0DD63788"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984" w:type="dxa"/>
            <w:tcBorders>
              <w:bottom w:val="single" w:sz="12" w:space="0" w:color="auto"/>
            </w:tcBorders>
            <w:vAlign w:val="center"/>
          </w:tcPr>
          <w:p w14:paraId="6E1D03AB"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53,13</w:t>
            </w:r>
            <w:r>
              <w:rPr>
                <w:rFonts w:ascii="Times New Roman" w:hAnsi="Times New Roman"/>
                <w:color w:val="000000"/>
                <w:sz w:val="24"/>
                <w:szCs w:val="24"/>
              </w:rPr>
              <w:t>%</w:t>
            </w:r>
          </w:p>
        </w:tc>
        <w:tc>
          <w:tcPr>
            <w:tcW w:w="1984" w:type="dxa"/>
            <w:tcBorders>
              <w:bottom w:val="single" w:sz="12" w:space="0" w:color="auto"/>
            </w:tcBorders>
            <w:vAlign w:val="center"/>
          </w:tcPr>
          <w:p w14:paraId="6A2297DA"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48,15</w:t>
            </w:r>
            <w:r>
              <w:rPr>
                <w:rFonts w:ascii="Times New Roman" w:hAnsi="Times New Roman"/>
                <w:color w:val="000000"/>
                <w:sz w:val="24"/>
                <w:szCs w:val="24"/>
              </w:rPr>
              <w:t>%</w:t>
            </w:r>
          </w:p>
        </w:tc>
        <w:tc>
          <w:tcPr>
            <w:tcW w:w="1417" w:type="dxa"/>
            <w:tcBorders>
              <w:bottom w:val="single" w:sz="12" w:space="0" w:color="auto"/>
            </w:tcBorders>
            <w:vAlign w:val="center"/>
          </w:tcPr>
          <w:p w14:paraId="4C287337"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51,33</w:t>
            </w:r>
            <w:r>
              <w:rPr>
                <w:rFonts w:ascii="Times New Roman" w:hAnsi="Times New Roman"/>
                <w:color w:val="000000"/>
                <w:sz w:val="24"/>
                <w:szCs w:val="24"/>
              </w:rPr>
              <w:t>%</w:t>
            </w:r>
          </w:p>
        </w:tc>
      </w:tr>
      <w:tr w:rsidR="00A9409C" w:rsidRPr="00F1144D" w14:paraId="140FC189" w14:textId="77777777" w:rsidTr="00094F6F">
        <w:trPr>
          <w:trHeight w:val="340"/>
          <w:jc w:val="center"/>
        </w:trPr>
        <w:tc>
          <w:tcPr>
            <w:tcW w:w="2268" w:type="dxa"/>
            <w:vMerge w:val="restart"/>
            <w:tcBorders>
              <w:right w:val="single" w:sz="12" w:space="0" w:color="auto"/>
            </w:tcBorders>
            <w:vAlign w:val="center"/>
          </w:tcPr>
          <w:p w14:paraId="0A8F7CF4" w14:textId="77777777" w:rsidR="00A9409C" w:rsidRPr="00F1144D" w:rsidRDefault="00A9409C" w:rsidP="00094F6F">
            <w:pPr>
              <w:spacing w:after="0" w:line="240" w:lineRule="auto"/>
              <w:jc w:val="center"/>
              <w:rPr>
                <w:rFonts w:ascii="Times New Roman" w:hAnsi="Times New Roman"/>
                <w:i/>
                <w:sz w:val="24"/>
                <w:szCs w:val="24"/>
              </w:rPr>
            </w:pPr>
            <w:proofErr w:type="gramStart"/>
            <w:r>
              <w:rPr>
                <w:rFonts w:ascii="Times New Roman" w:hAnsi="Times New Roman"/>
                <w:i/>
                <w:sz w:val="24"/>
                <w:szCs w:val="24"/>
              </w:rPr>
              <w:t>женщины</w:t>
            </w:r>
            <w:proofErr w:type="gramEnd"/>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DB957AF"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A65B383" w14:textId="77777777" w:rsidR="00A9409C" w:rsidRPr="00DC6975" w:rsidRDefault="00A9409C" w:rsidP="00094F6F">
            <w:pPr>
              <w:spacing w:after="0" w:line="240" w:lineRule="auto"/>
              <w:jc w:val="center"/>
              <w:rPr>
                <w:rFonts w:ascii="Times New Roman" w:hAnsi="Times New Roman"/>
                <w:b/>
                <w:bCs/>
                <w:sz w:val="24"/>
                <w:szCs w:val="24"/>
              </w:rPr>
            </w:pPr>
            <w:r w:rsidRPr="00DC6975">
              <w:rPr>
                <w:rFonts w:ascii="Times New Roman" w:hAnsi="Times New Roman"/>
                <w:b/>
                <w:bCs/>
                <w:color w:val="000000"/>
                <w:sz w:val="24"/>
                <w:szCs w:val="24"/>
              </w:rPr>
              <w:t>45</w:t>
            </w:r>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7AA46162" w14:textId="77777777" w:rsidR="00A9409C" w:rsidRPr="00DC6975" w:rsidRDefault="00A9409C" w:rsidP="00094F6F">
            <w:pPr>
              <w:spacing w:after="0" w:line="240" w:lineRule="auto"/>
              <w:jc w:val="center"/>
              <w:rPr>
                <w:rFonts w:ascii="Times New Roman" w:hAnsi="Times New Roman"/>
                <w:b/>
                <w:bCs/>
                <w:sz w:val="24"/>
                <w:szCs w:val="24"/>
              </w:rPr>
            </w:pPr>
            <w:r w:rsidRPr="00DC6975">
              <w:rPr>
                <w:rFonts w:ascii="Times New Roman" w:hAnsi="Times New Roman"/>
                <w:b/>
                <w:bCs/>
                <w:color w:val="000000"/>
                <w:sz w:val="24"/>
                <w:szCs w:val="24"/>
              </w:rPr>
              <w:t>28</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F38E0AB" w14:textId="77777777" w:rsidR="00A9409C" w:rsidRPr="00DC6975" w:rsidRDefault="00A9409C" w:rsidP="00094F6F">
            <w:pPr>
              <w:spacing w:after="0" w:line="240" w:lineRule="auto"/>
              <w:jc w:val="center"/>
              <w:rPr>
                <w:rFonts w:ascii="Times New Roman" w:hAnsi="Times New Roman"/>
                <w:b/>
                <w:bCs/>
                <w:sz w:val="24"/>
                <w:szCs w:val="24"/>
              </w:rPr>
            </w:pPr>
            <w:r w:rsidRPr="00DC6975">
              <w:rPr>
                <w:rFonts w:ascii="Times New Roman" w:hAnsi="Times New Roman"/>
                <w:b/>
                <w:bCs/>
                <w:color w:val="000000"/>
                <w:sz w:val="24"/>
                <w:szCs w:val="24"/>
              </w:rPr>
              <w:t>73</w:t>
            </w:r>
          </w:p>
        </w:tc>
      </w:tr>
      <w:tr w:rsidR="00A9409C" w:rsidRPr="00F1144D" w14:paraId="0AD87EEB" w14:textId="77777777" w:rsidTr="00094F6F">
        <w:trPr>
          <w:trHeight w:val="340"/>
          <w:jc w:val="center"/>
        </w:trPr>
        <w:tc>
          <w:tcPr>
            <w:tcW w:w="2268" w:type="dxa"/>
            <w:vMerge/>
            <w:vAlign w:val="center"/>
          </w:tcPr>
          <w:p w14:paraId="3B806E33" w14:textId="77777777" w:rsidR="00A9409C" w:rsidRPr="00F1144D" w:rsidRDefault="00A9409C" w:rsidP="00094F6F">
            <w:pPr>
              <w:spacing w:after="0" w:line="240" w:lineRule="auto"/>
              <w:jc w:val="center"/>
              <w:rPr>
                <w:rFonts w:ascii="Times New Roman" w:hAnsi="Times New Roman"/>
                <w:sz w:val="24"/>
                <w:szCs w:val="24"/>
              </w:rPr>
            </w:pPr>
          </w:p>
        </w:tc>
        <w:tc>
          <w:tcPr>
            <w:tcW w:w="1701" w:type="dxa"/>
            <w:tcBorders>
              <w:top w:val="single" w:sz="12" w:space="0" w:color="auto"/>
            </w:tcBorders>
            <w:vAlign w:val="center"/>
          </w:tcPr>
          <w:p w14:paraId="491074AA"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984" w:type="dxa"/>
            <w:tcBorders>
              <w:top w:val="single" w:sz="12" w:space="0" w:color="auto"/>
            </w:tcBorders>
            <w:vAlign w:val="center"/>
          </w:tcPr>
          <w:p w14:paraId="17588B4E"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61,64</w:t>
            </w:r>
            <w:r>
              <w:rPr>
                <w:rFonts w:ascii="Times New Roman" w:hAnsi="Times New Roman"/>
                <w:color w:val="000000"/>
                <w:sz w:val="24"/>
                <w:szCs w:val="24"/>
              </w:rPr>
              <w:t>%</w:t>
            </w:r>
          </w:p>
        </w:tc>
        <w:tc>
          <w:tcPr>
            <w:tcW w:w="1984" w:type="dxa"/>
            <w:tcBorders>
              <w:top w:val="single" w:sz="12" w:space="0" w:color="auto"/>
            </w:tcBorders>
            <w:vAlign w:val="center"/>
          </w:tcPr>
          <w:p w14:paraId="3AE4F83E"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38,36</w:t>
            </w:r>
            <w:r>
              <w:rPr>
                <w:rFonts w:ascii="Times New Roman" w:hAnsi="Times New Roman"/>
                <w:color w:val="000000"/>
                <w:sz w:val="24"/>
                <w:szCs w:val="24"/>
              </w:rPr>
              <w:t>%</w:t>
            </w:r>
          </w:p>
        </w:tc>
        <w:tc>
          <w:tcPr>
            <w:tcW w:w="1417" w:type="dxa"/>
            <w:tcBorders>
              <w:top w:val="single" w:sz="12" w:space="0" w:color="auto"/>
            </w:tcBorders>
            <w:vAlign w:val="center"/>
          </w:tcPr>
          <w:p w14:paraId="7D14323E"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100</w:t>
            </w:r>
            <w:r>
              <w:rPr>
                <w:rFonts w:ascii="Times New Roman" w:hAnsi="Times New Roman"/>
                <w:color w:val="000000"/>
                <w:sz w:val="24"/>
                <w:szCs w:val="24"/>
              </w:rPr>
              <w:t>,00%</w:t>
            </w:r>
          </w:p>
        </w:tc>
      </w:tr>
      <w:tr w:rsidR="00A9409C" w:rsidRPr="00F1144D" w14:paraId="10225037" w14:textId="77777777" w:rsidTr="00094F6F">
        <w:trPr>
          <w:trHeight w:val="340"/>
          <w:jc w:val="center"/>
        </w:trPr>
        <w:tc>
          <w:tcPr>
            <w:tcW w:w="2268" w:type="dxa"/>
            <w:vMerge/>
            <w:vAlign w:val="center"/>
          </w:tcPr>
          <w:p w14:paraId="2E89C3BB" w14:textId="77777777" w:rsidR="00A9409C" w:rsidRPr="00F1144D" w:rsidRDefault="00A9409C" w:rsidP="00094F6F">
            <w:pPr>
              <w:spacing w:after="0" w:line="240" w:lineRule="auto"/>
              <w:jc w:val="center"/>
              <w:rPr>
                <w:rFonts w:ascii="Times New Roman" w:hAnsi="Times New Roman"/>
                <w:sz w:val="24"/>
                <w:szCs w:val="24"/>
              </w:rPr>
            </w:pPr>
          </w:p>
        </w:tc>
        <w:tc>
          <w:tcPr>
            <w:tcW w:w="1701" w:type="dxa"/>
            <w:tcBorders>
              <w:bottom w:val="single" w:sz="12" w:space="0" w:color="auto"/>
            </w:tcBorders>
            <w:vAlign w:val="center"/>
          </w:tcPr>
          <w:p w14:paraId="7626A5E9"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984" w:type="dxa"/>
            <w:tcBorders>
              <w:bottom w:val="single" w:sz="12" w:space="0" w:color="auto"/>
            </w:tcBorders>
            <w:vAlign w:val="center"/>
          </w:tcPr>
          <w:p w14:paraId="43B7D8B3"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46,88</w:t>
            </w:r>
          </w:p>
        </w:tc>
        <w:tc>
          <w:tcPr>
            <w:tcW w:w="1984" w:type="dxa"/>
            <w:tcBorders>
              <w:bottom w:val="single" w:sz="12" w:space="0" w:color="auto"/>
            </w:tcBorders>
            <w:vAlign w:val="center"/>
          </w:tcPr>
          <w:p w14:paraId="7F012B02"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51,85</w:t>
            </w:r>
            <w:r>
              <w:rPr>
                <w:rFonts w:ascii="Times New Roman" w:hAnsi="Times New Roman"/>
                <w:color w:val="000000"/>
                <w:sz w:val="24"/>
                <w:szCs w:val="24"/>
              </w:rPr>
              <w:t>%</w:t>
            </w:r>
          </w:p>
        </w:tc>
        <w:tc>
          <w:tcPr>
            <w:tcW w:w="1417" w:type="dxa"/>
            <w:tcBorders>
              <w:bottom w:val="single" w:sz="12" w:space="0" w:color="auto"/>
            </w:tcBorders>
            <w:vAlign w:val="center"/>
          </w:tcPr>
          <w:p w14:paraId="6ADBDFB7"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48,67</w:t>
            </w:r>
            <w:r>
              <w:rPr>
                <w:rFonts w:ascii="Times New Roman" w:hAnsi="Times New Roman"/>
                <w:color w:val="000000"/>
                <w:sz w:val="24"/>
                <w:szCs w:val="24"/>
              </w:rPr>
              <w:t>%</w:t>
            </w:r>
          </w:p>
        </w:tc>
      </w:tr>
      <w:tr w:rsidR="00A9409C" w:rsidRPr="00F1144D" w14:paraId="0E342260" w14:textId="77777777" w:rsidTr="00094F6F">
        <w:trPr>
          <w:trHeight w:val="340"/>
          <w:jc w:val="center"/>
        </w:trPr>
        <w:tc>
          <w:tcPr>
            <w:tcW w:w="2268" w:type="dxa"/>
            <w:vMerge w:val="restart"/>
            <w:tcBorders>
              <w:right w:val="single" w:sz="12" w:space="0" w:color="auto"/>
            </w:tcBorders>
            <w:vAlign w:val="center"/>
          </w:tcPr>
          <w:p w14:paraId="0F6C14A4" w14:textId="77777777" w:rsidR="00A9409C" w:rsidRPr="00F1144D" w:rsidRDefault="00A9409C" w:rsidP="00094F6F">
            <w:pPr>
              <w:spacing w:after="0" w:line="240" w:lineRule="auto"/>
              <w:jc w:val="center"/>
              <w:rPr>
                <w:rFonts w:ascii="Times New Roman" w:hAnsi="Times New Roman"/>
                <w:b/>
                <w:sz w:val="24"/>
                <w:szCs w:val="24"/>
                <w:lang w:val="en-US"/>
              </w:rPr>
            </w:pPr>
            <w:r w:rsidRPr="00F1144D">
              <w:rPr>
                <w:rFonts w:ascii="Times New Roman" w:hAnsi="Times New Roman"/>
                <w:b/>
                <w:sz w:val="24"/>
                <w:szCs w:val="24"/>
              </w:rPr>
              <w:t>Всего</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40609612" w14:textId="77777777" w:rsidR="00A9409C" w:rsidRPr="00F1144D" w:rsidRDefault="00A9409C" w:rsidP="00094F6F">
            <w:pPr>
              <w:spacing w:after="0" w:line="240" w:lineRule="auto"/>
              <w:jc w:val="center"/>
              <w:rPr>
                <w:rFonts w:ascii="Times New Roman" w:hAnsi="Times New Roman"/>
                <w:b/>
                <w:sz w:val="24"/>
                <w:szCs w:val="24"/>
              </w:rPr>
            </w:pPr>
            <w:proofErr w:type="gramStart"/>
            <w:r w:rsidRPr="00F1144D">
              <w:rPr>
                <w:rFonts w:ascii="Times New Roman" w:hAnsi="Times New Roman"/>
                <w:b/>
                <w:sz w:val="24"/>
                <w:szCs w:val="24"/>
              </w:rPr>
              <w:t>количество</w:t>
            </w:r>
            <w:proofErr w:type="gramEnd"/>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5469F6BF" w14:textId="77777777" w:rsidR="00A9409C" w:rsidRPr="00856819" w:rsidRDefault="00A9409C" w:rsidP="00094F6F">
            <w:pPr>
              <w:spacing w:after="0" w:line="240" w:lineRule="auto"/>
              <w:jc w:val="center"/>
              <w:rPr>
                <w:rFonts w:ascii="Times New Roman" w:hAnsi="Times New Roman"/>
                <w:b/>
                <w:bCs/>
                <w:sz w:val="24"/>
                <w:szCs w:val="24"/>
              </w:rPr>
            </w:pPr>
            <w:r w:rsidRPr="00856819">
              <w:rPr>
                <w:rFonts w:ascii="Times New Roman" w:hAnsi="Times New Roman"/>
                <w:b/>
                <w:bCs/>
                <w:color w:val="000000"/>
                <w:sz w:val="24"/>
                <w:szCs w:val="24"/>
              </w:rPr>
              <w:t>96</w:t>
            </w:r>
          </w:p>
        </w:tc>
        <w:tc>
          <w:tcPr>
            <w:tcW w:w="198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02BDECC" w14:textId="77777777" w:rsidR="00A9409C" w:rsidRPr="00856819" w:rsidRDefault="00A9409C" w:rsidP="00094F6F">
            <w:pPr>
              <w:spacing w:after="0" w:line="240" w:lineRule="auto"/>
              <w:jc w:val="center"/>
              <w:rPr>
                <w:rFonts w:ascii="Times New Roman" w:hAnsi="Times New Roman"/>
                <w:b/>
                <w:bCs/>
                <w:sz w:val="24"/>
                <w:szCs w:val="24"/>
              </w:rPr>
            </w:pPr>
            <w:r w:rsidRPr="00856819">
              <w:rPr>
                <w:rFonts w:ascii="Times New Roman" w:hAnsi="Times New Roman"/>
                <w:b/>
                <w:bCs/>
                <w:color w:val="000000"/>
                <w:sz w:val="24"/>
                <w:szCs w:val="24"/>
              </w:rPr>
              <w:t>54</w:t>
            </w:r>
          </w:p>
        </w:tc>
        <w:tc>
          <w:tcPr>
            <w:tcW w:w="14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2E0EF0AF" w14:textId="77777777" w:rsidR="00A9409C" w:rsidRPr="00856819" w:rsidRDefault="00A9409C" w:rsidP="00094F6F">
            <w:pPr>
              <w:spacing w:after="0" w:line="240" w:lineRule="auto"/>
              <w:jc w:val="center"/>
              <w:rPr>
                <w:rFonts w:ascii="Times New Roman" w:hAnsi="Times New Roman"/>
                <w:b/>
                <w:bCs/>
                <w:sz w:val="24"/>
                <w:szCs w:val="24"/>
              </w:rPr>
            </w:pPr>
            <w:r w:rsidRPr="00856819">
              <w:rPr>
                <w:rFonts w:ascii="Times New Roman" w:hAnsi="Times New Roman"/>
                <w:b/>
                <w:bCs/>
                <w:color w:val="000000"/>
                <w:sz w:val="24"/>
                <w:szCs w:val="24"/>
              </w:rPr>
              <w:t>150</w:t>
            </w:r>
          </w:p>
        </w:tc>
      </w:tr>
      <w:tr w:rsidR="00A9409C" w:rsidRPr="00F1144D" w14:paraId="0E5B100A" w14:textId="77777777" w:rsidTr="00094F6F">
        <w:trPr>
          <w:trHeight w:val="340"/>
          <w:jc w:val="center"/>
        </w:trPr>
        <w:tc>
          <w:tcPr>
            <w:tcW w:w="2268" w:type="dxa"/>
            <w:vMerge/>
            <w:vAlign w:val="center"/>
          </w:tcPr>
          <w:p w14:paraId="0117729A" w14:textId="77777777" w:rsidR="00A9409C" w:rsidRPr="00F1144D" w:rsidRDefault="00A9409C" w:rsidP="00094F6F">
            <w:pPr>
              <w:spacing w:after="0" w:line="240" w:lineRule="auto"/>
              <w:jc w:val="center"/>
              <w:rPr>
                <w:rFonts w:ascii="Times New Roman" w:hAnsi="Times New Roman"/>
                <w:sz w:val="24"/>
                <w:szCs w:val="24"/>
              </w:rPr>
            </w:pPr>
          </w:p>
        </w:tc>
        <w:tc>
          <w:tcPr>
            <w:tcW w:w="1701" w:type="dxa"/>
            <w:tcBorders>
              <w:top w:val="single" w:sz="12" w:space="0" w:color="auto"/>
            </w:tcBorders>
            <w:vAlign w:val="center"/>
          </w:tcPr>
          <w:p w14:paraId="7B943A7C"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по строке</w:t>
            </w:r>
          </w:p>
        </w:tc>
        <w:tc>
          <w:tcPr>
            <w:tcW w:w="1984" w:type="dxa"/>
            <w:tcBorders>
              <w:top w:val="single" w:sz="12" w:space="0" w:color="auto"/>
            </w:tcBorders>
            <w:vAlign w:val="center"/>
          </w:tcPr>
          <w:p w14:paraId="00949E43"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64,00</w:t>
            </w:r>
            <w:r>
              <w:rPr>
                <w:rFonts w:ascii="Times New Roman" w:hAnsi="Times New Roman"/>
                <w:color w:val="000000"/>
                <w:sz w:val="24"/>
                <w:szCs w:val="24"/>
              </w:rPr>
              <w:t>%</w:t>
            </w:r>
          </w:p>
        </w:tc>
        <w:tc>
          <w:tcPr>
            <w:tcW w:w="1984" w:type="dxa"/>
            <w:tcBorders>
              <w:top w:val="single" w:sz="12" w:space="0" w:color="auto"/>
            </w:tcBorders>
            <w:vAlign w:val="center"/>
          </w:tcPr>
          <w:p w14:paraId="60882F0E"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36,00</w:t>
            </w:r>
            <w:r>
              <w:rPr>
                <w:rFonts w:ascii="Times New Roman" w:hAnsi="Times New Roman"/>
                <w:color w:val="000000"/>
                <w:sz w:val="24"/>
                <w:szCs w:val="24"/>
              </w:rPr>
              <w:t>%</w:t>
            </w:r>
          </w:p>
        </w:tc>
        <w:tc>
          <w:tcPr>
            <w:tcW w:w="1417" w:type="dxa"/>
            <w:tcBorders>
              <w:top w:val="single" w:sz="12" w:space="0" w:color="auto"/>
            </w:tcBorders>
            <w:vAlign w:val="center"/>
          </w:tcPr>
          <w:p w14:paraId="63820733"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100</w:t>
            </w:r>
            <w:r>
              <w:rPr>
                <w:rFonts w:ascii="Times New Roman" w:hAnsi="Times New Roman"/>
                <w:color w:val="000000"/>
                <w:sz w:val="24"/>
                <w:szCs w:val="24"/>
              </w:rPr>
              <w:t>,00%</w:t>
            </w:r>
          </w:p>
        </w:tc>
      </w:tr>
      <w:tr w:rsidR="00A9409C" w:rsidRPr="00F1144D" w14:paraId="08A6A125" w14:textId="77777777" w:rsidTr="00094F6F">
        <w:trPr>
          <w:trHeight w:val="340"/>
          <w:jc w:val="center"/>
        </w:trPr>
        <w:tc>
          <w:tcPr>
            <w:tcW w:w="2268" w:type="dxa"/>
            <w:vMerge/>
            <w:vAlign w:val="center"/>
          </w:tcPr>
          <w:p w14:paraId="5683014F" w14:textId="77777777" w:rsidR="00A9409C" w:rsidRPr="00F1144D" w:rsidRDefault="00A9409C" w:rsidP="00094F6F">
            <w:pPr>
              <w:spacing w:after="0" w:line="240" w:lineRule="auto"/>
              <w:jc w:val="center"/>
              <w:rPr>
                <w:rFonts w:ascii="Times New Roman" w:hAnsi="Times New Roman"/>
                <w:sz w:val="24"/>
                <w:szCs w:val="24"/>
              </w:rPr>
            </w:pPr>
          </w:p>
        </w:tc>
        <w:tc>
          <w:tcPr>
            <w:tcW w:w="1701" w:type="dxa"/>
            <w:vAlign w:val="center"/>
          </w:tcPr>
          <w:p w14:paraId="7AD61DF2" w14:textId="77777777" w:rsidR="00A9409C" w:rsidRPr="00F1144D" w:rsidRDefault="00A9409C" w:rsidP="00094F6F">
            <w:pPr>
              <w:spacing w:after="0" w:line="240" w:lineRule="auto"/>
              <w:jc w:val="center"/>
              <w:rPr>
                <w:rFonts w:ascii="Times New Roman" w:hAnsi="Times New Roman"/>
              </w:rPr>
            </w:pPr>
            <w:r w:rsidRPr="00F1144D">
              <w:rPr>
                <w:rFonts w:ascii="Times New Roman" w:hAnsi="Times New Roman"/>
              </w:rPr>
              <w:t>% столбцу</w:t>
            </w:r>
          </w:p>
        </w:tc>
        <w:tc>
          <w:tcPr>
            <w:tcW w:w="1984" w:type="dxa"/>
            <w:vAlign w:val="center"/>
          </w:tcPr>
          <w:p w14:paraId="0347BC7C"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100,00</w:t>
            </w:r>
            <w:r>
              <w:rPr>
                <w:rFonts w:ascii="Times New Roman" w:hAnsi="Times New Roman"/>
                <w:color w:val="000000"/>
                <w:sz w:val="24"/>
                <w:szCs w:val="24"/>
              </w:rPr>
              <w:t>%</w:t>
            </w:r>
          </w:p>
        </w:tc>
        <w:tc>
          <w:tcPr>
            <w:tcW w:w="1984" w:type="dxa"/>
            <w:vAlign w:val="center"/>
          </w:tcPr>
          <w:p w14:paraId="7216A65A" w14:textId="77777777" w:rsidR="00A9409C" w:rsidRPr="00DC6975" w:rsidRDefault="00A9409C" w:rsidP="00094F6F">
            <w:pPr>
              <w:spacing w:after="0" w:line="240" w:lineRule="auto"/>
              <w:jc w:val="center"/>
              <w:rPr>
                <w:rFonts w:ascii="Times New Roman" w:hAnsi="Times New Roman"/>
                <w:sz w:val="24"/>
                <w:szCs w:val="24"/>
              </w:rPr>
            </w:pPr>
            <w:r w:rsidRPr="00DC6975">
              <w:rPr>
                <w:rFonts w:ascii="Times New Roman" w:hAnsi="Times New Roman"/>
                <w:color w:val="000000"/>
                <w:sz w:val="24"/>
                <w:szCs w:val="24"/>
              </w:rPr>
              <w:t>100,00</w:t>
            </w:r>
            <w:r>
              <w:rPr>
                <w:rFonts w:ascii="Times New Roman" w:hAnsi="Times New Roman"/>
                <w:color w:val="000000"/>
                <w:sz w:val="24"/>
                <w:szCs w:val="24"/>
              </w:rPr>
              <w:t>%</w:t>
            </w:r>
          </w:p>
        </w:tc>
        <w:tc>
          <w:tcPr>
            <w:tcW w:w="1417" w:type="dxa"/>
            <w:vAlign w:val="center"/>
          </w:tcPr>
          <w:p w14:paraId="69F8CB92" w14:textId="77777777" w:rsidR="00A9409C" w:rsidRPr="00DC6975" w:rsidRDefault="00A9409C" w:rsidP="00094F6F">
            <w:pPr>
              <w:spacing w:after="0" w:line="240" w:lineRule="auto"/>
              <w:jc w:val="center"/>
              <w:rPr>
                <w:rFonts w:ascii="Times New Roman" w:hAnsi="Times New Roman"/>
                <w:sz w:val="24"/>
                <w:szCs w:val="24"/>
              </w:rPr>
            </w:pPr>
            <w:r>
              <w:rPr>
                <w:rFonts w:ascii="Times New Roman" w:hAnsi="Times New Roman"/>
                <w:color w:val="000000"/>
                <w:sz w:val="24"/>
                <w:szCs w:val="24"/>
              </w:rPr>
              <w:t>1</w:t>
            </w:r>
            <w:r w:rsidRPr="00DC6975">
              <w:rPr>
                <w:rFonts w:ascii="Times New Roman" w:hAnsi="Times New Roman"/>
                <w:color w:val="000000"/>
                <w:sz w:val="24"/>
                <w:szCs w:val="24"/>
              </w:rPr>
              <w:t>00</w:t>
            </w:r>
            <w:r>
              <w:rPr>
                <w:rFonts w:ascii="Times New Roman" w:hAnsi="Times New Roman"/>
                <w:color w:val="000000"/>
                <w:sz w:val="24"/>
                <w:szCs w:val="24"/>
              </w:rPr>
              <w:t>,00%</w:t>
            </w:r>
          </w:p>
        </w:tc>
      </w:tr>
    </w:tbl>
    <w:p w14:paraId="7B80BAA4" w14:textId="77777777" w:rsidR="00A9409C" w:rsidRPr="00F1144D" w:rsidRDefault="00A9409C" w:rsidP="00A9409C">
      <w:pPr>
        <w:spacing w:after="0" w:line="240" w:lineRule="auto"/>
        <w:ind w:firstLine="567"/>
        <w:jc w:val="both"/>
        <w:rPr>
          <w:rFonts w:ascii="Times New Roman" w:hAnsi="Times New Roman"/>
          <w:sz w:val="28"/>
          <w:szCs w:val="28"/>
        </w:rPr>
      </w:pPr>
      <w:r w:rsidRPr="00F1144D">
        <w:rPr>
          <w:rFonts w:ascii="Times New Roman" w:hAnsi="Times New Roman"/>
          <w:sz w:val="28"/>
          <w:szCs w:val="28"/>
        </w:rPr>
        <w:t xml:space="preserve">Оценка показала, что связь между факторным и результативным признаками статистически </w:t>
      </w:r>
      <w:r>
        <w:rPr>
          <w:rFonts w:ascii="Times New Roman" w:hAnsi="Times New Roman"/>
          <w:sz w:val="28"/>
          <w:szCs w:val="28"/>
        </w:rPr>
        <w:t xml:space="preserve">не </w:t>
      </w:r>
      <w:r w:rsidRPr="00F1144D">
        <w:rPr>
          <w:rFonts w:ascii="Times New Roman" w:hAnsi="Times New Roman"/>
          <w:sz w:val="28"/>
          <w:szCs w:val="28"/>
        </w:rPr>
        <w:t xml:space="preserve">значима. Критическое значение </w:t>
      </w:r>
      <w:r w:rsidRPr="00F1144D">
        <w:rPr>
          <w:rFonts w:ascii="Times New Roman" w:hAnsi="Times New Roman"/>
          <w:b/>
          <w:i/>
          <w:sz w:val="28"/>
          <w:szCs w:val="28"/>
        </w:rPr>
        <w:t>χ</w:t>
      </w:r>
      <w:r w:rsidRPr="00F1144D">
        <w:rPr>
          <w:rFonts w:ascii="Times New Roman" w:hAnsi="Times New Roman"/>
          <w:b/>
          <w:i/>
          <w:sz w:val="28"/>
          <w:szCs w:val="28"/>
          <w:vertAlign w:val="superscript"/>
        </w:rPr>
        <w:t>2</w:t>
      </w:r>
      <w:r w:rsidRPr="00F1144D">
        <w:rPr>
          <w:rFonts w:ascii="Times New Roman" w:hAnsi="Times New Roman"/>
          <w:sz w:val="28"/>
          <w:szCs w:val="28"/>
        </w:rPr>
        <w:t xml:space="preserve"> с поправкой </w:t>
      </w:r>
      <w:proofErr w:type="spellStart"/>
      <w:r w:rsidRPr="00F1144D">
        <w:rPr>
          <w:rFonts w:ascii="Times New Roman" w:hAnsi="Times New Roman"/>
          <w:sz w:val="28"/>
          <w:szCs w:val="28"/>
        </w:rPr>
        <w:lastRenderedPageBreak/>
        <w:t>Йейтса</w:t>
      </w:r>
      <w:proofErr w:type="spellEnd"/>
      <w:r w:rsidRPr="00F1144D">
        <w:rPr>
          <w:rFonts w:ascii="Times New Roman" w:hAnsi="Times New Roman"/>
          <w:sz w:val="28"/>
          <w:szCs w:val="28"/>
        </w:rPr>
        <w:t xml:space="preserve"> при уровне значимости </w:t>
      </w:r>
      <w:r w:rsidRPr="00F1144D">
        <w:rPr>
          <w:rFonts w:ascii="Times New Roman" w:hAnsi="Times New Roman"/>
          <w:sz w:val="28"/>
          <w:szCs w:val="28"/>
          <w:lang w:val="en-US"/>
        </w:rPr>
        <w:t>p</w:t>
      </w:r>
      <w:r w:rsidRPr="00F1144D">
        <w:rPr>
          <w:rFonts w:ascii="Times New Roman" w:hAnsi="Times New Roman"/>
          <w:sz w:val="28"/>
          <w:szCs w:val="28"/>
        </w:rPr>
        <w:t>=0,</w:t>
      </w:r>
      <w:r>
        <w:rPr>
          <w:rFonts w:ascii="Times New Roman" w:hAnsi="Times New Roman"/>
          <w:sz w:val="28"/>
          <w:szCs w:val="28"/>
        </w:rPr>
        <w:t>68</w:t>
      </w:r>
      <w:r w:rsidRPr="00F1144D">
        <w:rPr>
          <w:rFonts w:ascii="Times New Roman" w:hAnsi="Times New Roman"/>
          <w:sz w:val="28"/>
          <w:szCs w:val="28"/>
        </w:rPr>
        <w:t xml:space="preserve"> составляет </w:t>
      </w:r>
      <w:r>
        <w:rPr>
          <w:rFonts w:ascii="Times New Roman" w:hAnsi="Times New Roman"/>
          <w:sz w:val="28"/>
          <w:szCs w:val="28"/>
        </w:rPr>
        <w:t>0,17</w:t>
      </w:r>
      <w:r w:rsidRPr="00F1144D">
        <w:rPr>
          <w:rFonts w:ascii="Times New Roman" w:hAnsi="Times New Roman"/>
          <w:sz w:val="28"/>
          <w:szCs w:val="28"/>
        </w:rPr>
        <w:t>. Относительный риск (</w:t>
      </w:r>
      <w:r w:rsidRPr="00F1144D">
        <w:rPr>
          <w:rFonts w:ascii="Times New Roman" w:hAnsi="Times New Roman"/>
          <w:b/>
          <w:i/>
          <w:sz w:val="28"/>
          <w:szCs w:val="28"/>
          <w:lang w:val="en-US"/>
        </w:rPr>
        <w:t>RR</w:t>
      </w:r>
      <w:r w:rsidRPr="00F1144D">
        <w:rPr>
          <w:rFonts w:ascii="Times New Roman" w:hAnsi="Times New Roman"/>
          <w:sz w:val="28"/>
          <w:szCs w:val="28"/>
        </w:rPr>
        <w:t xml:space="preserve">) составил </w:t>
      </w:r>
      <w:r>
        <w:rPr>
          <w:rFonts w:ascii="Times New Roman" w:hAnsi="Times New Roman"/>
          <w:sz w:val="28"/>
          <w:szCs w:val="28"/>
        </w:rPr>
        <w:t xml:space="preserve">1,07 </w:t>
      </w:r>
      <w:r w:rsidRPr="00F1144D">
        <w:rPr>
          <w:rFonts w:ascii="Times New Roman" w:hAnsi="Times New Roman"/>
          <w:sz w:val="28"/>
          <w:szCs w:val="28"/>
        </w:rPr>
        <w:t>(95% ДИ=</w:t>
      </w:r>
      <w:r>
        <w:rPr>
          <w:rFonts w:ascii="Times New Roman" w:hAnsi="Times New Roman"/>
          <w:sz w:val="28"/>
          <w:szCs w:val="28"/>
        </w:rPr>
        <w:t>0,84-1,37</w:t>
      </w:r>
      <w:r w:rsidRPr="00F1144D">
        <w:rPr>
          <w:rFonts w:ascii="Times New Roman" w:hAnsi="Times New Roman"/>
          <w:sz w:val="28"/>
          <w:szCs w:val="28"/>
        </w:rPr>
        <w:t>)</w:t>
      </w:r>
      <w:r>
        <w:rPr>
          <w:rFonts w:ascii="Times New Roman" w:hAnsi="Times New Roman"/>
          <w:sz w:val="28"/>
          <w:szCs w:val="28"/>
        </w:rPr>
        <w:t xml:space="preserve">, что </w:t>
      </w:r>
      <w:r w:rsidRPr="00F1144D">
        <w:rPr>
          <w:rFonts w:ascii="Times New Roman" w:hAnsi="Times New Roman"/>
          <w:sz w:val="28"/>
          <w:szCs w:val="28"/>
        </w:rPr>
        <w:t>свидетельствует о</w:t>
      </w:r>
      <w:r>
        <w:rPr>
          <w:rFonts w:ascii="Times New Roman" w:hAnsi="Times New Roman"/>
          <w:sz w:val="28"/>
          <w:szCs w:val="28"/>
        </w:rPr>
        <w:t xml:space="preserve">б отсутствии </w:t>
      </w:r>
      <w:r w:rsidRPr="00F1144D">
        <w:rPr>
          <w:rFonts w:ascii="Times New Roman" w:hAnsi="Times New Roman"/>
          <w:sz w:val="28"/>
          <w:szCs w:val="28"/>
        </w:rPr>
        <w:t>связи.</w:t>
      </w:r>
    </w:p>
    <w:p w14:paraId="14851A3F" w14:textId="77777777" w:rsidR="00A9409C" w:rsidRDefault="00A9409C" w:rsidP="00A9409C">
      <w:pPr>
        <w:widowControl w:val="0"/>
        <w:spacing w:after="0" w:line="240" w:lineRule="auto"/>
        <w:ind w:firstLine="567"/>
        <w:jc w:val="both"/>
        <w:rPr>
          <w:rFonts w:ascii="Times New Roman" w:hAnsi="Times New Roman"/>
          <w:sz w:val="28"/>
          <w:szCs w:val="28"/>
        </w:rPr>
      </w:pPr>
    </w:p>
    <w:p w14:paraId="514C8F52" w14:textId="77777777" w:rsidR="00A9409C" w:rsidRPr="007C7656" w:rsidRDefault="00A9409C" w:rsidP="00A9409C">
      <w:pPr>
        <w:tabs>
          <w:tab w:val="left" w:pos="0"/>
          <w:tab w:val="left" w:pos="1134"/>
        </w:tabs>
        <w:spacing w:after="0" w:line="240" w:lineRule="auto"/>
        <w:ind w:firstLine="567"/>
        <w:jc w:val="both"/>
        <w:rPr>
          <w:rFonts w:ascii="Times New Roman" w:hAnsi="Times New Roman"/>
          <w:b/>
          <w:sz w:val="28"/>
          <w:szCs w:val="28"/>
        </w:rPr>
      </w:pPr>
      <w:r w:rsidRPr="001C6187">
        <w:rPr>
          <w:rFonts w:ascii="Times New Roman" w:hAnsi="Times New Roman"/>
          <w:b/>
          <w:sz w:val="28"/>
          <w:szCs w:val="28"/>
        </w:rPr>
        <w:t>3.</w:t>
      </w:r>
      <w:r>
        <w:rPr>
          <w:rFonts w:ascii="Times New Roman" w:hAnsi="Times New Roman"/>
          <w:b/>
          <w:sz w:val="28"/>
          <w:szCs w:val="28"/>
        </w:rPr>
        <w:t>2</w:t>
      </w:r>
      <w:r w:rsidRPr="001C6187">
        <w:rPr>
          <w:rFonts w:ascii="Times New Roman" w:hAnsi="Times New Roman"/>
          <w:b/>
          <w:sz w:val="28"/>
          <w:szCs w:val="28"/>
        </w:rPr>
        <w:t xml:space="preserve"> </w:t>
      </w:r>
      <w:r w:rsidRPr="007C7656">
        <w:rPr>
          <w:rFonts w:ascii="Times New Roman" w:hAnsi="Times New Roman"/>
          <w:b/>
          <w:sz w:val="28"/>
          <w:szCs w:val="28"/>
          <w:lang w:bidi="kn-IN"/>
        </w:rPr>
        <w:t xml:space="preserve">Оценка показателей выживаемости больных при раке ободочной кишки после </w:t>
      </w:r>
      <w:r>
        <w:rPr>
          <w:rFonts w:ascii="Times New Roman" w:hAnsi="Times New Roman"/>
          <w:b/>
          <w:sz w:val="28"/>
          <w:szCs w:val="28"/>
          <w:lang w:bidi="kn-IN"/>
        </w:rPr>
        <w:t xml:space="preserve">радикального </w:t>
      </w:r>
      <w:r w:rsidRPr="007C7656">
        <w:rPr>
          <w:rFonts w:ascii="Times New Roman" w:hAnsi="Times New Roman"/>
          <w:b/>
          <w:sz w:val="28"/>
          <w:szCs w:val="28"/>
          <w:lang w:bidi="kn-IN"/>
        </w:rPr>
        <w:t>хирургического лечени</w:t>
      </w:r>
      <w:r>
        <w:rPr>
          <w:rFonts w:ascii="Times New Roman" w:hAnsi="Times New Roman"/>
          <w:b/>
          <w:sz w:val="28"/>
          <w:szCs w:val="28"/>
          <w:lang w:bidi="kn-IN"/>
        </w:rPr>
        <w:t>я</w:t>
      </w:r>
    </w:p>
    <w:p w14:paraId="3881632C"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 xml:space="preserve">Результаты анализа выживаемости больных при раке ободочной кишки в </w:t>
      </w:r>
      <w:r w:rsidRPr="009E16BE">
        <w:rPr>
          <w:rFonts w:ascii="Times New Roman" w:hAnsi="Times New Roman"/>
          <w:sz w:val="28"/>
          <w:szCs w:val="28"/>
        </w:rPr>
        <w:t>зависимости от пола приведены в рисунке 1</w:t>
      </w:r>
      <w:r>
        <w:rPr>
          <w:rFonts w:ascii="Times New Roman" w:hAnsi="Times New Roman"/>
          <w:sz w:val="28"/>
          <w:szCs w:val="28"/>
        </w:rPr>
        <w:t>7</w:t>
      </w:r>
      <w:r w:rsidRPr="009E16BE">
        <w:rPr>
          <w:rFonts w:ascii="Times New Roman" w:hAnsi="Times New Roman"/>
          <w:sz w:val="28"/>
          <w:szCs w:val="28"/>
        </w:rPr>
        <w:t>. На уровне 1, 2, 3, 4 и 5 лет</w:t>
      </w:r>
      <w:r w:rsidRPr="001449FD">
        <w:rPr>
          <w:rFonts w:ascii="Times New Roman" w:hAnsi="Times New Roman"/>
          <w:sz w:val="28"/>
          <w:szCs w:val="28"/>
        </w:rPr>
        <w:t xml:space="preserve"> показатели выживаемости у мужчин составили 94,5±2,7%, 84,9±4,2%, 64,4±5,6%, 53,4±5,8%, и 50,7±5,9% соответственно, а у женщин при этих же сроках наблюдения показатели были: 85,7±4,0%; 75,3±4,9%, 55,8±5,7%, 50,6±5,7% и 48,1±5,7%.</w:t>
      </w:r>
    </w:p>
    <w:p w14:paraId="56C6605B"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136B7268"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1C10B01D" w14:textId="77777777" w:rsidR="00A9409C" w:rsidRPr="001449FD" w:rsidRDefault="00A9409C" w:rsidP="00A9409C">
      <w:pPr>
        <w:spacing w:after="0" w:line="240" w:lineRule="auto"/>
        <w:jc w:val="center"/>
        <w:rPr>
          <w:rFonts w:ascii="Times New Roman" w:hAnsi="Times New Roman"/>
        </w:rPr>
      </w:pPr>
      <w:r w:rsidRPr="001449FD">
        <w:rPr>
          <w:rFonts w:ascii="Times New Roman" w:hAnsi="Times New Roman"/>
          <w:noProof/>
        </w:rPr>
        <w:drawing>
          <wp:inline distT="0" distB="0" distL="0" distR="0" wp14:anchorId="4A192E87" wp14:editId="431AD406">
            <wp:extent cx="5580000" cy="3240000"/>
            <wp:effectExtent l="0" t="0" r="1905" b="0"/>
            <wp:docPr id="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7410214" w14:textId="77777777" w:rsidR="00A9409C" w:rsidRPr="001449FD" w:rsidRDefault="00A9409C" w:rsidP="00A9409C">
      <w:pPr>
        <w:spacing w:after="0" w:line="240" w:lineRule="auto"/>
        <w:jc w:val="center"/>
        <w:rPr>
          <w:rFonts w:ascii="Times New Roman" w:hAnsi="Times New Roman"/>
          <w:sz w:val="28"/>
          <w:szCs w:val="28"/>
        </w:rPr>
      </w:pPr>
    </w:p>
    <w:p w14:paraId="23F9A64A" w14:textId="77777777" w:rsidR="00A9409C" w:rsidRPr="001449FD" w:rsidRDefault="00A9409C" w:rsidP="00A9409C">
      <w:pPr>
        <w:spacing w:after="0" w:line="240" w:lineRule="auto"/>
        <w:jc w:val="center"/>
        <w:rPr>
          <w:rFonts w:ascii="Times New Roman" w:hAnsi="Times New Roman"/>
          <w:sz w:val="28"/>
          <w:szCs w:val="28"/>
        </w:rPr>
      </w:pPr>
      <w:r w:rsidRPr="009E16BE">
        <w:rPr>
          <w:rFonts w:ascii="Times New Roman" w:hAnsi="Times New Roman"/>
          <w:sz w:val="28"/>
          <w:szCs w:val="28"/>
        </w:rPr>
        <w:t>Рисунок 17 – Выживаемость больных при раке ободочной кишки</w:t>
      </w:r>
      <w:r w:rsidRPr="001449FD">
        <w:rPr>
          <w:rFonts w:ascii="Times New Roman" w:hAnsi="Times New Roman"/>
          <w:sz w:val="28"/>
          <w:szCs w:val="28"/>
        </w:rPr>
        <w:br/>
        <w:t>с учетом пола</w:t>
      </w:r>
    </w:p>
    <w:p w14:paraId="3B6D2360" w14:textId="77777777" w:rsidR="00A9409C" w:rsidRPr="001449FD" w:rsidRDefault="00A9409C" w:rsidP="00A9409C">
      <w:pPr>
        <w:spacing w:after="0" w:line="240" w:lineRule="auto"/>
        <w:ind w:firstLine="567"/>
        <w:rPr>
          <w:rFonts w:ascii="Times New Roman" w:hAnsi="Times New Roman"/>
          <w:sz w:val="28"/>
          <w:szCs w:val="28"/>
        </w:rPr>
      </w:pPr>
    </w:p>
    <w:p w14:paraId="64F2E015"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548B6709"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Проведенный анализ показывает, что признак в прогнозе заболевания существенной роли не играет. Как свидетельствуют данные, показатели выживаемости у мужчин и женщин практически не отличались, а имеющиеся незначительные различия не имели статистически значимой разницы.</w:t>
      </w:r>
    </w:p>
    <w:p w14:paraId="02FCA335"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 xml:space="preserve">Выживаемость больных при раке ободочной кишки провели с учетом следующих возрастных групп: до 40 лет, 40–49 лет, 50–59 лет, 60–69 лет, 70 лет </w:t>
      </w:r>
      <w:r w:rsidRPr="009E16BE">
        <w:rPr>
          <w:rFonts w:ascii="Times New Roman" w:hAnsi="Times New Roman"/>
          <w:sz w:val="28"/>
          <w:szCs w:val="28"/>
        </w:rPr>
        <w:t>и старше (таблица 21). При изучении выживаемости у больных до 40 лет</w:t>
      </w:r>
      <w:r w:rsidRPr="001449FD">
        <w:rPr>
          <w:rFonts w:ascii="Times New Roman" w:hAnsi="Times New Roman"/>
          <w:sz w:val="28"/>
          <w:szCs w:val="28"/>
        </w:rPr>
        <w:t xml:space="preserve"> показатели лучше, чем в других группах. На всех уровнях показатели выживаемости у них составили – 100%. С увеличением возраста показатели выживаемости улучшаются, кроме показателей II группы (40–49 лет), где показатели выживаемости на уровне 1, 2, 3, 4 и 5 лет составили 80,0±12,6%, </w:t>
      </w:r>
      <w:r w:rsidRPr="001449FD">
        <w:rPr>
          <w:rFonts w:ascii="Times New Roman" w:hAnsi="Times New Roman"/>
          <w:sz w:val="28"/>
          <w:szCs w:val="28"/>
        </w:rPr>
        <w:lastRenderedPageBreak/>
        <w:t xml:space="preserve">80,0±12,6%, 50,0±15,8%, 50,0±15,8% и 50,0±15,8%, соответственно. </w:t>
      </w:r>
    </w:p>
    <w:p w14:paraId="310DE10D"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7C7F7D6C" w14:textId="77777777" w:rsidR="00A9409C" w:rsidRPr="001449FD" w:rsidRDefault="00A9409C" w:rsidP="00A9409C">
      <w:pPr>
        <w:spacing w:after="0" w:line="240" w:lineRule="auto"/>
        <w:jc w:val="both"/>
        <w:rPr>
          <w:rFonts w:ascii="Times New Roman" w:hAnsi="Times New Roman"/>
          <w:sz w:val="28"/>
          <w:szCs w:val="28"/>
        </w:rPr>
      </w:pPr>
      <w:r w:rsidRPr="00392562">
        <w:rPr>
          <w:rFonts w:ascii="Times New Roman" w:hAnsi="Times New Roman"/>
          <w:sz w:val="28"/>
          <w:szCs w:val="28"/>
        </w:rPr>
        <w:t>Таблица 21 – Выживаемость больных при раке ободочной кишки по изучаемым</w:t>
      </w:r>
      <w:r w:rsidRPr="001449FD">
        <w:rPr>
          <w:rFonts w:ascii="Times New Roman" w:hAnsi="Times New Roman"/>
          <w:sz w:val="28"/>
          <w:szCs w:val="28"/>
        </w:rPr>
        <w:t xml:space="preserve"> возрастным группам</w:t>
      </w:r>
    </w:p>
    <w:p w14:paraId="41FB96F0" w14:textId="77777777" w:rsidR="00A9409C" w:rsidRPr="001449FD" w:rsidRDefault="00A9409C" w:rsidP="00A9409C">
      <w:pPr>
        <w:spacing w:after="0" w:line="240" w:lineRule="auto"/>
        <w:jc w:val="both"/>
        <w:rPr>
          <w:rFonts w:ascii="Times New Roman" w:hAnsi="Times New Roman"/>
          <w:sz w:val="28"/>
          <w:szCs w:val="28"/>
        </w:rPr>
      </w:pPr>
    </w:p>
    <w:tbl>
      <w:tblPr>
        <w:tblpPr w:leftFromText="180" w:rightFromText="180" w:vertAnchor="text" w:tblpXSpec="center" w:tblpY="1"/>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7"/>
        <w:gridCol w:w="737"/>
        <w:gridCol w:w="737"/>
        <w:gridCol w:w="737"/>
        <w:gridCol w:w="737"/>
        <w:gridCol w:w="851"/>
        <w:gridCol w:w="851"/>
        <w:gridCol w:w="737"/>
        <w:gridCol w:w="737"/>
        <w:gridCol w:w="737"/>
        <w:gridCol w:w="737"/>
      </w:tblGrid>
      <w:tr w:rsidR="00A9409C" w:rsidRPr="001449FD" w14:paraId="3FCEDBC6" w14:textId="77777777" w:rsidTr="00094F6F">
        <w:trPr>
          <w:trHeight w:val="397"/>
          <w:jc w:val="center"/>
        </w:trPr>
        <w:tc>
          <w:tcPr>
            <w:tcW w:w="1677" w:type="dxa"/>
            <w:vMerge w:val="restart"/>
            <w:shd w:val="clear" w:color="auto" w:fill="auto"/>
            <w:vAlign w:val="center"/>
          </w:tcPr>
          <w:p w14:paraId="6BDA5505"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Годы наблюдения</w:t>
            </w:r>
          </w:p>
        </w:tc>
        <w:tc>
          <w:tcPr>
            <w:tcW w:w="7598" w:type="dxa"/>
            <w:gridSpan w:val="10"/>
            <w:tcBorders>
              <w:right w:val="single" w:sz="4" w:space="0" w:color="auto"/>
            </w:tcBorders>
            <w:shd w:val="clear" w:color="auto" w:fill="auto"/>
            <w:noWrap/>
            <w:vAlign w:val="center"/>
          </w:tcPr>
          <w:p w14:paraId="31FC86DF"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Выживаемость, %</w:t>
            </w:r>
          </w:p>
        </w:tc>
      </w:tr>
      <w:tr w:rsidR="00A9409C" w:rsidRPr="001449FD" w14:paraId="04EC7A8C" w14:textId="77777777" w:rsidTr="00094F6F">
        <w:trPr>
          <w:trHeight w:val="397"/>
          <w:jc w:val="center"/>
        </w:trPr>
        <w:tc>
          <w:tcPr>
            <w:tcW w:w="1677" w:type="dxa"/>
            <w:vMerge/>
            <w:shd w:val="clear" w:color="auto" w:fill="auto"/>
            <w:vAlign w:val="center"/>
          </w:tcPr>
          <w:p w14:paraId="7DD20EB2" w14:textId="77777777" w:rsidR="00A9409C" w:rsidRPr="001449FD" w:rsidRDefault="00A9409C" w:rsidP="00094F6F">
            <w:pPr>
              <w:widowControl w:val="0"/>
              <w:spacing w:after="0" w:line="240" w:lineRule="auto"/>
              <w:jc w:val="center"/>
              <w:rPr>
                <w:rFonts w:ascii="Times New Roman" w:hAnsi="Times New Roman"/>
              </w:rPr>
            </w:pPr>
          </w:p>
        </w:tc>
        <w:tc>
          <w:tcPr>
            <w:tcW w:w="1474" w:type="dxa"/>
            <w:gridSpan w:val="2"/>
            <w:shd w:val="clear" w:color="auto" w:fill="auto"/>
            <w:noWrap/>
            <w:vAlign w:val="center"/>
          </w:tcPr>
          <w:p w14:paraId="7E8AC5B6"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до</w:t>
            </w:r>
            <w:proofErr w:type="gramEnd"/>
            <w:r w:rsidRPr="001449FD">
              <w:rPr>
                <w:rFonts w:ascii="Times New Roman" w:hAnsi="Times New Roman"/>
              </w:rPr>
              <w:t xml:space="preserve"> </w:t>
            </w:r>
            <w:r w:rsidRPr="001449FD">
              <w:rPr>
                <w:rFonts w:ascii="Times New Roman" w:hAnsi="Times New Roman"/>
                <w:lang w:val="en-US"/>
              </w:rPr>
              <w:t>4</w:t>
            </w:r>
            <w:r w:rsidRPr="001449FD">
              <w:rPr>
                <w:rFonts w:ascii="Times New Roman" w:hAnsi="Times New Roman"/>
              </w:rPr>
              <w:t>0 лет</w:t>
            </w:r>
          </w:p>
        </w:tc>
        <w:tc>
          <w:tcPr>
            <w:tcW w:w="1474" w:type="dxa"/>
            <w:gridSpan w:val="2"/>
            <w:vAlign w:val="center"/>
          </w:tcPr>
          <w:p w14:paraId="2CCFCB7B"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lang w:val="en-US"/>
              </w:rPr>
              <w:t xml:space="preserve">40-49 </w:t>
            </w:r>
            <w:r w:rsidRPr="001449FD">
              <w:rPr>
                <w:rFonts w:ascii="Times New Roman" w:hAnsi="Times New Roman"/>
              </w:rPr>
              <w:t>лет</w:t>
            </w:r>
          </w:p>
        </w:tc>
        <w:tc>
          <w:tcPr>
            <w:tcW w:w="1702" w:type="dxa"/>
            <w:gridSpan w:val="2"/>
            <w:shd w:val="clear" w:color="auto" w:fill="auto"/>
            <w:noWrap/>
            <w:vAlign w:val="center"/>
          </w:tcPr>
          <w:p w14:paraId="3ABE0AF8"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50–59 лет</w:t>
            </w:r>
          </w:p>
        </w:tc>
        <w:tc>
          <w:tcPr>
            <w:tcW w:w="1474" w:type="dxa"/>
            <w:gridSpan w:val="2"/>
            <w:tcBorders>
              <w:right w:val="single" w:sz="4" w:space="0" w:color="auto"/>
            </w:tcBorders>
            <w:shd w:val="clear" w:color="auto" w:fill="auto"/>
            <w:noWrap/>
            <w:vAlign w:val="center"/>
          </w:tcPr>
          <w:p w14:paraId="27B7AB68"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60–69 лет</w:t>
            </w:r>
          </w:p>
        </w:tc>
        <w:tc>
          <w:tcPr>
            <w:tcW w:w="1474" w:type="dxa"/>
            <w:gridSpan w:val="2"/>
            <w:tcBorders>
              <w:right w:val="single" w:sz="4" w:space="0" w:color="auto"/>
            </w:tcBorders>
            <w:vAlign w:val="center"/>
          </w:tcPr>
          <w:p w14:paraId="4C376A0E"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70+</w:t>
            </w:r>
          </w:p>
        </w:tc>
      </w:tr>
      <w:tr w:rsidR="00A9409C" w:rsidRPr="001449FD" w14:paraId="604A3F1C" w14:textId="77777777" w:rsidTr="00094F6F">
        <w:trPr>
          <w:trHeight w:val="397"/>
          <w:jc w:val="center"/>
        </w:trPr>
        <w:tc>
          <w:tcPr>
            <w:tcW w:w="1677" w:type="dxa"/>
            <w:vMerge/>
            <w:shd w:val="clear" w:color="auto" w:fill="auto"/>
            <w:vAlign w:val="center"/>
          </w:tcPr>
          <w:p w14:paraId="7F261011" w14:textId="77777777" w:rsidR="00A9409C" w:rsidRPr="001449FD" w:rsidRDefault="00A9409C" w:rsidP="00094F6F">
            <w:pPr>
              <w:widowControl w:val="0"/>
              <w:spacing w:after="0" w:line="240" w:lineRule="auto"/>
              <w:jc w:val="center"/>
              <w:rPr>
                <w:rFonts w:ascii="Times New Roman" w:hAnsi="Times New Roman"/>
              </w:rPr>
            </w:pPr>
          </w:p>
        </w:tc>
        <w:tc>
          <w:tcPr>
            <w:tcW w:w="737" w:type="dxa"/>
            <w:shd w:val="clear" w:color="auto" w:fill="auto"/>
            <w:noWrap/>
            <w:vAlign w:val="center"/>
          </w:tcPr>
          <w:p w14:paraId="724359C1"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M</w:t>
            </w:r>
          </w:p>
        </w:tc>
        <w:tc>
          <w:tcPr>
            <w:tcW w:w="737" w:type="dxa"/>
            <w:shd w:val="clear" w:color="auto" w:fill="auto"/>
            <w:noWrap/>
            <w:vAlign w:val="center"/>
          </w:tcPr>
          <w:p w14:paraId="1CD72B70"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m</w:t>
            </w:r>
            <w:proofErr w:type="gramEnd"/>
          </w:p>
        </w:tc>
        <w:tc>
          <w:tcPr>
            <w:tcW w:w="737" w:type="dxa"/>
            <w:vAlign w:val="center"/>
          </w:tcPr>
          <w:p w14:paraId="05AA37F1"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M</w:t>
            </w:r>
          </w:p>
        </w:tc>
        <w:tc>
          <w:tcPr>
            <w:tcW w:w="737" w:type="dxa"/>
            <w:vAlign w:val="center"/>
          </w:tcPr>
          <w:p w14:paraId="6E30BA44"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m</w:t>
            </w:r>
            <w:proofErr w:type="gramEnd"/>
          </w:p>
        </w:tc>
        <w:tc>
          <w:tcPr>
            <w:tcW w:w="851" w:type="dxa"/>
            <w:shd w:val="clear" w:color="auto" w:fill="auto"/>
            <w:noWrap/>
            <w:vAlign w:val="center"/>
          </w:tcPr>
          <w:p w14:paraId="5E66B8DD"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M</w:t>
            </w:r>
          </w:p>
        </w:tc>
        <w:tc>
          <w:tcPr>
            <w:tcW w:w="851" w:type="dxa"/>
            <w:shd w:val="clear" w:color="auto" w:fill="auto"/>
            <w:noWrap/>
            <w:vAlign w:val="center"/>
          </w:tcPr>
          <w:p w14:paraId="25CEE15C"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m</w:t>
            </w:r>
            <w:proofErr w:type="gramEnd"/>
          </w:p>
        </w:tc>
        <w:tc>
          <w:tcPr>
            <w:tcW w:w="737" w:type="dxa"/>
            <w:shd w:val="clear" w:color="auto" w:fill="auto"/>
            <w:noWrap/>
            <w:vAlign w:val="center"/>
          </w:tcPr>
          <w:p w14:paraId="0CA84F8E"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M</w:t>
            </w:r>
          </w:p>
        </w:tc>
        <w:tc>
          <w:tcPr>
            <w:tcW w:w="737" w:type="dxa"/>
            <w:tcBorders>
              <w:right w:val="single" w:sz="4" w:space="0" w:color="auto"/>
            </w:tcBorders>
            <w:shd w:val="clear" w:color="auto" w:fill="auto"/>
            <w:noWrap/>
            <w:vAlign w:val="center"/>
          </w:tcPr>
          <w:p w14:paraId="3000B8DA"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m</w:t>
            </w:r>
            <w:proofErr w:type="gramEnd"/>
          </w:p>
        </w:tc>
        <w:tc>
          <w:tcPr>
            <w:tcW w:w="737" w:type="dxa"/>
            <w:tcBorders>
              <w:right w:val="single" w:sz="4" w:space="0" w:color="auto"/>
            </w:tcBorders>
            <w:vAlign w:val="center"/>
          </w:tcPr>
          <w:p w14:paraId="26C05ADD"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M</w:t>
            </w:r>
          </w:p>
        </w:tc>
        <w:tc>
          <w:tcPr>
            <w:tcW w:w="737" w:type="dxa"/>
            <w:tcBorders>
              <w:right w:val="single" w:sz="4" w:space="0" w:color="auto"/>
            </w:tcBorders>
            <w:vAlign w:val="center"/>
          </w:tcPr>
          <w:p w14:paraId="3C6A97B1"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m</w:t>
            </w:r>
            <w:proofErr w:type="gramEnd"/>
          </w:p>
        </w:tc>
      </w:tr>
      <w:tr w:rsidR="00A9409C" w:rsidRPr="001449FD" w14:paraId="6A4BBF0B" w14:textId="77777777" w:rsidTr="00094F6F">
        <w:trPr>
          <w:trHeight w:val="397"/>
          <w:jc w:val="center"/>
        </w:trPr>
        <w:tc>
          <w:tcPr>
            <w:tcW w:w="1677" w:type="dxa"/>
            <w:shd w:val="clear" w:color="auto" w:fill="auto"/>
            <w:noWrap/>
            <w:vAlign w:val="center"/>
          </w:tcPr>
          <w:p w14:paraId="1B63FEE6"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w:t>
            </w:r>
          </w:p>
        </w:tc>
        <w:tc>
          <w:tcPr>
            <w:tcW w:w="737" w:type="dxa"/>
            <w:shd w:val="clear" w:color="auto" w:fill="auto"/>
            <w:noWrap/>
            <w:vAlign w:val="center"/>
          </w:tcPr>
          <w:p w14:paraId="66367C58"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100,0</w:t>
            </w:r>
          </w:p>
        </w:tc>
        <w:tc>
          <w:tcPr>
            <w:tcW w:w="737" w:type="dxa"/>
            <w:shd w:val="clear" w:color="auto" w:fill="auto"/>
            <w:noWrap/>
            <w:vAlign w:val="center"/>
          </w:tcPr>
          <w:p w14:paraId="534D1E0D"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0,0</w:t>
            </w:r>
          </w:p>
        </w:tc>
        <w:tc>
          <w:tcPr>
            <w:tcW w:w="737" w:type="dxa"/>
            <w:vAlign w:val="center"/>
          </w:tcPr>
          <w:p w14:paraId="5086A9A5"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80,0</w:t>
            </w:r>
          </w:p>
        </w:tc>
        <w:tc>
          <w:tcPr>
            <w:tcW w:w="737" w:type="dxa"/>
            <w:vAlign w:val="center"/>
          </w:tcPr>
          <w:p w14:paraId="5926FF5F"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12,6</w:t>
            </w:r>
          </w:p>
        </w:tc>
        <w:tc>
          <w:tcPr>
            <w:tcW w:w="851" w:type="dxa"/>
            <w:shd w:val="clear" w:color="auto" w:fill="auto"/>
            <w:noWrap/>
            <w:vAlign w:val="center"/>
          </w:tcPr>
          <w:p w14:paraId="481FD6F2"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84,6</w:t>
            </w:r>
          </w:p>
        </w:tc>
        <w:tc>
          <w:tcPr>
            <w:tcW w:w="851" w:type="dxa"/>
            <w:shd w:val="clear" w:color="auto" w:fill="auto"/>
            <w:noWrap/>
            <w:vAlign w:val="center"/>
          </w:tcPr>
          <w:p w14:paraId="0885F04A"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7,1</w:t>
            </w:r>
          </w:p>
        </w:tc>
        <w:tc>
          <w:tcPr>
            <w:tcW w:w="737" w:type="dxa"/>
            <w:shd w:val="clear" w:color="auto" w:fill="auto"/>
            <w:noWrap/>
            <w:vAlign w:val="center"/>
          </w:tcPr>
          <w:p w14:paraId="155FE95A"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92,0</w:t>
            </w:r>
          </w:p>
        </w:tc>
        <w:tc>
          <w:tcPr>
            <w:tcW w:w="737" w:type="dxa"/>
            <w:tcBorders>
              <w:right w:val="single" w:sz="4" w:space="0" w:color="auto"/>
            </w:tcBorders>
            <w:shd w:val="clear" w:color="auto" w:fill="auto"/>
            <w:noWrap/>
            <w:vAlign w:val="center"/>
          </w:tcPr>
          <w:p w14:paraId="1B87EA74"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2,7</w:t>
            </w:r>
          </w:p>
        </w:tc>
        <w:tc>
          <w:tcPr>
            <w:tcW w:w="737" w:type="dxa"/>
            <w:tcBorders>
              <w:right w:val="single" w:sz="4" w:space="0" w:color="auto"/>
            </w:tcBorders>
            <w:vAlign w:val="center"/>
          </w:tcPr>
          <w:p w14:paraId="483A25ED"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85,7</w:t>
            </w:r>
          </w:p>
        </w:tc>
        <w:tc>
          <w:tcPr>
            <w:tcW w:w="737" w:type="dxa"/>
            <w:tcBorders>
              <w:right w:val="single" w:sz="4" w:space="0" w:color="auto"/>
            </w:tcBorders>
            <w:vAlign w:val="center"/>
          </w:tcPr>
          <w:p w14:paraId="79CDE15E"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13,2</w:t>
            </w:r>
          </w:p>
        </w:tc>
      </w:tr>
      <w:tr w:rsidR="00A9409C" w:rsidRPr="001449FD" w14:paraId="42AD98B6" w14:textId="77777777" w:rsidTr="00094F6F">
        <w:trPr>
          <w:trHeight w:val="397"/>
          <w:jc w:val="center"/>
        </w:trPr>
        <w:tc>
          <w:tcPr>
            <w:tcW w:w="1677" w:type="dxa"/>
            <w:shd w:val="clear" w:color="auto" w:fill="auto"/>
            <w:noWrap/>
            <w:vAlign w:val="center"/>
          </w:tcPr>
          <w:p w14:paraId="76ECF869"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2</w:t>
            </w:r>
          </w:p>
        </w:tc>
        <w:tc>
          <w:tcPr>
            <w:tcW w:w="737" w:type="dxa"/>
            <w:shd w:val="clear" w:color="auto" w:fill="auto"/>
            <w:noWrap/>
            <w:vAlign w:val="center"/>
          </w:tcPr>
          <w:p w14:paraId="7C02D82A"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100,0</w:t>
            </w:r>
          </w:p>
        </w:tc>
        <w:tc>
          <w:tcPr>
            <w:tcW w:w="737" w:type="dxa"/>
            <w:shd w:val="clear" w:color="auto" w:fill="auto"/>
            <w:noWrap/>
            <w:vAlign w:val="center"/>
          </w:tcPr>
          <w:p w14:paraId="142BC590"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0,0</w:t>
            </w:r>
          </w:p>
        </w:tc>
        <w:tc>
          <w:tcPr>
            <w:tcW w:w="737" w:type="dxa"/>
            <w:vAlign w:val="center"/>
          </w:tcPr>
          <w:p w14:paraId="6E46D3FE"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80,0</w:t>
            </w:r>
          </w:p>
        </w:tc>
        <w:tc>
          <w:tcPr>
            <w:tcW w:w="737" w:type="dxa"/>
            <w:vAlign w:val="center"/>
          </w:tcPr>
          <w:p w14:paraId="2E3F9755"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12,6</w:t>
            </w:r>
          </w:p>
        </w:tc>
        <w:tc>
          <w:tcPr>
            <w:tcW w:w="851" w:type="dxa"/>
            <w:shd w:val="clear" w:color="auto" w:fill="auto"/>
            <w:noWrap/>
            <w:vAlign w:val="center"/>
          </w:tcPr>
          <w:p w14:paraId="589D6C9F"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69,2</w:t>
            </w:r>
          </w:p>
        </w:tc>
        <w:tc>
          <w:tcPr>
            <w:tcW w:w="851" w:type="dxa"/>
            <w:shd w:val="clear" w:color="auto" w:fill="auto"/>
            <w:noWrap/>
            <w:vAlign w:val="center"/>
          </w:tcPr>
          <w:p w14:paraId="2A5CFA50"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9,1</w:t>
            </w:r>
          </w:p>
        </w:tc>
        <w:tc>
          <w:tcPr>
            <w:tcW w:w="737" w:type="dxa"/>
            <w:shd w:val="clear" w:color="auto" w:fill="auto"/>
            <w:noWrap/>
            <w:vAlign w:val="center"/>
          </w:tcPr>
          <w:p w14:paraId="4BFB8DC7"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81,0</w:t>
            </w:r>
          </w:p>
        </w:tc>
        <w:tc>
          <w:tcPr>
            <w:tcW w:w="737" w:type="dxa"/>
            <w:tcBorders>
              <w:right w:val="single" w:sz="4" w:space="0" w:color="auto"/>
            </w:tcBorders>
            <w:shd w:val="clear" w:color="auto" w:fill="auto"/>
            <w:noWrap/>
            <w:vAlign w:val="center"/>
          </w:tcPr>
          <w:p w14:paraId="0C7AE669"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3,9</w:t>
            </w:r>
          </w:p>
        </w:tc>
        <w:tc>
          <w:tcPr>
            <w:tcW w:w="737" w:type="dxa"/>
            <w:tcBorders>
              <w:right w:val="single" w:sz="4" w:space="0" w:color="auto"/>
            </w:tcBorders>
            <w:vAlign w:val="center"/>
          </w:tcPr>
          <w:p w14:paraId="61E5F8D3"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85,7</w:t>
            </w:r>
          </w:p>
        </w:tc>
        <w:tc>
          <w:tcPr>
            <w:tcW w:w="737" w:type="dxa"/>
            <w:tcBorders>
              <w:right w:val="single" w:sz="4" w:space="0" w:color="auto"/>
            </w:tcBorders>
            <w:vAlign w:val="center"/>
          </w:tcPr>
          <w:p w14:paraId="4E8796B6"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13,2</w:t>
            </w:r>
          </w:p>
        </w:tc>
      </w:tr>
      <w:tr w:rsidR="00A9409C" w:rsidRPr="001449FD" w14:paraId="1FD76981" w14:textId="77777777" w:rsidTr="00094F6F">
        <w:trPr>
          <w:trHeight w:val="397"/>
          <w:jc w:val="center"/>
        </w:trPr>
        <w:tc>
          <w:tcPr>
            <w:tcW w:w="1677" w:type="dxa"/>
            <w:shd w:val="clear" w:color="auto" w:fill="auto"/>
            <w:noWrap/>
            <w:vAlign w:val="center"/>
          </w:tcPr>
          <w:p w14:paraId="18C85ABB"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3</w:t>
            </w:r>
          </w:p>
        </w:tc>
        <w:tc>
          <w:tcPr>
            <w:tcW w:w="737" w:type="dxa"/>
            <w:shd w:val="clear" w:color="auto" w:fill="auto"/>
            <w:noWrap/>
            <w:vAlign w:val="center"/>
          </w:tcPr>
          <w:p w14:paraId="594D7EE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100,0</w:t>
            </w:r>
          </w:p>
        </w:tc>
        <w:tc>
          <w:tcPr>
            <w:tcW w:w="737" w:type="dxa"/>
            <w:shd w:val="clear" w:color="auto" w:fill="auto"/>
            <w:noWrap/>
            <w:vAlign w:val="center"/>
          </w:tcPr>
          <w:p w14:paraId="0D09CB32"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0,0</w:t>
            </w:r>
          </w:p>
        </w:tc>
        <w:tc>
          <w:tcPr>
            <w:tcW w:w="737" w:type="dxa"/>
            <w:vAlign w:val="center"/>
          </w:tcPr>
          <w:p w14:paraId="4BC4F2E3"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50,0</w:t>
            </w:r>
          </w:p>
        </w:tc>
        <w:tc>
          <w:tcPr>
            <w:tcW w:w="737" w:type="dxa"/>
            <w:vAlign w:val="center"/>
          </w:tcPr>
          <w:p w14:paraId="5DA6D15E"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15,8</w:t>
            </w:r>
          </w:p>
        </w:tc>
        <w:tc>
          <w:tcPr>
            <w:tcW w:w="851" w:type="dxa"/>
            <w:shd w:val="clear" w:color="auto" w:fill="auto"/>
            <w:noWrap/>
            <w:vAlign w:val="center"/>
          </w:tcPr>
          <w:p w14:paraId="63BAFA5C"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61,5</w:t>
            </w:r>
          </w:p>
        </w:tc>
        <w:tc>
          <w:tcPr>
            <w:tcW w:w="851" w:type="dxa"/>
            <w:shd w:val="clear" w:color="auto" w:fill="auto"/>
            <w:noWrap/>
            <w:vAlign w:val="center"/>
          </w:tcPr>
          <w:p w14:paraId="172374E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9,5</w:t>
            </w:r>
          </w:p>
        </w:tc>
        <w:tc>
          <w:tcPr>
            <w:tcW w:w="737" w:type="dxa"/>
            <w:shd w:val="clear" w:color="auto" w:fill="auto"/>
            <w:noWrap/>
            <w:vAlign w:val="center"/>
          </w:tcPr>
          <w:p w14:paraId="4647FDA9"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57,0</w:t>
            </w:r>
          </w:p>
        </w:tc>
        <w:tc>
          <w:tcPr>
            <w:tcW w:w="737" w:type="dxa"/>
            <w:tcBorders>
              <w:right w:val="single" w:sz="4" w:space="0" w:color="auto"/>
            </w:tcBorders>
            <w:shd w:val="clear" w:color="auto" w:fill="auto"/>
            <w:noWrap/>
            <w:vAlign w:val="center"/>
          </w:tcPr>
          <w:p w14:paraId="52DB0406"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5,0</w:t>
            </w:r>
          </w:p>
        </w:tc>
        <w:tc>
          <w:tcPr>
            <w:tcW w:w="737" w:type="dxa"/>
            <w:tcBorders>
              <w:right w:val="single" w:sz="4" w:space="0" w:color="auto"/>
            </w:tcBorders>
            <w:vAlign w:val="center"/>
          </w:tcPr>
          <w:p w14:paraId="37364CE5"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71,4</w:t>
            </w:r>
          </w:p>
        </w:tc>
        <w:tc>
          <w:tcPr>
            <w:tcW w:w="737" w:type="dxa"/>
            <w:tcBorders>
              <w:right w:val="single" w:sz="4" w:space="0" w:color="auto"/>
            </w:tcBorders>
            <w:vAlign w:val="center"/>
          </w:tcPr>
          <w:p w14:paraId="3930CA8E"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17,1</w:t>
            </w:r>
          </w:p>
        </w:tc>
      </w:tr>
      <w:tr w:rsidR="00A9409C" w:rsidRPr="001449FD" w14:paraId="5365CD3D" w14:textId="77777777" w:rsidTr="00094F6F">
        <w:trPr>
          <w:trHeight w:val="397"/>
          <w:jc w:val="center"/>
        </w:trPr>
        <w:tc>
          <w:tcPr>
            <w:tcW w:w="1677" w:type="dxa"/>
            <w:shd w:val="clear" w:color="auto" w:fill="auto"/>
            <w:noWrap/>
            <w:vAlign w:val="center"/>
          </w:tcPr>
          <w:p w14:paraId="25F72B05"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4</w:t>
            </w:r>
          </w:p>
        </w:tc>
        <w:tc>
          <w:tcPr>
            <w:tcW w:w="737" w:type="dxa"/>
            <w:shd w:val="clear" w:color="auto" w:fill="auto"/>
            <w:noWrap/>
            <w:vAlign w:val="center"/>
          </w:tcPr>
          <w:p w14:paraId="163A184A"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100,0</w:t>
            </w:r>
          </w:p>
        </w:tc>
        <w:tc>
          <w:tcPr>
            <w:tcW w:w="737" w:type="dxa"/>
            <w:shd w:val="clear" w:color="auto" w:fill="auto"/>
            <w:noWrap/>
            <w:vAlign w:val="center"/>
          </w:tcPr>
          <w:p w14:paraId="4DC28E92"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0,0</w:t>
            </w:r>
          </w:p>
        </w:tc>
        <w:tc>
          <w:tcPr>
            <w:tcW w:w="737" w:type="dxa"/>
            <w:vAlign w:val="center"/>
          </w:tcPr>
          <w:p w14:paraId="3BE4600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50,0</w:t>
            </w:r>
          </w:p>
        </w:tc>
        <w:tc>
          <w:tcPr>
            <w:tcW w:w="737" w:type="dxa"/>
            <w:vAlign w:val="center"/>
          </w:tcPr>
          <w:p w14:paraId="43443F49"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15,8</w:t>
            </w:r>
          </w:p>
        </w:tc>
        <w:tc>
          <w:tcPr>
            <w:tcW w:w="851" w:type="dxa"/>
            <w:shd w:val="clear" w:color="auto" w:fill="auto"/>
            <w:noWrap/>
            <w:vAlign w:val="center"/>
          </w:tcPr>
          <w:p w14:paraId="2C3CB873"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57,7</w:t>
            </w:r>
          </w:p>
        </w:tc>
        <w:tc>
          <w:tcPr>
            <w:tcW w:w="851" w:type="dxa"/>
            <w:shd w:val="clear" w:color="auto" w:fill="auto"/>
            <w:noWrap/>
            <w:vAlign w:val="center"/>
          </w:tcPr>
          <w:p w14:paraId="307CE0F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9,7</w:t>
            </w:r>
          </w:p>
        </w:tc>
        <w:tc>
          <w:tcPr>
            <w:tcW w:w="737" w:type="dxa"/>
            <w:shd w:val="clear" w:color="auto" w:fill="auto"/>
            <w:noWrap/>
            <w:vAlign w:val="center"/>
          </w:tcPr>
          <w:p w14:paraId="41CECDED"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48,0</w:t>
            </w:r>
          </w:p>
        </w:tc>
        <w:tc>
          <w:tcPr>
            <w:tcW w:w="737" w:type="dxa"/>
            <w:tcBorders>
              <w:right w:val="single" w:sz="4" w:space="0" w:color="auto"/>
            </w:tcBorders>
            <w:shd w:val="clear" w:color="auto" w:fill="auto"/>
            <w:noWrap/>
            <w:vAlign w:val="center"/>
          </w:tcPr>
          <w:p w14:paraId="35BEDC68"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5,0</w:t>
            </w:r>
          </w:p>
        </w:tc>
        <w:tc>
          <w:tcPr>
            <w:tcW w:w="737" w:type="dxa"/>
            <w:tcBorders>
              <w:right w:val="single" w:sz="4" w:space="0" w:color="auto"/>
            </w:tcBorders>
            <w:vAlign w:val="center"/>
          </w:tcPr>
          <w:p w14:paraId="761A5D6A"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42,9</w:t>
            </w:r>
          </w:p>
        </w:tc>
        <w:tc>
          <w:tcPr>
            <w:tcW w:w="737" w:type="dxa"/>
            <w:tcBorders>
              <w:right w:val="single" w:sz="4" w:space="0" w:color="auto"/>
            </w:tcBorders>
            <w:vAlign w:val="center"/>
          </w:tcPr>
          <w:p w14:paraId="6C7EB154"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18,7</w:t>
            </w:r>
          </w:p>
        </w:tc>
      </w:tr>
      <w:tr w:rsidR="00A9409C" w:rsidRPr="001449FD" w14:paraId="60DA4E93" w14:textId="77777777" w:rsidTr="00094F6F">
        <w:trPr>
          <w:trHeight w:val="397"/>
          <w:jc w:val="center"/>
        </w:trPr>
        <w:tc>
          <w:tcPr>
            <w:tcW w:w="1677" w:type="dxa"/>
            <w:shd w:val="clear" w:color="auto" w:fill="auto"/>
            <w:noWrap/>
            <w:vAlign w:val="center"/>
          </w:tcPr>
          <w:p w14:paraId="037F826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w:t>
            </w:r>
          </w:p>
        </w:tc>
        <w:tc>
          <w:tcPr>
            <w:tcW w:w="737" w:type="dxa"/>
            <w:shd w:val="clear" w:color="auto" w:fill="auto"/>
            <w:noWrap/>
            <w:vAlign w:val="center"/>
          </w:tcPr>
          <w:p w14:paraId="4DB9F90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100,0</w:t>
            </w:r>
          </w:p>
        </w:tc>
        <w:tc>
          <w:tcPr>
            <w:tcW w:w="737" w:type="dxa"/>
            <w:shd w:val="clear" w:color="auto" w:fill="auto"/>
            <w:noWrap/>
            <w:vAlign w:val="center"/>
          </w:tcPr>
          <w:p w14:paraId="7292DB40"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0,0</w:t>
            </w:r>
          </w:p>
        </w:tc>
        <w:tc>
          <w:tcPr>
            <w:tcW w:w="737" w:type="dxa"/>
            <w:vAlign w:val="center"/>
          </w:tcPr>
          <w:p w14:paraId="06F22D6D"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50,0</w:t>
            </w:r>
          </w:p>
        </w:tc>
        <w:tc>
          <w:tcPr>
            <w:tcW w:w="737" w:type="dxa"/>
            <w:vAlign w:val="center"/>
          </w:tcPr>
          <w:p w14:paraId="13C555CA"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15,8</w:t>
            </w:r>
          </w:p>
        </w:tc>
        <w:tc>
          <w:tcPr>
            <w:tcW w:w="851" w:type="dxa"/>
            <w:shd w:val="clear" w:color="auto" w:fill="auto"/>
            <w:noWrap/>
            <w:vAlign w:val="center"/>
          </w:tcPr>
          <w:p w14:paraId="1478D9C9"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57,7</w:t>
            </w:r>
          </w:p>
        </w:tc>
        <w:tc>
          <w:tcPr>
            <w:tcW w:w="851" w:type="dxa"/>
            <w:shd w:val="clear" w:color="auto" w:fill="auto"/>
            <w:noWrap/>
            <w:vAlign w:val="center"/>
          </w:tcPr>
          <w:p w14:paraId="7B47BEB8"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9,7</w:t>
            </w:r>
          </w:p>
        </w:tc>
        <w:tc>
          <w:tcPr>
            <w:tcW w:w="737" w:type="dxa"/>
            <w:shd w:val="clear" w:color="auto" w:fill="auto"/>
            <w:noWrap/>
            <w:vAlign w:val="center"/>
          </w:tcPr>
          <w:p w14:paraId="0A6C9CB9"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44,0</w:t>
            </w:r>
          </w:p>
        </w:tc>
        <w:tc>
          <w:tcPr>
            <w:tcW w:w="737" w:type="dxa"/>
            <w:tcBorders>
              <w:right w:val="single" w:sz="4" w:space="0" w:color="auto"/>
            </w:tcBorders>
            <w:shd w:val="clear" w:color="auto" w:fill="auto"/>
            <w:noWrap/>
            <w:vAlign w:val="center"/>
          </w:tcPr>
          <w:p w14:paraId="03C50CB3"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5,0</w:t>
            </w:r>
          </w:p>
        </w:tc>
        <w:tc>
          <w:tcPr>
            <w:tcW w:w="737" w:type="dxa"/>
            <w:tcBorders>
              <w:right w:val="single" w:sz="4" w:space="0" w:color="auto"/>
            </w:tcBorders>
            <w:vAlign w:val="center"/>
          </w:tcPr>
          <w:p w14:paraId="3984D7F0"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42,9</w:t>
            </w:r>
          </w:p>
        </w:tc>
        <w:tc>
          <w:tcPr>
            <w:tcW w:w="737" w:type="dxa"/>
            <w:tcBorders>
              <w:right w:val="single" w:sz="4" w:space="0" w:color="auto"/>
            </w:tcBorders>
            <w:vAlign w:val="center"/>
          </w:tcPr>
          <w:p w14:paraId="385CF2C5"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18,7</w:t>
            </w:r>
          </w:p>
        </w:tc>
      </w:tr>
    </w:tbl>
    <w:p w14:paraId="32054388"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0EFC81FD"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081388A0"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 xml:space="preserve">В возрастной группе 50–59 лет показатели были лучше, чем во </w:t>
      </w:r>
      <w:r w:rsidRPr="001449FD">
        <w:rPr>
          <w:rFonts w:ascii="Times New Roman" w:hAnsi="Times New Roman"/>
          <w:sz w:val="28"/>
          <w:szCs w:val="28"/>
          <w:lang w:val="kk-KZ"/>
        </w:rPr>
        <w:t>ІІ группе</w:t>
      </w:r>
      <w:r w:rsidRPr="001449FD">
        <w:rPr>
          <w:rFonts w:ascii="Times New Roman" w:hAnsi="Times New Roman"/>
          <w:sz w:val="28"/>
          <w:szCs w:val="28"/>
        </w:rPr>
        <w:t xml:space="preserve"> и составили 84,6±7,1%, 69,2±9,1%, 61,5±9,5%, 57,7±9,7% и 57,7±9,7%, соответственно. В </w:t>
      </w:r>
      <w:r w:rsidRPr="001449FD">
        <w:rPr>
          <w:rFonts w:ascii="Times New Roman" w:hAnsi="Times New Roman"/>
          <w:sz w:val="28"/>
          <w:szCs w:val="28"/>
          <w:lang w:val="en-US"/>
        </w:rPr>
        <w:t>IV</w:t>
      </w:r>
      <w:r w:rsidRPr="001449FD">
        <w:rPr>
          <w:rFonts w:ascii="Times New Roman" w:hAnsi="Times New Roman"/>
          <w:sz w:val="28"/>
          <w:szCs w:val="28"/>
        </w:rPr>
        <w:t xml:space="preserve"> группе показатели выживаемости были еще лучше на 1 и 2 уровнях (92,0±2,7% и 81,0±3,9%, соответственно), однако в дальнейшем имели низкие показатели. В возрастной группе 70 лет и старше в первые 3 года показатели были лучше (85,7±13,2%, 85,7±13,2% и 71,4±17,1%), в последующие 2 года (42,9±18,7% и 42,9±18,7%, соответственно) показатели резко ухудшились.</w:t>
      </w:r>
    </w:p>
    <w:p w14:paraId="706D2110"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 xml:space="preserve">По локализации рака ободочной кишки больные были разделены на четыре </w:t>
      </w:r>
      <w:r w:rsidRPr="00392562">
        <w:rPr>
          <w:rFonts w:ascii="Times New Roman" w:hAnsi="Times New Roman"/>
          <w:sz w:val="28"/>
          <w:szCs w:val="28"/>
        </w:rPr>
        <w:t>группы (таблица 22). Первую группу составили больные с локализацией опухоли</w:t>
      </w:r>
      <w:r w:rsidRPr="001449FD">
        <w:rPr>
          <w:rFonts w:ascii="Times New Roman" w:hAnsi="Times New Roman"/>
          <w:sz w:val="28"/>
          <w:szCs w:val="28"/>
        </w:rPr>
        <w:t xml:space="preserve"> в восходящей ободочной кишке (ВОК), II – в нисходящей ободочной кишке (НОК), III – в поперечной-ободочной кишке (ПОК) и </w:t>
      </w:r>
      <w:r w:rsidRPr="001449FD">
        <w:rPr>
          <w:rFonts w:ascii="Times New Roman" w:hAnsi="Times New Roman"/>
          <w:sz w:val="28"/>
          <w:szCs w:val="28"/>
          <w:lang w:val="en-US"/>
        </w:rPr>
        <w:t>IV</w:t>
      </w:r>
      <w:r w:rsidRPr="001449FD">
        <w:rPr>
          <w:rFonts w:ascii="Times New Roman" w:hAnsi="Times New Roman"/>
          <w:sz w:val="28"/>
          <w:szCs w:val="28"/>
        </w:rPr>
        <w:t xml:space="preserve"> – с расположением опухоли в сигмовидной кишке (СК).</w:t>
      </w:r>
    </w:p>
    <w:p w14:paraId="259A52D5"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2C687E23" w14:textId="77777777" w:rsidR="00A9409C" w:rsidRPr="001449FD" w:rsidRDefault="00A9409C" w:rsidP="00A9409C">
      <w:pPr>
        <w:spacing w:after="0" w:line="240" w:lineRule="auto"/>
        <w:jc w:val="both"/>
        <w:rPr>
          <w:rFonts w:ascii="Times New Roman" w:hAnsi="Times New Roman"/>
          <w:sz w:val="28"/>
          <w:szCs w:val="28"/>
        </w:rPr>
      </w:pPr>
      <w:r w:rsidRPr="00392562">
        <w:rPr>
          <w:rFonts w:ascii="Times New Roman" w:hAnsi="Times New Roman"/>
          <w:sz w:val="28"/>
          <w:szCs w:val="28"/>
        </w:rPr>
        <w:t>Таблица 22 – Выживаемость больных при раке ободочной кишки в зависимости</w:t>
      </w:r>
      <w:r w:rsidRPr="001449FD">
        <w:rPr>
          <w:rFonts w:ascii="Times New Roman" w:hAnsi="Times New Roman"/>
          <w:sz w:val="28"/>
          <w:szCs w:val="28"/>
        </w:rPr>
        <w:t xml:space="preserve"> от локализации опухоли</w:t>
      </w:r>
    </w:p>
    <w:p w14:paraId="3FBBC681" w14:textId="77777777" w:rsidR="00A9409C" w:rsidRPr="001449FD" w:rsidRDefault="00A9409C" w:rsidP="00A9409C">
      <w:pPr>
        <w:spacing w:after="0" w:line="240" w:lineRule="auto"/>
        <w:rPr>
          <w:rFonts w:ascii="Times New Roman" w:hAnsi="Times New Roman"/>
          <w:sz w:val="28"/>
          <w:szCs w:val="28"/>
        </w:rPr>
      </w:pPr>
    </w:p>
    <w:tbl>
      <w:tblPr>
        <w:tblpPr w:leftFromText="180" w:rightFromText="180" w:vertAnchor="text" w:tblpXSpec="center" w:tblpY="1"/>
        <w:tblOverlap w:val="never"/>
        <w:tblW w:w="9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94"/>
        <w:gridCol w:w="931"/>
        <w:gridCol w:w="879"/>
        <w:gridCol w:w="876"/>
        <w:gridCol w:w="876"/>
        <w:gridCol w:w="1011"/>
        <w:gridCol w:w="1012"/>
        <w:gridCol w:w="876"/>
        <w:gridCol w:w="876"/>
      </w:tblGrid>
      <w:tr w:rsidR="00A9409C" w:rsidRPr="001449FD" w14:paraId="4F10F349" w14:textId="77777777" w:rsidTr="00094F6F">
        <w:trPr>
          <w:trHeight w:val="340"/>
        </w:trPr>
        <w:tc>
          <w:tcPr>
            <w:tcW w:w="1994" w:type="dxa"/>
            <w:vMerge w:val="restart"/>
            <w:shd w:val="clear" w:color="auto" w:fill="auto"/>
            <w:vAlign w:val="center"/>
          </w:tcPr>
          <w:p w14:paraId="21BB08C6"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Годы наблюдения</w:t>
            </w:r>
          </w:p>
        </w:tc>
        <w:tc>
          <w:tcPr>
            <w:tcW w:w="7337" w:type="dxa"/>
            <w:gridSpan w:val="8"/>
            <w:shd w:val="clear" w:color="auto" w:fill="auto"/>
            <w:noWrap/>
            <w:vAlign w:val="center"/>
          </w:tcPr>
          <w:p w14:paraId="1F4C5977"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Выживаемость, %</w:t>
            </w:r>
          </w:p>
        </w:tc>
      </w:tr>
      <w:tr w:rsidR="00A9409C" w:rsidRPr="001449FD" w14:paraId="7AFFCB59" w14:textId="77777777" w:rsidTr="00094F6F">
        <w:trPr>
          <w:trHeight w:val="340"/>
        </w:trPr>
        <w:tc>
          <w:tcPr>
            <w:tcW w:w="1994" w:type="dxa"/>
            <w:vMerge/>
            <w:shd w:val="clear" w:color="auto" w:fill="auto"/>
            <w:vAlign w:val="center"/>
          </w:tcPr>
          <w:p w14:paraId="5852152E" w14:textId="77777777" w:rsidR="00A9409C" w:rsidRPr="001449FD" w:rsidRDefault="00A9409C" w:rsidP="00094F6F">
            <w:pPr>
              <w:widowControl w:val="0"/>
              <w:spacing w:after="0" w:line="240" w:lineRule="auto"/>
              <w:jc w:val="center"/>
              <w:rPr>
                <w:rFonts w:ascii="Times New Roman" w:hAnsi="Times New Roman"/>
              </w:rPr>
            </w:pPr>
          </w:p>
        </w:tc>
        <w:tc>
          <w:tcPr>
            <w:tcW w:w="1810" w:type="dxa"/>
            <w:gridSpan w:val="2"/>
            <w:shd w:val="clear" w:color="auto" w:fill="auto"/>
            <w:noWrap/>
            <w:vAlign w:val="center"/>
          </w:tcPr>
          <w:p w14:paraId="6003617F"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ВОК</w:t>
            </w:r>
          </w:p>
        </w:tc>
        <w:tc>
          <w:tcPr>
            <w:tcW w:w="1752" w:type="dxa"/>
            <w:gridSpan w:val="2"/>
            <w:vAlign w:val="center"/>
          </w:tcPr>
          <w:p w14:paraId="7CC03287"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НОК</w:t>
            </w:r>
          </w:p>
        </w:tc>
        <w:tc>
          <w:tcPr>
            <w:tcW w:w="2023" w:type="dxa"/>
            <w:gridSpan w:val="2"/>
            <w:shd w:val="clear" w:color="auto" w:fill="auto"/>
            <w:noWrap/>
            <w:vAlign w:val="center"/>
          </w:tcPr>
          <w:p w14:paraId="745F6CBC"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ПОК</w:t>
            </w:r>
          </w:p>
        </w:tc>
        <w:tc>
          <w:tcPr>
            <w:tcW w:w="1752" w:type="dxa"/>
            <w:gridSpan w:val="2"/>
            <w:shd w:val="clear" w:color="auto" w:fill="auto"/>
            <w:noWrap/>
            <w:vAlign w:val="center"/>
          </w:tcPr>
          <w:p w14:paraId="0BDB66B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СК</w:t>
            </w:r>
          </w:p>
        </w:tc>
      </w:tr>
      <w:tr w:rsidR="00A9409C" w:rsidRPr="001449FD" w14:paraId="1494D2B6" w14:textId="77777777" w:rsidTr="00094F6F">
        <w:trPr>
          <w:trHeight w:val="340"/>
        </w:trPr>
        <w:tc>
          <w:tcPr>
            <w:tcW w:w="1994" w:type="dxa"/>
            <w:vMerge/>
            <w:shd w:val="clear" w:color="auto" w:fill="auto"/>
            <w:vAlign w:val="center"/>
          </w:tcPr>
          <w:p w14:paraId="42290BDE" w14:textId="77777777" w:rsidR="00A9409C" w:rsidRPr="001449FD" w:rsidRDefault="00A9409C" w:rsidP="00094F6F">
            <w:pPr>
              <w:widowControl w:val="0"/>
              <w:spacing w:after="0" w:line="240" w:lineRule="auto"/>
              <w:jc w:val="center"/>
              <w:rPr>
                <w:rFonts w:ascii="Times New Roman" w:hAnsi="Times New Roman"/>
              </w:rPr>
            </w:pPr>
          </w:p>
        </w:tc>
        <w:tc>
          <w:tcPr>
            <w:tcW w:w="931" w:type="dxa"/>
            <w:shd w:val="clear" w:color="auto" w:fill="auto"/>
            <w:noWrap/>
            <w:vAlign w:val="center"/>
          </w:tcPr>
          <w:p w14:paraId="3BB92B46"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M</w:t>
            </w:r>
          </w:p>
        </w:tc>
        <w:tc>
          <w:tcPr>
            <w:tcW w:w="879" w:type="dxa"/>
            <w:shd w:val="clear" w:color="auto" w:fill="auto"/>
            <w:noWrap/>
            <w:vAlign w:val="center"/>
          </w:tcPr>
          <w:p w14:paraId="49BDFE49"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m</w:t>
            </w:r>
            <w:proofErr w:type="gramEnd"/>
          </w:p>
        </w:tc>
        <w:tc>
          <w:tcPr>
            <w:tcW w:w="876" w:type="dxa"/>
            <w:vAlign w:val="center"/>
          </w:tcPr>
          <w:p w14:paraId="18D118E7"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M</w:t>
            </w:r>
          </w:p>
        </w:tc>
        <w:tc>
          <w:tcPr>
            <w:tcW w:w="876" w:type="dxa"/>
            <w:vAlign w:val="center"/>
          </w:tcPr>
          <w:p w14:paraId="28B51C5A"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m</w:t>
            </w:r>
            <w:proofErr w:type="gramEnd"/>
          </w:p>
        </w:tc>
        <w:tc>
          <w:tcPr>
            <w:tcW w:w="1011" w:type="dxa"/>
            <w:shd w:val="clear" w:color="auto" w:fill="auto"/>
            <w:noWrap/>
            <w:vAlign w:val="center"/>
          </w:tcPr>
          <w:p w14:paraId="470D78A5"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M</w:t>
            </w:r>
          </w:p>
        </w:tc>
        <w:tc>
          <w:tcPr>
            <w:tcW w:w="1012" w:type="dxa"/>
            <w:shd w:val="clear" w:color="auto" w:fill="auto"/>
            <w:noWrap/>
            <w:vAlign w:val="center"/>
          </w:tcPr>
          <w:p w14:paraId="6ADA2483"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m</w:t>
            </w:r>
            <w:proofErr w:type="gramEnd"/>
          </w:p>
        </w:tc>
        <w:tc>
          <w:tcPr>
            <w:tcW w:w="876" w:type="dxa"/>
            <w:shd w:val="clear" w:color="auto" w:fill="auto"/>
            <w:noWrap/>
            <w:vAlign w:val="center"/>
          </w:tcPr>
          <w:p w14:paraId="4DB795DF"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M</w:t>
            </w:r>
          </w:p>
        </w:tc>
        <w:tc>
          <w:tcPr>
            <w:tcW w:w="876" w:type="dxa"/>
            <w:shd w:val="clear" w:color="auto" w:fill="auto"/>
            <w:noWrap/>
            <w:vAlign w:val="center"/>
          </w:tcPr>
          <w:p w14:paraId="16FD7597"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m</w:t>
            </w:r>
            <w:proofErr w:type="gramEnd"/>
          </w:p>
        </w:tc>
      </w:tr>
      <w:tr w:rsidR="00A9409C" w:rsidRPr="001449FD" w14:paraId="25A14E7D" w14:textId="77777777" w:rsidTr="00094F6F">
        <w:trPr>
          <w:trHeight w:val="340"/>
        </w:trPr>
        <w:tc>
          <w:tcPr>
            <w:tcW w:w="1994" w:type="dxa"/>
            <w:shd w:val="clear" w:color="auto" w:fill="auto"/>
            <w:noWrap/>
            <w:vAlign w:val="center"/>
          </w:tcPr>
          <w:p w14:paraId="2C64541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w:t>
            </w:r>
          </w:p>
        </w:tc>
        <w:tc>
          <w:tcPr>
            <w:tcW w:w="931" w:type="dxa"/>
            <w:shd w:val="clear" w:color="auto" w:fill="auto"/>
            <w:noWrap/>
            <w:vAlign w:val="center"/>
          </w:tcPr>
          <w:p w14:paraId="1FFA5371"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85,5</w:t>
            </w:r>
          </w:p>
        </w:tc>
        <w:tc>
          <w:tcPr>
            <w:tcW w:w="879" w:type="dxa"/>
            <w:shd w:val="clear" w:color="auto" w:fill="auto"/>
            <w:noWrap/>
            <w:vAlign w:val="center"/>
          </w:tcPr>
          <w:p w14:paraId="615FD729"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4,2</w:t>
            </w:r>
          </w:p>
        </w:tc>
        <w:tc>
          <w:tcPr>
            <w:tcW w:w="876" w:type="dxa"/>
            <w:vAlign w:val="center"/>
          </w:tcPr>
          <w:p w14:paraId="34CE3A2E"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91,2</w:t>
            </w:r>
          </w:p>
        </w:tc>
        <w:tc>
          <w:tcPr>
            <w:tcW w:w="876" w:type="dxa"/>
            <w:vAlign w:val="center"/>
          </w:tcPr>
          <w:p w14:paraId="669ABAF8"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3,7</w:t>
            </w:r>
          </w:p>
        </w:tc>
        <w:tc>
          <w:tcPr>
            <w:tcW w:w="1011" w:type="dxa"/>
            <w:shd w:val="clear" w:color="auto" w:fill="auto"/>
            <w:noWrap/>
            <w:vAlign w:val="center"/>
          </w:tcPr>
          <w:p w14:paraId="5903A82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100,0</w:t>
            </w:r>
          </w:p>
        </w:tc>
        <w:tc>
          <w:tcPr>
            <w:tcW w:w="1012" w:type="dxa"/>
            <w:shd w:val="clear" w:color="auto" w:fill="auto"/>
            <w:noWrap/>
            <w:vAlign w:val="center"/>
          </w:tcPr>
          <w:p w14:paraId="7C564411"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0,0</w:t>
            </w:r>
          </w:p>
        </w:tc>
        <w:tc>
          <w:tcPr>
            <w:tcW w:w="876" w:type="dxa"/>
            <w:shd w:val="clear" w:color="auto" w:fill="auto"/>
            <w:noWrap/>
            <w:vAlign w:val="center"/>
          </w:tcPr>
          <w:p w14:paraId="147E3BF6"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100,0</w:t>
            </w:r>
          </w:p>
        </w:tc>
        <w:tc>
          <w:tcPr>
            <w:tcW w:w="876" w:type="dxa"/>
            <w:shd w:val="clear" w:color="auto" w:fill="auto"/>
            <w:noWrap/>
            <w:vAlign w:val="center"/>
          </w:tcPr>
          <w:p w14:paraId="49CF028A"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0,0</w:t>
            </w:r>
          </w:p>
        </w:tc>
      </w:tr>
      <w:tr w:rsidR="00A9409C" w:rsidRPr="001449FD" w14:paraId="191ED55A" w14:textId="77777777" w:rsidTr="00094F6F">
        <w:trPr>
          <w:trHeight w:val="340"/>
        </w:trPr>
        <w:tc>
          <w:tcPr>
            <w:tcW w:w="1994" w:type="dxa"/>
            <w:shd w:val="clear" w:color="auto" w:fill="auto"/>
            <w:noWrap/>
            <w:vAlign w:val="center"/>
          </w:tcPr>
          <w:p w14:paraId="384CC988"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2</w:t>
            </w:r>
          </w:p>
        </w:tc>
        <w:tc>
          <w:tcPr>
            <w:tcW w:w="931" w:type="dxa"/>
            <w:shd w:val="clear" w:color="auto" w:fill="auto"/>
            <w:noWrap/>
            <w:vAlign w:val="center"/>
          </w:tcPr>
          <w:p w14:paraId="74DC421E"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75,4</w:t>
            </w:r>
          </w:p>
        </w:tc>
        <w:tc>
          <w:tcPr>
            <w:tcW w:w="879" w:type="dxa"/>
            <w:shd w:val="clear" w:color="auto" w:fill="auto"/>
            <w:noWrap/>
            <w:vAlign w:val="center"/>
          </w:tcPr>
          <w:p w14:paraId="40E15F53"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5,2</w:t>
            </w:r>
          </w:p>
        </w:tc>
        <w:tc>
          <w:tcPr>
            <w:tcW w:w="876" w:type="dxa"/>
            <w:vAlign w:val="center"/>
          </w:tcPr>
          <w:p w14:paraId="2112D8AF"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80,7</w:t>
            </w:r>
          </w:p>
        </w:tc>
        <w:tc>
          <w:tcPr>
            <w:tcW w:w="876" w:type="dxa"/>
            <w:vAlign w:val="center"/>
          </w:tcPr>
          <w:p w14:paraId="6B0F69C5"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5,2</w:t>
            </w:r>
          </w:p>
        </w:tc>
        <w:tc>
          <w:tcPr>
            <w:tcW w:w="1011" w:type="dxa"/>
            <w:shd w:val="clear" w:color="auto" w:fill="auto"/>
            <w:noWrap/>
            <w:vAlign w:val="center"/>
          </w:tcPr>
          <w:p w14:paraId="49598D3F"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100,0</w:t>
            </w:r>
          </w:p>
        </w:tc>
        <w:tc>
          <w:tcPr>
            <w:tcW w:w="1012" w:type="dxa"/>
            <w:shd w:val="clear" w:color="auto" w:fill="auto"/>
            <w:noWrap/>
            <w:vAlign w:val="center"/>
          </w:tcPr>
          <w:p w14:paraId="0B8C8C45"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0,0</w:t>
            </w:r>
          </w:p>
        </w:tc>
        <w:tc>
          <w:tcPr>
            <w:tcW w:w="876" w:type="dxa"/>
            <w:shd w:val="clear" w:color="auto" w:fill="auto"/>
            <w:noWrap/>
            <w:vAlign w:val="center"/>
          </w:tcPr>
          <w:p w14:paraId="29EDF980"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86,7</w:t>
            </w:r>
          </w:p>
        </w:tc>
        <w:tc>
          <w:tcPr>
            <w:tcW w:w="876" w:type="dxa"/>
            <w:shd w:val="clear" w:color="auto" w:fill="auto"/>
            <w:noWrap/>
            <w:vAlign w:val="center"/>
          </w:tcPr>
          <w:p w14:paraId="29897373"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8,8</w:t>
            </w:r>
          </w:p>
        </w:tc>
      </w:tr>
      <w:tr w:rsidR="00A9409C" w:rsidRPr="001449FD" w14:paraId="227BEE02" w14:textId="77777777" w:rsidTr="00094F6F">
        <w:trPr>
          <w:trHeight w:val="340"/>
        </w:trPr>
        <w:tc>
          <w:tcPr>
            <w:tcW w:w="1994" w:type="dxa"/>
            <w:shd w:val="clear" w:color="auto" w:fill="auto"/>
            <w:noWrap/>
            <w:vAlign w:val="center"/>
          </w:tcPr>
          <w:p w14:paraId="4EEB979D"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3</w:t>
            </w:r>
          </w:p>
        </w:tc>
        <w:tc>
          <w:tcPr>
            <w:tcW w:w="931" w:type="dxa"/>
            <w:shd w:val="clear" w:color="auto" w:fill="auto"/>
            <w:noWrap/>
            <w:vAlign w:val="center"/>
          </w:tcPr>
          <w:p w14:paraId="3F244B89"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59,4</w:t>
            </w:r>
          </w:p>
        </w:tc>
        <w:tc>
          <w:tcPr>
            <w:tcW w:w="879" w:type="dxa"/>
            <w:shd w:val="clear" w:color="auto" w:fill="auto"/>
            <w:noWrap/>
            <w:vAlign w:val="center"/>
          </w:tcPr>
          <w:p w14:paraId="6E72970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5,9</w:t>
            </w:r>
          </w:p>
        </w:tc>
        <w:tc>
          <w:tcPr>
            <w:tcW w:w="876" w:type="dxa"/>
            <w:vAlign w:val="center"/>
          </w:tcPr>
          <w:p w14:paraId="3D1862E6"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54,4</w:t>
            </w:r>
          </w:p>
        </w:tc>
        <w:tc>
          <w:tcPr>
            <w:tcW w:w="876" w:type="dxa"/>
            <w:vAlign w:val="center"/>
          </w:tcPr>
          <w:p w14:paraId="6B96E180"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6,6</w:t>
            </w:r>
          </w:p>
        </w:tc>
        <w:tc>
          <w:tcPr>
            <w:tcW w:w="1011" w:type="dxa"/>
            <w:shd w:val="clear" w:color="auto" w:fill="auto"/>
            <w:noWrap/>
            <w:vAlign w:val="center"/>
          </w:tcPr>
          <w:p w14:paraId="1655E470"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66,7</w:t>
            </w:r>
          </w:p>
        </w:tc>
        <w:tc>
          <w:tcPr>
            <w:tcW w:w="1012" w:type="dxa"/>
            <w:shd w:val="clear" w:color="auto" w:fill="auto"/>
            <w:noWrap/>
            <w:vAlign w:val="center"/>
          </w:tcPr>
          <w:p w14:paraId="782956C1"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15,7</w:t>
            </w:r>
          </w:p>
        </w:tc>
        <w:tc>
          <w:tcPr>
            <w:tcW w:w="876" w:type="dxa"/>
            <w:shd w:val="clear" w:color="auto" w:fill="auto"/>
            <w:noWrap/>
            <w:vAlign w:val="center"/>
          </w:tcPr>
          <w:p w14:paraId="64F2218C"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80,0</w:t>
            </w:r>
          </w:p>
        </w:tc>
        <w:tc>
          <w:tcPr>
            <w:tcW w:w="876" w:type="dxa"/>
            <w:shd w:val="clear" w:color="auto" w:fill="auto"/>
            <w:noWrap/>
            <w:vAlign w:val="center"/>
          </w:tcPr>
          <w:p w14:paraId="37FDE661"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10,3</w:t>
            </w:r>
          </w:p>
        </w:tc>
      </w:tr>
      <w:tr w:rsidR="00A9409C" w:rsidRPr="001449FD" w14:paraId="6AFE660B" w14:textId="77777777" w:rsidTr="00094F6F">
        <w:trPr>
          <w:trHeight w:val="340"/>
        </w:trPr>
        <w:tc>
          <w:tcPr>
            <w:tcW w:w="1994" w:type="dxa"/>
            <w:shd w:val="clear" w:color="auto" w:fill="auto"/>
            <w:noWrap/>
            <w:vAlign w:val="center"/>
          </w:tcPr>
          <w:p w14:paraId="0766833E"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4</w:t>
            </w:r>
          </w:p>
        </w:tc>
        <w:tc>
          <w:tcPr>
            <w:tcW w:w="931" w:type="dxa"/>
            <w:shd w:val="clear" w:color="auto" w:fill="auto"/>
            <w:noWrap/>
            <w:vAlign w:val="center"/>
          </w:tcPr>
          <w:p w14:paraId="02C5A410"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52,2</w:t>
            </w:r>
          </w:p>
        </w:tc>
        <w:tc>
          <w:tcPr>
            <w:tcW w:w="879" w:type="dxa"/>
            <w:shd w:val="clear" w:color="auto" w:fill="auto"/>
            <w:noWrap/>
            <w:vAlign w:val="center"/>
          </w:tcPr>
          <w:p w14:paraId="7333B8AD"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6,0</w:t>
            </w:r>
          </w:p>
        </w:tc>
        <w:tc>
          <w:tcPr>
            <w:tcW w:w="876" w:type="dxa"/>
            <w:vAlign w:val="center"/>
          </w:tcPr>
          <w:p w14:paraId="2240ADE7"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45,6</w:t>
            </w:r>
          </w:p>
        </w:tc>
        <w:tc>
          <w:tcPr>
            <w:tcW w:w="876" w:type="dxa"/>
            <w:vAlign w:val="center"/>
          </w:tcPr>
          <w:p w14:paraId="265C3470"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6,6</w:t>
            </w:r>
          </w:p>
        </w:tc>
        <w:tc>
          <w:tcPr>
            <w:tcW w:w="1011" w:type="dxa"/>
            <w:shd w:val="clear" w:color="auto" w:fill="auto"/>
            <w:noWrap/>
            <w:vAlign w:val="center"/>
          </w:tcPr>
          <w:p w14:paraId="3A546509"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55,6</w:t>
            </w:r>
          </w:p>
        </w:tc>
        <w:tc>
          <w:tcPr>
            <w:tcW w:w="1012" w:type="dxa"/>
            <w:shd w:val="clear" w:color="auto" w:fill="auto"/>
            <w:noWrap/>
            <w:vAlign w:val="center"/>
          </w:tcPr>
          <w:p w14:paraId="52B4D486"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16,6</w:t>
            </w:r>
          </w:p>
        </w:tc>
        <w:tc>
          <w:tcPr>
            <w:tcW w:w="876" w:type="dxa"/>
            <w:shd w:val="clear" w:color="auto" w:fill="auto"/>
            <w:noWrap/>
            <w:vAlign w:val="center"/>
          </w:tcPr>
          <w:p w14:paraId="7E49F2BD"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73,3</w:t>
            </w:r>
          </w:p>
        </w:tc>
        <w:tc>
          <w:tcPr>
            <w:tcW w:w="876" w:type="dxa"/>
            <w:shd w:val="clear" w:color="auto" w:fill="auto"/>
            <w:noWrap/>
            <w:vAlign w:val="center"/>
          </w:tcPr>
          <w:p w14:paraId="75F24999"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11,4</w:t>
            </w:r>
          </w:p>
        </w:tc>
      </w:tr>
      <w:tr w:rsidR="00A9409C" w:rsidRPr="001449FD" w14:paraId="1F73DBC9" w14:textId="77777777" w:rsidTr="00094F6F">
        <w:trPr>
          <w:trHeight w:val="340"/>
        </w:trPr>
        <w:tc>
          <w:tcPr>
            <w:tcW w:w="1994" w:type="dxa"/>
            <w:shd w:val="clear" w:color="auto" w:fill="auto"/>
            <w:noWrap/>
            <w:vAlign w:val="center"/>
          </w:tcPr>
          <w:p w14:paraId="3C9DB0C1"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w:t>
            </w:r>
          </w:p>
        </w:tc>
        <w:tc>
          <w:tcPr>
            <w:tcW w:w="931" w:type="dxa"/>
            <w:shd w:val="clear" w:color="auto" w:fill="auto"/>
            <w:noWrap/>
            <w:vAlign w:val="center"/>
          </w:tcPr>
          <w:p w14:paraId="0892A03A"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50,7</w:t>
            </w:r>
          </w:p>
        </w:tc>
        <w:tc>
          <w:tcPr>
            <w:tcW w:w="879" w:type="dxa"/>
            <w:shd w:val="clear" w:color="auto" w:fill="auto"/>
            <w:noWrap/>
            <w:vAlign w:val="center"/>
          </w:tcPr>
          <w:p w14:paraId="7C1988D0"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6,0</w:t>
            </w:r>
          </w:p>
        </w:tc>
        <w:tc>
          <w:tcPr>
            <w:tcW w:w="876" w:type="dxa"/>
            <w:vAlign w:val="center"/>
          </w:tcPr>
          <w:p w14:paraId="7AA29928"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43,9</w:t>
            </w:r>
          </w:p>
        </w:tc>
        <w:tc>
          <w:tcPr>
            <w:tcW w:w="876" w:type="dxa"/>
            <w:vAlign w:val="center"/>
          </w:tcPr>
          <w:p w14:paraId="4ADA8EA3"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6,6</w:t>
            </w:r>
          </w:p>
        </w:tc>
        <w:tc>
          <w:tcPr>
            <w:tcW w:w="1011" w:type="dxa"/>
            <w:shd w:val="clear" w:color="auto" w:fill="auto"/>
            <w:noWrap/>
            <w:vAlign w:val="center"/>
          </w:tcPr>
          <w:p w14:paraId="3D9EEDD7"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55,6</w:t>
            </w:r>
          </w:p>
        </w:tc>
        <w:tc>
          <w:tcPr>
            <w:tcW w:w="1012" w:type="dxa"/>
            <w:shd w:val="clear" w:color="auto" w:fill="auto"/>
            <w:noWrap/>
            <w:vAlign w:val="center"/>
          </w:tcPr>
          <w:p w14:paraId="151716CB"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16,6</w:t>
            </w:r>
          </w:p>
        </w:tc>
        <w:tc>
          <w:tcPr>
            <w:tcW w:w="876" w:type="dxa"/>
            <w:shd w:val="clear" w:color="auto" w:fill="auto"/>
            <w:noWrap/>
            <w:vAlign w:val="center"/>
          </w:tcPr>
          <w:p w14:paraId="31D21A60"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60,0</w:t>
            </w:r>
          </w:p>
        </w:tc>
        <w:tc>
          <w:tcPr>
            <w:tcW w:w="876" w:type="dxa"/>
            <w:shd w:val="clear" w:color="auto" w:fill="auto"/>
            <w:noWrap/>
            <w:vAlign w:val="center"/>
          </w:tcPr>
          <w:p w14:paraId="644AAA4B"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12,6</w:t>
            </w:r>
          </w:p>
        </w:tc>
      </w:tr>
    </w:tbl>
    <w:p w14:paraId="60E6F054"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 xml:space="preserve">Результаты выживаемости больных при раке ободочной кишки в зависимости от локализации опухоли свидетельствуют о том, что показатели выживаемости во всех сроках наблюдения при локализации опухоли в </w:t>
      </w:r>
      <w:r w:rsidRPr="001449FD">
        <w:rPr>
          <w:rFonts w:ascii="Times New Roman" w:hAnsi="Times New Roman"/>
          <w:sz w:val="28"/>
          <w:szCs w:val="28"/>
        </w:rPr>
        <w:lastRenderedPageBreak/>
        <w:t>поперечной-ободочной кишке и в сигмовидной кишке были выше, чем при локализации опухоли в восходящей и нисходящей ободочной кишке. Так, на первом году жизни показатели выживаемости при локализации опухоли в поперечной-ободочной кишке и в сигмовидной кишке составили 100%. На втором году показатель выживаемости при локализации опухоли в поперечной-ободочной кишке так же показывал 100%, но в последующих годах был хуже, чем при локализации опухоли в сигмовидной кишке (66,7±15,7%, 55,6±16,6%, 55,6±16,6% и 80,0±10,3%, 73,3±11,4%, 60,0±12,6%, соответственно). Показатели выживаемости в первых двух годах были выше при локализации опухоли в нисходящей ободочной кишке (91,2±3,7% и 80,7±5,2%), чем при в восходящей ободочной кишке (85,5±4,2% и 75,4±5,2%). Проведенный анализ показал, что не наблюдается статистически значимой разницы в показателях выживаемости при локализации опухоли.</w:t>
      </w:r>
    </w:p>
    <w:p w14:paraId="169EACF2"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 xml:space="preserve">Далее проанализировано влияние гистологического типа опухоли и данные </w:t>
      </w:r>
      <w:r w:rsidRPr="00392562">
        <w:rPr>
          <w:rFonts w:ascii="Times New Roman" w:hAnsi="Times New Roman"/>
          <w:sz w:val="28"/>
          <w:szCs w:val="28"/>
        </w:rPr>
        <w:t>о выживаемости больных представлены на рисунке 18.</w:t>
      </w:r>
      <w:r w:rsidRPr="001449FD">
        <w:rPr>
          <w:rFonts w:ascii="Times New Roman" w:hAnsi="Times New Roman"/>
          <w:sz w:val="28"/>
          <w:szCs w:val="28"/>
        </w:rPr>
        <w:t xml:space="preserve"> </w:t>
      </w:r>
    </w:p>
    <w:p w14:paraId="605D7F01"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7DDE20F3"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4DA31771" w14:textId="77777777" w:rsidR="00A9409C" w:rsidRPr="001449FD" w:rsidRDefault="00A9409C" w:rsidP="00A9409C">
      <w:pPr>
        <w:widowControl w:val="0"/>
        <w:spacing w:after="0" w:line="240" w:lineRule="auto"/>
        <w:jc w:val="center"/>
        <w:rPr>
          <w:rFonts w:ascii="Times New Roman" w:hAnsi="Times New Roman"/>
          <w:sz w:val="28"/>
          <w:szCs w:val="28"/>
        </w:rPr>
      </w:pPr>
      <w:r w:rsidRPr="001449FD">
        <w:rPr>
          <w:rFonts w:ascii="Times New Roman" w:hAnsi="Times New Roman"/>
          <w:noProof/>
        </w:rPr>
        <w:drawing>
          <wp:inline distT="0" distB="0" distL="0" distR="0" wp14:anchorId="7744C1FE" wp14:editId="23D328FB">
            <wp:extent cx="5579745" cy="3658870"/>
            <wp:effectExtent l="0" t="0" r="1905" b="0"/>
            <wp:docPr id="1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4C72BFC" w14:textId="77777777" w:rsidR="00A9409C" w:rsidRPr="001449FD" w:rsidRDefault="00A9409C" w:rsidP="00A9409C">
      <w:pPr>
        <w:widowControl w:val="0"/>
        <w:spacing w:after="0" w:line="240" w:lineRule="auto"/>
        <w:jc w:val="center"/>
        <w:rPr>
          <w:rFonts w:ascii="Times New Roman" w:hAnsi="Times New Roman"/>
          <w:sz w:val="28"/>
          <w:szCs w:val="28"/>
          <w:highlight w:val="yellow"/>
        </w:rPr>
      </w:pPr>
    </w:p>
    <w:p w14:paraId="67EF2588" w14:textId="77777777" w:rsidR="00A9409C" w:rsidRPr="001449FD" w:rsidRDefault="00A9409C" w:rsidP="00A9409C">
      <w:pPr>
        <w:widowControl w:val="0"/>
        <w:spacing w:after="0" w:line="240" w:lineRule="auto"/>
        <w:jc w:val="center"/>
        <w:rPr>
          <w:rFonts w:ascii="Times New Roman" w:hAnsi="Times New Roman"/>
          <w:sz w:val="28"/>
          <w:szCs w:val="28"/>
        </w:rPr>
      </w:pPr>
      <w:r w:rsidRPr="00392562">
        <w:rPr>
          <w:rFonts w:ascii="Times New Roman" w:hAnsi="Times New Roman"/>
          <w:sz w:val="28"/>
          <w:szCs w:val="28"/>
        </w:rPr>
        <w:t>Рисунок 18 – Выживаемость больных при раке ободочной кишки</w:t>
      </w:r>
      <w:r w:rsidRPr="001449FD">
        <w:rPr>
          <w:rFonts w:ascii="Times New Roman" w:hAnsi="Times New Roman"/>
          <w:sz w:val="28"/>
          <w:szCs w:val="28"/>
        </w:rPr>
        <w:br/>
        <w:t>с учетом гистологического типа</w:t>
      </w:r>
    </w:p>
    <w:p w14:paraId="5C7FBB14"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2B38E4F4"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40B433B1"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 xml:space="preserve">Показатели выживаемости у больных с </w:t>
      </w:r>
      <w:proofErr w:type="spellStart"/>
      <w:r w:rsidRPr="001449FD">
        <w:rPr>
          <w:rFonts w:ascii="Times New Roman" w:hAnsi="Times New Roman"/>
          <w:sz w:val="28"/>
          <w:szCs w:val="28"/>
        </w:rPr>
        <w:t>аденокарциономой</w:t>
      </w:r>
      <w:proofErr w:type="spellEnd"/>
      <w:r w:rsidRPr="001449FD">
        <w:rPr>
          <w:rFonts w:ascii="Times New Roman" w:hAnsi="Times New Roman"/>
          <w:sz w:val="28"/>
          <w:szCs w:val="28"/>
        </w:rPr>
        <w:t xml:space="preserve"> и перстневидно-клеточной карциномой были намного выше, чем при недифференцированной карциноме на всех сроках. При этом показатели выживаемости для больных с </w:t>
      </w:r>
      <w:proofErr w:type="spellStart"/>
      <w:r w:rsidRPr="001449FD">
        <w:rPr>
          <w:rFonts w:ascii="Times New Roman" w:hAnsi="Times New Roman"/>
          <w:sz w:val="28"/>
          <w:szCs w:val="28"/>
        </w:rPr>
        <w:t>аденокарциномой</w:t>
      </w:r>
      <w:proofErr w:type="spellEnd"/>
      <w:r w:rsidRPr="001449FD">
        <w:rPr>
          <w:rFonts w:ascii="Times New Roman" w:hAnsi="Times New Roman"/>
          <w:sz w:val="28"/>
          <w:szCs w:val="28"/>
        </w:rPr>
        <w:t xml:space="preserve"> составили 95,3±2,3%, 87,1±3,6%, 67,1±5,1%, 58,8±5,3% и 55,3±5,4% соответственно, а для больных с перстневидно-клеточной </w:t>
      </w:r>
      <w:r w:rsidRPr="001449FD">
        <w:rPr>
          <w:rFonts w:ascii="Times New Roman" w:hAnsi="Times New Roman"/>
          <w:sz w:val="28"/>
          <w:szCs w:val="28"/>
        </w:rPr>
        <w:lastRenderedPageBreak/>
        <w:t>карциномой – 93,3±3,7%, 77,8±6,2%, 55,6±7,4%, 46,7±7,4% и 44,4±7,4% соответственно.</w:t>
      </w:r>
    </w:p>
    <w:p w14:paraId="5C2FD8FA"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 xml:space="preserve">Распространенность процесса при изучении прогноза занимает важное место. Полученные данные о выживаемости по годам свидетельствуют о том, что больных со 2 и 3 стадиями имеют низкую выживаемость на 3, 4 и 5 уровнях </w:t>
      </w:r>
      <w:r w:rsidRPr="00392562">
        <w:rPr>
          <w:rFonts w:ascii="Times New Roman" w:hAnsi="Times New Roman"/>
          <w:sz w:val="28"/>
          <w:szCs w:val="28"/>
        </w:rPr>
        <w:t xml:space="preserve">(рисунок 19). </w:t>
      </w:r>
    </w:p>
    <w:p w14:paraId="32A3DA32"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52F66ECE"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5305A8FB" w14:textId="77777777" w:rsidR="00A9409C" w:rsidRPr="001449FD" w:rsidRDefault="00A9409C" w:rsidP="00A9409C">
      <w:pPr>
        <w:widowControl w:val="0"/>
        <w:spacing w:after="0" w:line="240" w:lineRule="auto"/>
        <w:jc w:val="center"/>
        <w:rPr>
          <w:rFonts w:ascii="Times New Roman" w:hAnsi="Times New Roman"/>
          <w:sz w:val="28"/>
          <w:szCs w:val="28"/>
        </w:rPr>
      </w:pPr>
      <w:r w:rsidRPr="001449FD">
        <w:rPr>
          <w:rFonts w:ascii="Times New Roman" w:hAnsi="Times New Roman"/>
          <w:noProof/>
        </w:rPr>
        <w:drawing>
          <wp:inline distT="0" distB="0" distL="0" distR="0" wp14:anchorId="76D7FAD3" wp14:editId="56BE6218">
            <wp:extent cx="5707380" cy="3239770"/>
            <wp:effectExtent l="0" t="0" r="7620" b="0"/>
            <wp:docPr id="1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B307E5A" w14:textId="77777777" w:rsidR="00A9409C" w:rsidRPr="001449FD" w:rsidRDefault="00A9409C" w:rsidP="00A9409C">
      <w:pPr>
        <w:widowControl w:val="0"/>
        <w:spacing w:after="0" w:line="240" w:lineRule="auto"/>
        <w:jc w:val="center"/>
        <w:rPr>
          <w:rFonts w:ascii="Times New Roman" w:hAnsi="Times New Roman"/>
          <w:sz w:val="28"/>
          <w:szCs w:val="28"/>
          <w:highlight w:val="yellow"/>
        </w:rPr>
      </w:pPr>
    </w:p>
    <w:p w14:paraId="2E6BFC04" w14:textId="77777777" w:rsidR="00A9409C" w:rsidRPr="001449FD" w:rsidRDefault="00A9409C" w:rsidP="00A9409C">
      <w:pPr>
        <w:widowControl w:val="0"/>
        <w:spacing w:after="0" w:line="240" w:lineRule="auto"/>
        <w:jc w:val="center"/>
        <w:rPr>
          <w:rFonts w:ascii="Times New Roman" w:hAnsi="Times New Roman"/>
          <w:sz w:val="28"/>
          <w:szCs w:val="28"/>
        </w:rPr>
      </w:pPr>
      <w:r w:rsidRPr="00392562">
        <w:rPr>
          <w:rFonts w:ascii="Times New Roman" w:hAnsi="Times New Roman"/>
          <w:sz w:val="28"/>
          <w:szCs w:val="28"/>
        </w:rPr>
        <w:t>Рисунок 19 – Выживаемость больных при раке ободочной кишки</w:t>
      </w:r>
      <w:r w:rsidRPr="001449FD">
        <w:rPr>
          <w:rFonts w:ascii="Times New Roman" w:hAnsi="Times New Roman"/>
          <w:sz w:val="28"/>
          <w:szCs w:val="28"/>
        </w:rPr>
        <w:br/>
        <w:t>с учетом стадии опухоли</w:t>
      </w:r>
    </w:p>
    <w:p w14:paraId="7FAFFD91"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1D9F94E5"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0E1FDA5B"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392562">
        <w:rPr>
          <w:rFonts w:ascii="Times New Roman" w:hAnsi="Times New Roman"/>
          <w:sz w:val="28"/>
          <w:szCs w:val="28"/>
        </w:rPr>
        <w:t>На первых уровнях показатели выживаемости составили</w:t>
      </w:r>
      <w:r w:rsidRPr="001449FD">
        <w:rPr>
          <w:rFonts w:ascii="Times New Roman" w:hAnsi="Times New Roman"/>
          <w:sz w:val="28"/>
          <w:szCs w:val="28"/>
        </w:rPr>
        <w:t xml:space="preserve"> 92,1±4,4%, 81,6±6,3% и 87,6±3,3%, 76,3±4,3% соответственно. Высокие показатели установлены на 1 стадии заболевания, у которых выживаемость в указанных сроках составила 100,0±0,0%, 100,0±0,0%, 93,3±6,4%, 93,3±6,4% и 93,3±6,4% соответственно.</w:t>
      </w:r>
    </w:p>
    <w:p w14:paraId="77087B45"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 xml:space="preserve">Показатели выживаемости больных при раке ободочной кишки с учетом дифференцировки опухолевых клеток представлены на рисунке </w:t>
      </w:r>
      <w:r>
        <w:rPr>
          <w:rFonts w:ascii="Times New Roman" w:hAnsi="Times New Roman"/>
          <w:sz w:val="28"/>
          <w:szCs w:val="28"/>
        </w:rPr>
        <w:t>20</w:t>
      </w:r>
      <w:r w:rsidRPr="001449FD">
        <w:rPr>
          <w:rFonts w:ascii="Times New Roman" w:hAnsi="Times New Roman"/>
          <w:sz w:val="28"/>
          <w:szCs w:val="28"/>
        </w:rPr>
        <w:t>.</w:t>
      </w:r>
    </w:p>
    <w:p w14:paraId="1B6DF856"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 xml:space="preserve">Для изучения прогностического значения выбранного вида операций все больные были разделены на 4 группы: I группа – больные, которым была проведена </w:t>
      </w:r>
      <w:proofErr w:type="spellStart"/>
      <w:r w:rsidRPr="001449FD">
        <w:rPr>
          <w:rFonts w:ascii="Times New Roman" w:hAnsi="Times New Roman"/>
          <w:sz w:val="28"/>
          <w:szCs w:val="28"/>
        </w:rPr>
        <w:t>левостороняя</w:t>
      </w:r>
      <w:proofErr w:type="spellEnd"/>
      <w:r w:rsidRPr="001449FD">
        <w:rPr>
          <w:rFonts w:ascii="Times New Roman" w:hAnsi="Times New Roman"/>
          <w:sz w:val="28"/>
          <w:szCs w:val="28"/>
        </w:rPr>
        <w:t xml:space="preserve"> гемиколэктомия (ЛГЭ), II группа – больные, которым была проведена правосторонняя гемиколэктомия (ПГЭ), III группа – больные, которым была проведена резекция поперечно-ободочной кишки (РПОК) и </w:t>
      </w:r>
      <w:r w:rsidRPr="001449FD">
        <w:rPr>
          <w:rFonts w:ascii="Times New Roman" w:hAnsi="Times New Roman"/>
          <w:sz w:val="28"/>
          <w:szCs w:val="28"/>
          <w:lang w:val="en-US"/>
        </w:rPr>
        <w:t>IV</w:t>
      </w:r>
      <w:r w:rsidRPr="001449FD">
        <w:rPr>
          <w:rFonts w:ascii="Times New Roman" w:hAnsi="Times New Roman"/>
          <w:sz w:val="28"/>
          <w:szCs w:val="28"/>
        </w:rPr>
        <w:t xml:space="preserve"> </w:t>
      </w:r>
      <w:r w:rsidRPr="00D5450A">
        <w:rPr>
          <w:rFonts w:ascii="Times New Roman" w:hAnsi="Times New Roman"/>
          <w:sz w:val="28"/>
          <w:szCs w:val="28"/>
        </w:rPr>
        <w:t>группа – больные, которым формировали стомы (СТОМА) (таблица 23).</w:t>
      </w:r>
    </w:p>
    <w:p w14:paraId="64DCAEDE"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012D5A43" w14:textId="77777777" w:rsidR="00A9409C" w:rsidRPr="001449FD" w:rsidRDefault="00A9409C" w:rsidP="00A9409C">
      <w:pPr>
        <w:widowControl w:val="0"/>
        <w:spacing w:after="0" w:line="240" w:lineRule="auto"/>
        <w:jc w:val="center"/>
        <w:rPr>
          <w:rFonts w:ascii="Times New Roman" w:hAnsi="Times New Roman"/>
          <w:sz w:val="28"/>
          <w:szCs w:val="28"/>
        </w:rPr>
      </w:pPr>
      <w:r w:rsidRPr="001449FD">
        <w:rPr>
          <w:rFonts w:ascii="Times New Roman" w:hAnsi="Times New Roman"/>
          <w:noProof/>
        </w:rPr>
        <w:lastRenderedPageBreak/>
        <w:drawing>
          <wp:inline distT="0" distB="0" distL="0" distR="0" wp14:anchorId="60C60CDB" wp14:editId="28E81B1B">
            <wp:extent cx="5580000" cy="3240000"/>
            <wp:effectExtent l="0" t="0" r="1905" b="0"/>
            <wp:docPr id="1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3EC6720" w14:textId="77777777" w:rsidR="00A9409C" w:rsidRPr="001449FD" w:rsidRDefault="00A9409C" w:rsidP="00A9409C">
      <w:pPr>
        <w:widowControl w:val="0"/>
        <w:spacing w:after="0" w:line="240" w:lineRule="auto"/>
        <w:jc w:val="center"/>
        <w:rPr>
          <w:rFonts w:ascii="Times New Roman" w:hAnsi="Times New Roman"/>
          <w:sz w:val="28"/>
          <w:szCs w:val="28"/>
          <w:highlight w:val="yellow"/>
        </w:rPr>
      </w:pPr>
    </w:p>
    <w:p w14:paraId="5F3D0599" w14:textId="77777777" w:rsidR="00A9409C" w:rsidRPr="001449FD" w:rsidRDefault="00A9409C" w:rsidP="00A9409C">
      <w:pPr>
        <w:widowControl w:val="0"/>
        <w:spacing w:after="0" w:line="240" w:lineRule="auto"/>
        <w:jc w:val="center"/>
        <w:rPr>
          <w:rFonts w:ascii="Times New Roman" w:hAnsi="Times New Roman"/>
          <w:sz w:val="28"/>
          <w:szCs w:val="28"/>
        </w:rPr>
      </w:pPr>
      <w:r w:rsidRPr="00392562">
        <w:rPr>
          <w:rFonts w:ascii="Times New Roman" w:hAnsi="Times New Roman"/>
          <w:sz w:val="28"/>
          <w:szCs w:val="28"/>
        </w:rPr>
        <w:t>Рисунок 20 – Выживаемость больных при раке ободочной кишки</w:t>
      </w:r>
      <w:r w:rsidRPr="001449FD">
        <w:rPr>
          <w:rFonts w:ascii="Times New Roman" w:hAnsi="Times New Roman"/>
          <w:sz w:val="28"/>
          <w:szCs w:val="28"/>
        </w:rPr>
        <w:br/>
        <w:t>с учетом степени дифференцировки опухоли</w:t>
      </w:r>
    </w:p>
    <w:p w14:paraId="430CB51E"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598D2760"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172C61CC"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 xml:space="preserve">Наиболее лучшие результаты по выживаемости показала резекция поперечно-ободочной кишки, где выживаемость за первые два года составила 100%. Показатели выживаемости у больных со </w:t>
      </w:r>
      <w:proofErr w:type="spellStart"/>
      <w:r w:rsidRPr="001449FD">
        <w:rPr>
          <w:rFonts w:ascii="Times New Roman" w:hAnsi="Times New Roman"/>
          <w:sz w:val="28"/>
          <w:szCs w:val="28"/>
        </w:rPr>
        <w:t>стомой</w:t>
      </w:r>
      <w:proofErr w:type="spellEnd"/>
      <w:r w:rsidRPr="001449FD">
        <w:rPr>
          <w:rFonts w:ascii="Times New Roman" w:hAnsi="Times New Roman"/>
          <w:sz w:val="28"/>
          <w:szCs w:val="28"/>
        </w:rPr>
        <w:t xml:space="preserve"> были схожи с больными, которым была проведена </w:t>
      </w:r>
      <w:proofErr w:type="spellStart"/>
      <w:r w:rsidRPr="001449FD">
        <w:rPr>
          <w:rFonts w:ascii="Times New Roman" w:hAnsi="Times New Roman"/>
          <w:sz w:val="28"/>
          <w:szCs w:val="28"/>
        </w:rPr>
        <w:t>левостороняя</w:t>
      </w:r>
      <w:proofErr w:type="spellEnd"/>
      <w:r w:rsidRPr="001449FD">
        <w:rPr>
          <w:rFonts w:ascii="Times New Roman" w:hAnsi="Times New Roman"/>
          <w:sz w:val="28"/>
          <w:szCs w:val="28"/>
        </w:rPr>
        <w:t xml:space="preserve"> гемиколэктомия, а именно: 94,1±5,7%, 82,4±9,2%, 70,6±11,1%, 64,7±11,6%, 52,9±12,1% и 92,1±3,4%, 81,0±4,9%, 58,7±6,2%, 49,2±6,3%, 47,6±6,3%, соответственно. Сравнительно худшие результаты по выживаемости были у больных, которым была проведена правосторонняя гемиколэктомия (в 1 год – 85,0±4,6%, во 2 год – 75,0±5,6%, в 3 год – 56,7±6,4%, в 4 год – 50,0±6,5%, в 5 год – 48,3±6,5%)</w:t>
      </w:r>
    </w:p>
    <w:p w14:paraId="1CB0935F"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3D126932" w14:textId="77777777" w:rsidR="00A9409C" w:rsidRPr="001449FD" w:rsidRDefault="00A9409C" w:rsidP="00A9409C">
      <w:pPr>
        <w:widowControl w:val="0"/>
        <w:spacing w:after="0" w:line="240" w:lineRule="auto"/>
        <w:jc w:val="both"/>
        <w:rPr>
          <w:rFonts w:ascii="Times New Roman" w:hAnsi="Times New Roman"/>
          <w:sz w:val="28"/>
          <w:szCs w:val="28"/>
        </w:rPr>
      </w:pPr>
      <w:r w:rsidRPr="00D5450A">
        <w:rPr>
          <w:rFonts w:ascii="Times New Roman" w:hAnsi="Times New Roman"/>
          <w:sz w:val="28"/>
          <w:szCs w:val="28"/>
        </w:rPr>
        <w:t>Таблица 23 – Выживаемость больных при раке ободочной кишки с учетом</w:t>
      </w:r>
      <w:r w:rsidRPr="001449FD">
        <w:rPr>
          <w:rFonts w:ascii="Times New Roman" w:hAnsi="Times New Roman"/>
          <w:sz w:val="28"/>
          <w:szCs w:val="28"/>
        </w:rPr>
        <w:t xml:space="preserve"> выполненного оперативного вмешательства</w:t>
      </w:r>
    </w:p>
    <w:p w14:paraId="065A7A29" w14:textId="77777777" w:rsidR="00A9409C" w:rsidRPr="001449FD" w:rsidRDefault="00A9409C" w:rsidP="00A9409C">
      <w:pPr>
        <w:widowControl w:val="0"/>
        <w:spacing w:after="0" w:line="240" w:lineRule="auto"/>
        <w:jc w:val="both"/>
        <w:rPr>
          <w:rFonts w:ascii="Times New Roman" w:hAnsi="Times New Roman"/>
          <w:sz w:val="28"/>
          <w:szCs w:val="28"/>
        </w:rPr>
      </w:pPr>
    </w:p>
    <w:tbl>
      <w:tblPr>
        <w:tblpPr w:leftFromText="180" w:rightFromText="180" w:vertAnchor="text" w:tblpY="1"/>
        <w:tblOverlap w:val="never"/>
        <w:tblW w:w="9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94"/>
        <w:gridCol w:w="931"/>
        <w:gridCol w:w="879"/>
        <w:gridCol w:w="876"/>
        <w:gridCol w:w="876"/>
        <w:gridCol w:w="1011"/>
        <w:gridCol w:w="1012"/>
        <w:gridCol w:w="876"/>
        <w:gridCol w:w="876"/>
      </w:tblGrid>
      <w:tr w:rsidR="00A9409C" w:rsidRPr="001449FD" w14:paraId="3E198CEA" w14:textId="77777777" w:rsidTr="00094F6F">
        <w:trPr>
          <w:trHeight w:val="340"/>
        </w:trPr>
        <w:tc>
          <w:tcPr>
            <w:tcW w:w="1994" w:type="dxa"/>
            <w:vMerge w:val="restart"/>
            <w:shd w:val="clear" w:color="auto" w:fill="auto"/>
            <w:vAlign w:val="center"/>
          </w:tcPr>
          <w:p w14:paraId="580D25F3"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Годы наблюдения</w:t>
            </w:r>
          </w:p>
        </w:tc>
        <w:tc>
          <w:tcPr>
            <w:tcW w:w="7337" w:type="dxa"/>
            <w:gridSpan w:val="8"/>
            <w:shd w:val="clear" w:color="auto" w:fill="auto"/>
            <w:noWrap/>
            <w:vAlign w:val="center"/>
          </w:tcPr>
          <w:p w14:paraId="0B75B7D1"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Выживаемость, %</w:t>
            </w:r>
          </w:p>
        </w:tc>
      </w:tr>
      <w:tr w:rsidR="00A9409C" w:rsidRPr="001449FD" w14:paraId="08B09C1A" w14:textId="77777777" w:rsidTr="00094F6F">
        <w:trPr>
          <w:trHeight w:val="340"/>
        </w:trPr>
        <w:tc>
          <w:tcPr>
            <w:tcW w:w="1994" w:type="dxa"/>
            <w:vMerge/>
            <w:shd w:val="clear" w:color="auto" w:fill="auto"/>
            <w:vAlign w:val="center"/>
          </w:tcPr>
          <w:p w14:paraId="753FCB7D" w14:textId="77777777" w:rsidR="00A9409C" w:rsidRPr="001449FD" w:rsidRDefault="00A9409C" w:rsidP="00094F6F">
            <w:pPr>
              <w:widowControl w:val="0"/>
              <w:spacing w:after="0" w:line="240" w:lineRule="auto"/>
              <w:jc w:val="center"/>
              <w:rPr>
                <w:rFonts w:ascii="Times New Roman" w:hAnsi="Times New Roman"/>
              </w:rPr>
            </w:pPr>
          </w:p>
        </w:tc>
        <w:tc>
          <w:tcPr>
            <w:tcW w:w="1810" w:type="dxa"/>
            <w:gridSpan w:val="2"/>
            <w:shd w:val="clear" w:color="auto" w:fill="auto"/>
            <w:noWrap/>
            <w:vAlign w:val="center"/>
          </w:tcPr>
          <w:p w14:paraId="2B6E7C7D"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ЛГЭ</w:t>
            </w:r>
          </w:p>
        </w:tc>
        <w:tc>
          <w:tcPr>
            <w:tcW w:w="1752" w:type="dxa"/>
            <w:gridSpan w:val="2"/>
            <w:vAlign w:val="center"/>
          </w:tcPr>
          <w:p w14:paraId="48AA8779"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ПГЭ</w:t>
            </w:r>
          </w:p>
        </w:tc>
        <w:tc>
          <w:tcPr>
            <w:tcW w:w="2023" w:type="dxa"/>
            <w:gridSpan w:val="2"/>
            <w:shd w:val="clear" w:color="auto" w:fill="auto"/>
            <w:noWrap/>
            <w:vAlign w:val="center"/>
          </w:tcPr>
          <w:p w14:paraId="511C1269"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РПОК</w:t>
            </w:r>
          </w:p>
        </w:tc>
        <w:tc>
          <w:tcPr>
            <w:tcW w:w="1752" w:type="dxa"/>
            <w:gridSpan w:val="2"/>
            <w:shd w:val="clear" w:color="auto" w:fill="auto"/>
            <w:noWrap/>
            <w:vAlign w:val="center"/>
          </w:tcPr>
          <w:p w14:paraId="3CFB1DBC"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СТОМА</w:t>
            </w:r>
          </w:p>
        </w:tc>
      </w:tr>
      <w:tr w:rsidR="00A9409C" w:rsidRPr="001449FD" w14:paraId="49B5C929" w14:textId="77777777" w:rsidTr="00094F6F">
        <w:trPr>
          <w:trHeight w:val="340"/>
        </w:trPr>
        <w:tc>
          <w:tcPr>
            <w:tcW w:w="1994" w:type="dxa"/>
            <w:vMerge/>
            <w:shd w:val="clear" w:color="auto" w:fill="auto"/>
            <w:vAlign w:val="center"/>
          </w:tcPr>
          <w:p w14:paraId="7A614D03" w14:textId="77777777" w:rsidR="00A9409C" w:rsidRPr="001449FD" w:rsidRDefault="00A9409C" w:rsidP="00094F6F">
            <w:pPr>
              <w:widowControl w:val="0"/>
              <w:spacing w:after="0" w:line="240" w:lineRule="auto"/>
              <w:jc w:val="center"/>
              <w:rPr>
                <w:rFonts w:ascii="Times New Roman" w:hAnsi="Times New Roman"/>
              </w:rPr>
            </w:pPr>
          </w:p>
        </w:tc>
        <w:tc>
          <w:tcPr>
            <w:tcW w:w="931" w:type="dxa"/>
            <w:shd w:val="clear" w:color="auto" w:fill="auto"/>
            <w:noWrap/>
            <w:vAlign w:val="center"/>
          </w:tcPr>
          <w:p w14:paraId="01D45571"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M</w:t>
            </w:r>
          </w:p>
        </w:tc>
        <w:tc>
          <w:tcPr>
            <w:tcW w:w="879" w:type="dxa"/>
            <w:shd w:val="clear" w:color="auto" w:fill="auto"/>
            <w:noWrap/>
            <w:vAlign w:val="center"/>
          </w:tcPr>
          <w:p w14:paraId="49DE9283"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m</w:t>
            </w:r>
            <w:proofErr w:type="gramEnd"/>
          </w:p>
        </w:tc>
        <w:tc>
          <w:tcPr>
            <w:tcW w:w="876" w:type="dxa"/>
            <w:vAlign w:val="center"/>
          </w:tcPr>
          <w:p w14:paraId="7AA789D9"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M</w:t>
            </w:r>
          </w:p>
        </w:tc>
        <w:tc>
          <w:tcPr>
            <w:tcW w:w="876" w:type="dxa"/>
            <w:vAlign w:val="center"/>
          </w:tcPr>
          <w:p w14:paraId="08604E02"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m</w:t>
            </w:r>
            <w:proofErr w:type="gramEnd"/>
          </w:p>
        </w:tc>
        <w:tc>
          <w:tcPr>
            <w:tcW w:w="1011" w:type="dxa"/>
            <w:shd w:val="clear" w:color="auto" w:fill="auto"/>
            <w:noWrap/>
            <w:vAlign w:val="center"/>
          </w:tcPr>
          <w:p w14:paraId="719D6616"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M</w:t>
            </w:r>
          </w:p>
        </w:tc>
        <w:tc>
          <w:tcPr>
            <w:tcW w:w="1012" w:type="dxa"/>
            <w:shd w:val="clear" w:color="auto" w:fill="auto"/>
            <w:noWrap/>
            <w:vAlign w:val="center"/>
          </w:tcPr>
          <w:p w14:paraId="3E623F25"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m</w:t>
            </w:r>
            <w:proofErr w:type="gramEnd"/>
          </w:p>
        </w:tc>
        <w:tc>
          <w:tcPr>
            <w:tcW w:w="876" w:type="dxa"/>
            <w:shd w:val="clear" w:color="auto" w:fill="auto"/>
            <w:noWrap/>
            <w:vAlign w:val="center"/>
          </w:tcPr>
          <w:p w14:paraId="5A1D50AC"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M</w:t>
            </w:r>
          </w:p>
        </w:tc>
        <w:tc>
          <w:tcPr>
            <w:tcW w:w="876" w:type="dxa"/>
            <w:shd w:val="clear" w:color="auto" w:fill="auto"/>
            <w:noWrap/>
            <w:vAlign w:val="center"/>
          </w:tcPr>
          <w:p w14:paraId="31ACB558" w14:textId="77777777" w:rsidR="00A9409C" w:rsidRPr="001449FD" w:rsidRDefault="00A9409C" w:rsidP="00094F6F">
            <w:pPr>
              <w:widowControl w:val="0"/>
              <w:spacing w:after="0" w:line="240" w:lineRule="auto"/>
              <w:jc w:val="center"/>
              <w:rPr>
                <w:rFonts w:ascii="Times New Roman" w:hAnsi="Times New Roman"/>
              </w:rPr>
            </w:pPr>
            <w:proofErr w:type="gramStart"/>
            <w:r w:rsidRPr="001449FD">
              <w:rPr>
                <w:rFonts w:ascii="Times New Roman" w:hAnsi="Times New Roman"/>
              </w:rPr>
              <w:t>m</w:t>
            </w:r>
            <w:proofErr w:type="gramEnd"/>
          </w:p>
        </w:tc>
      </w:tr>
      <w:tr w:rsidR="00A9409C" w:rsidRPr="001449FD" w14:paraId="2D34509B" w14:textId="77777777" w:rsidTr="00094F6F">
        <w:trPr>
          <w:trHeight w:val="340"/>
        </w:trPr>
        <w:tc>
          <w:tcPr>
            <w:tcW w:w="1994" w:type="dxa"/>
            <w:shd w:val="clear" w:color="auto" w:fill="auto"/>
            <w:noWrap/>
            <w:vAlign w:val="center"/>
          </w:tcPr>
          <w:p w14:paraId="5DF2FBB7"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w:t>
            </w:r>
          </w:p>
        </w:tc>
        <w:tc>
          <w:tcPr>
            <w:tcW w:w="931" w:type="dxa"/>
            <w:shd w:val="clear" w:color="auto" w:fill="auto"/>
            <w:noWrap/>
            <w:vAlign w:val="center"/>
          </w:tcPr>
          <w:p w14:paraId="4DAF82CE"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92,1</w:t>
            </w:r>
          </w:p>
        </w:tc>
        <w:tc>
          <w:tcPr>
            <w:tcW w:w="879" w:type="dxa"/>
            <w:shd w:val="clear" w:color="auto" w:fill="auto"/>
            <w:noWrap/>
            <w:vAlign w:val="center"/>
          </w:tcPr>
          <w:p w14:paraId="613A052E"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3,4</w:t>
            </w:r>
          </w:p>
        </w:tc>
        <w:tc>
          <w:tcPr>
            <w:tcW w:w="876" w:type="dxa"/>
            <w:vAlign w:val="center"/>
          </w:tcPr>
          <w:p w14:paraId="09E5A89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85,0</w:t>
            </w:r>
          </w:p>
        </w:tc>
        <w:tc>
          <w:tcPr>
            <w:tcW w:w="876" w:type="dxa"/>
            <w:vAlign w:val="center"/>
          </w:tcPr>
          <w:p w14:paraId="4A80FAB3"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4,6</w:t>
            </w:r>
          </w:p>
        </w:tc>
        <w:tc>
          <w:tcPr>
            <w:tcW w:w="1011" w:type="dxa"/>
            <w:shd w:val="clear" w:color="auto" w:fill="auto"/>
            <w:noWrap/>
            <w:vAlign w:val="center"/>
          </w:tcPr>
          <w:p w14:paraId="511E8310"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100,0</w:t>
            </w:r>
          </w:p>
        </w:tc>
        <w:tc>
          <w:tcPr>
            <w:tcW w:w="1012" w:type="dxa"/>
            <w:shd w:val="clear" w:color="auto" w:fill="auto"/>
            <w:noWrap/>
            <w:vAlign w:val="center"/>
          </w:tcPr>
          <w:p w14:paraId="1A96D515"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0,0</w:t>
            </w:r>
          </w:p>
        </w:tc>
        <w:tc>
          <w:tcPr>
            <w:tcW w:w="876" w:type="dxa"/>
            <w:shd w:val="clear" w:color="auto" w:fill="auto"/>
            <w:noWrap/>
            <w:vAlign w:val="center"/>
          </w:tcPr>
          <w:p w14:paraId="2779390F"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94,1</w:t>
            </w:r>
          </w:p>
        </w:tc>
        <w:tc>
          <w:tcPr>
            <w:tcW w:w="876" w:type="dxa"/>
            <w:shd w:val="clear" w:color="auto" w:fill="auto"/>
            <w:noWrap/>
            <w:vAlign w:val="center"/>
          </w:tcPr>
          <w:p w14:paraId="708EB14A"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5,7</w:t>
            </w:r>
          </w:p>
        </w:tc>
      </w:tr>
      <w:tr w:rsidR="00A9409C" w:rsidRPr="001449FD" w14:paraId="116ACEFE" w14:textId="77777777" w:rsidTr="00094F6F">
        <w:trPr>
          <w:trHeight w:val="340"/>
        </w:trPr>
        <w:tc>
          <w:tcPr>
            <w:tcW w:w="1994" w:type="dxa"/>
            <w:shd w:val="clear" w:color="auto" w:fill="auto"/>
            <w:noWrap/>
            <w:vAlign w:val="center"/>
          </w:tcPr>
          <w:p w14:paraId="4B05135D"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2</w:t>
            </w:r>
          </w:p>
        </w:tc>
        <w:tc>
          <w:tcPr>
            <w:tcW w:w="931" w:type="dxa"/>
            <w:shd w:val="clear" w:color="auto" w:fill="auto"/>
            <w:noWrap/>
            <w:vAlign w:val="center"/>
          </w:tcPr>
          <w:p w14:paraId="1CC4B473"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81,0</w:t>
            </w:r>
          </w:p>
        </w:tc>
        <w:tc>
          <w:tcPr>
            <w:tcW w:w="879" w:type="dxa"/>
            <w:shd w:val="clear" w:color="auto" w:fill="auto"/>
            <w:noWrap/>
            <w:vAlign w:val="center"/>
          </w:tcPr>
          <w:p w14:paraId="414B553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4,9</w:t>
            </w:r>
          </w:p>
        </w:tc>
        <w:tc>
          <w:tcPr>
            <w:tcW w:w="876" w:type="dxa"/>
            <w:vAlign w:val="center"/>
          </w:tcPr>
          <w:p w14:paraId="021072ED"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75,0</w:t>
            </w:r>
          </w:p>
        </w:tc>
        <w:tc>
          <w:tcPr>
            <w:tcW w:w="876" w:type="dxa"/>
            <w:vAlign w:val="center"/>
          </w:tcPr>
          <w:p w14:paraId="4C15A911"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5,6</w:t>
            </w:r>
          </w:p>
        </w:tc>
        <w:tc>
          <w:tcPr>
            <w:tcW w:w="1011" w:type="dxa"/>
            <w:shd w:val="clear" w:color="auto" w:fill="auto"/>
            <w:noWrap/>
            <w:vAlign w:val="center"/>
          </w:tcPr>
          <w:p w14:paraId="7603C92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100,0</w:t>
            </w:r>
          </w:p>
        </w:tc>
        <w:tc>
          <w:tcPr>
            <w:tcW w:w="1012" w:type="dxa"/>
            <w:shd w:val="clear" w:color="auto" w:fill="auto"/>
            <w:noWrap/>
            <w:vAlign w:val="center"/>
          </w:tcPr>
          <w:p w14:paraId="0A48645D"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0,0</w:t>
            </w:r>
          </w:p>
        </w:tc>
        <w:tc>
          <w:tcPr>
            <w:tcW w:w="876" w:type="dxa"/>
            <w:shd w:val="clear" w:color="auto" w:fill="auto"/>
            <w:noWrap/>
            <w:vAlign w:val="center"/>
          </w:tcPr>
          <w:p w14:paraId="163F080C"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82,4</w:t>
            </w:r>
          </w:p>
        </w:tc>
        <w:tc>
          <w:tcPr>
            <w:tcW w:w="876" w:type="dxa"/>
            <w:shd w:val="clear" w:color="auto" w:fill="auto"/>
            <w:noWrap/>
            <w:vAlign w:val="center"/>
          </w:tcPr>
          <w:p w14:paraId="0B247A0C"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9,2</w:t>
            </w:r>
          </w:p>
        </w:tc>
      </w:tr>
      <w:tr w:rsidR="00A9409C" w:rsidRPr="001449FD" w14:paraId="029F1B29" w14:textId="77777777" w:rsidTr="00094F6F">
        <w:trPr>
          <w:trHeight w:val="340"/>
        </w:trPr>
        <w:tc>
          <w:tcPr>
            <w:tcW w:w="1994" w:type="dxa"/>
            <w:shd w:val="clear" w:color="auto" w:fill="auto"/>
            <w:noWrap/>
            <w:vAlign w:val="center"/>
          </w:tcPr>
          <w:p w14:paraId="4993955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3</w:t>
            </w:r>
          </w:p>
        </w:tc>
        <w:tc>
          <w:tcPr>
            <w:tcW w:w="931" w:type="dxa"/>
            <w:shd w:val="clear" w:color="auto" w:fill="auto"/>
            <w:noWrap/>
            <w:vAlign w:val="center"/>
          </w:tcPr>
          <w:p w14:paraId="3DD4940D"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58,7</w:t>
            </w:r>
          </w:p>
        </w:tc>
        <w:tc>
          <w:tcPr>
            <w:tcW w:w="879" w:type="dxa"/>
            <w:shd w:val="clear" w:color="auto" w:fill="auto"/>
            <w:noWrap/>
            <w:vAlign w:val="center"/>
          </w:tcPr>
          <w:p w14:paraId="1F409D1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6,2</w:t>
            </w:r>
          </w:p>
        </w:tc>
        <w:tc>
          <w:tcPr>
            <w:tcW w:w="876" w:type="dxa"/>
            <w:vAlign w:val="center"/>
          </w:tcPr>
          <w:p w14:paraId="0CD6C064"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56,7</w:t>
            </w:r>
          </w:p>
        </w:tc>
        <w:tc>
          <w:tcPr>
            <w:tcW w:w="876" w:type="dxa"/>
            <w:vAlign w:val="center"/>
          </w:tcPr>
          <w:p w14:paraId="259F71AE"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6,4</w:t>
            </w:r>
          </w:p>
        </w:tc>
        <w:tc>
          <w:tcPr>
            <w:tcW w:w="1011" w:type="dxa"/>
            <w:shd w:val="clear" w:color="auto" w:fill="auto"/>
            <w:noWrap/>
            <w:vAlign w:val="center"/>
          </w:tcPr>
          <w:p w14:paraId="70D8E046"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70,0</w:t>
            </w:r>
          </w:p>
        </w:tc>
        <w:tc>
          <w:tcPr>
            <w:tcW w:w="1012" w:type="dxa"/>
            <w:shd w:val="clear" w:color="auto" w:fill="auto"/>
            <w:noWrap/>
            <w:vAlign w:val="center"/>
          </w:tcPr>
          <w:p w14:paraId="4B20C2E2"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14,5</w:t>
            </w:r>
          </w:p>
        </w:tc>
        <w:tc>
          <w:tcPr>
            <w:tcW w:w="876" w:type="dxa"/>
            <w:shd w:val="clear" w:color="auto" w:fill="auto"/>
            <w:noWrap/>
            <w:vAlign w:val="center"/>
          </w:tcPr>
          <w:p w14:paraId="42E12FD8"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70,6</w:t>
            </w:r>
          </w:p>
        </w:tc>
        <w:tc>
          <w:tcPr>
            <w:tcW w:w="876" w:type="dxa"/>
            <w:shd w:val="clear" w:color="auto" w:fill="auto"/>
            <w:noWrap/>
            <w:vAlign w:val="center"/>
          </w:tcPr>
          <w:p w14:paraId="53F53FD8"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11,1</w:t>
            </w:r>
          </w:p>
        </w:tc>
      </w:tr>
      <w:tr w:rsidR="00A9409C" w:rsidRPr="001449FD" w14:paraId="62B7C906" w14:textId="77777777" w:rsidTr="00094F6F">
        <w:trPr>
          <w:trHeight w:val="340"/>
        </w:trPr>
        <w:tc>
          <w:tcPr>
            <w:tcW w:w="1994" w:type="dxa"/>
            <w:shd w:val="clear" w:color="auto" w:fill="auto"/>
            <w:noWrap/>
            <w:vAlign w:val="center"/>
          </w:tcPr>
          <w:p w14:paraId="2CE1B7A2"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4</w:t>
            </w:r>
          </w:p>
        </w:tc>
        <w:tc>
          <w:tcPr>
            <w:tcW w:w="931" w:type="dxa"/>
            <w:shd w:val="clear" w:color="auto" w:fill="auto"/>
            <w:noWrap/>
            <w:vAlign w:val="center"/>
          </w:tcPr>
          <w:p w14:paraId="6A4E7D1F"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49,2</w:t>
            </w:r>
          </w:p>
        </w:tc>
        <w:tc>
          <w:tcPr>
            <w:tcW w:w="879" w:type="dxa"/>
            <w:shd w:val="clear" w:color="auto" w:fill="auto"/>
            <w:noWrap/>
            <w:vAlign w:val="center"/>
          </w:tcPr>
          <w:p w14:paraId="6022F2BD"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6,3</w:t>
            </w:r>
          </w:p>
        </w:tc>
        <w:tc>
          <w:tcPr>
            <w:tcW w:w="876" w:type="dxa"/>
            <w:vAlign w:val="center"/>
          </w:tcPr>
          <w:p w14:paraId="37C72CC1"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50,0</w:t>
            </w:r>
          </w:p>
        </w:tc>
        <w:tc>
          <w:tcPr>
            <w:tcW w:w="876" w:type="dxa"/>
            <w:vAlign w:val="center"/>
          </w:tcPr>
          <w:p w14:paraId="6F0CB7C2"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6,5</w:t>
            </w:r>
          </w:p>
        </w:tc>
        <w:tc>
          <w:tcPr>
            <w:tcW w:w="1011" w:type="dxa"/>
            <w:shd w:val="clear" w:color="auto" w:fill="auto"/>
            <w:noWrap/>
            <w:vAlign w:val="center"/>
          </w:tcPr>
          <w:p w14:paraId="55F290E6"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60,0</w:t>
            </w:r>
          </w:p>
        </w:tc>
        <w:tc>
          <w:tcPr>
            <w:tcW w:w="1012" w:type="dxa"/>
            <w:shd w:val="clear" w:color="auto" w:fill="auto"/>
            <w:noWrap/>
            <w:vAlign w:val="center"/>
          </w:tcPr>
          <w:p w14:paraId="55ADB878"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15,5</w:t>
            </w:r>
          </w:p>
        </w:tc>
        <w:tc>
          <w:tcPr>
            <w:tcW w:w="876" w:type="dxa"/>
            <w:shd w:val="clear" w:color="auto" w:fill="auto"/>
            <w:noWrap/>
            <w:vAlign w:val="center"/>
          </w:tcPr>
          <w:p w14:paraId="048AC989"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64,7</w:t>
            </w:r>
          </w:p>
        </w:tc>
        <w:tc>
          <w:tcPr>
            <w:tcW w:w="876" w:type="dxa"/>
            <w:shd w:val="clear" w:color="auto" w:fill="auto"/>
            <w:noWrap/>
            <w:vAlign w:val="center"/>
          </w:tcPr>
          <w:p w14:paraId="5B623C7F"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11,6</w:t>
            </w:r>
          </w:p>
        </w:tc>
      </w:tr>
      <w:tr w:rsidR="00A9409C" w:rsidRPr="001449FD" w14:paraId="048F2F01" w14:textId="77777777" w:rsidTr="00094F6F">
        <w:trPr>
          <w:trHeight w:val="340"/>
        </w:trPr>
        <w:tc>
          <w:tcPr>
            <w:tcW w:w="1994" w:type="dxa"/>
            <w:shd w:val="clear" w:color="auto" w:fill="auto"/>
            <w:noWrap/>
            <w:vAlign w:val="center"/>
          </w:tcPr>
          <w:p w14:paraId="3FA7D2CE"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5</w:t>
            </w:r>
          </w:p>
        </w:tc>
        <w:tc>
          <w:tcPr>
            <w:tcW w:w="931" w:type="dxa"/>
            <w:shd w:val="clear" w:color="auto" w:fill="auto"/>
            <w:noWrap/>
            <w:vAlign w:val="center"/>
          </w:tcPr>
          <w:p w14:paraId="244F0AB2"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47,6</w:t>
            </w:r>
          </w:p>
        </w:tc>
        <w:tc>
          <w:tcPr>
            <w:tcW w:w="879" w:type="dxa"/>
            <w:shd w:val="clear" w:color="auto" w:fill="auto"/>
            <w:noWrap/>
            <w:vAlign w:val="center"/>
          </w:tcPr>
          <w:p w14:paraId="075A0AAF"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6,3</w:t>
            </w:r>
          </w:p>
        </w:tc>
        <w:tc>
          <w:tcPr>
            <w:tcW w:w="876" w:type="dxa"/>
            <w:vAlign w:val="center"/>
          </w:tcPr>
          <w:p w14:paraId="2458A202"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48,3</w:t>
            </w:r>
          </w:p>
        </w:tc>
        <w:tc>
          <w:tcPr>
            <w:tcW w:w="876" w:type="dxa"/>
            <w:vAlign w:val="center"/>
          </w:tcPr>
          <w:p w14:paraId="774BF6AC"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6,5</w:t>
            </w:r>
          </w:p>
        </w:tc>
        <w:tc>
          <w:tcPr>
            <w:tcW w:w="1011" w:type="dxa"/>
            <w:shd w:val="clear" w:color="auto" w:fill="auto"/>
            <w:noWrap/>
            <w:vAlign w:val="center"/>
          </w:tcPr>
          <w:p w14:paraId="38431D6B"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60,0</w:t>
            </w:r>
          </w:p>
        </w:tc>
        <w:tc>
          <w:tcPr>
            <w:tcW w:w="1012" w:type="dxa"/>
            <w:shd w:val="clear" w:color="auto" w:fill="auto"/>
            <w:noWrap/>
            <w:vAlign w:val="center"/>
          </w:tcPr>
          <w:p w14:paraId="01CC724F" w14:textId="77777777" w:rsidR="00A9409C" w:rsidRPr="001449FD" w:rsidRDefault="00A9409C" w:rsidP="00094F6F">
            <w:pPr>
              <w:widowControl w:val="0"/>
              <w:spacing w:after="0" w:line="240" w:lineRule="auto"/>
              <w:jc w:val="center"/>
              <w:rPr>
                <w:rFonts w:ascii="Times New Roman" w:hAnsi="Times New Roman"/>
              </w:rPr>
            </w:pPr>
            <w:r w:rsidRPr="001449FD">
              <w:rPr>
                <w:rFonts w:ascii="Times New Roman" w:hAnsi="Times New Roman"/>
              </w:rPr>
              <w:t>15,5</w:t>
            </w:r>
          </w:p>
        </w:tc>
        <w:tc>
          <w:tcPr>
            <w:tcW w:w="876" w:type="dxa"/>
            <w:shd w:val="clear" w:color="auto" w:fill="auto"/>
            <w:noWrap/>
            <w:vAlign w:val="center"/>
          </w:tcPr>
          <w:p w14:paraId="1B49EB69"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52,9</w:t>
            </w:r>
          </w:p>
        </w:tc>
        <w:tc>
          <w:tcPr>
            <w:tcW w:w="876" w:type="dxa"/>
            <w:shd w:val="clear" w:color="auto" w:fill="auto"/>
            <w:noWrap/>
            <w:vAlign w:val="center"/>
          </w:tcPr>
          <w:p w14:paraId="7DD8E326" w14:textId="77777777" w:rsidR="00A9409C" w:rsidRPr="001449FD" w:rsidRDefault="00A9409C" w:rsidP="00094F6F">
            <w:pPr>
              <w:widowControl w:val="0"/>
              <w:spacing w:after="0" w:line="240" w:lineRule="auto"/>
              <w:jc w:val="center"/>
              <w:rPr>
                <w:rFonts w:ascii="Times New Roman" w:hAnsi="Times New Roman"/>
                <w:color w:val="000000"/>
              </w:rPr>
            </w:pPr>
            <w:r w:rsidRPr="001449FD">
              <w:rPr>
                <w:rFonts w:ascii="Times New Roman" w:hAnsi="Times New Roman"/>
              </w:rPr>
              <w:t>12,1</w:t>
            </w:r>
          </w:p>
        </w:tc>
      </w:tr>
    </w:tbl>
    <w:p w14:paraId="040AF922"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1FC812C1"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 xml:space="preserve">Изучение выживаемости больных при раке ободочной кишке в зависимости </w:t>
      </w:r>
      <w:r w:rsidRPr="001449FD">
        <w:rPr>
          <w:rFonts w:ascii="Times New Roman" w:hAnsi="Times New Roman"/>
          <w:sz w:val="28"/>
          <w:szCs w:val="28"/>
        </w:rPr>
        <w:lastRenderedPageBreak/>
        <w:t xml:space="preserve">от наличия функциональных осложнений после оперативных вмешательств </w:t>
      </w:r>
      <w:r w:rsidRPr="00D5450A">
        <w:rPr>
          <w:rFonts w:ascii="Times New Roman" w:hAnsi="Times New Roman"/>
          <w:sz w:val="28"/>
          <w:szCs w:val="28"/>
        </w:rPr>
        <w:t>представлены на рисунке 21.</w:t>
      </w:r>
      <w:r w:rsidRPr="001449FD">
        <w:rPr>
          <w:rFonts w:ascii="Times New Roman" w:hAnsi="Times New Roman"/>
          <w:sz w:val="28"/>
          <w:szCs w:val="28"/>
        </w:rPr>
        <w:t xml:space="preserve"> </w:t>
      </w:r>
    </w:p>
    <w:p w14:paraId="5984350D"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3FF423BE" w14:textId="77777777" w:rsidR="00A9409C" w:rsidRPr="001449FD" w:rsidRDefault="00A9409C" w:rsidP="00A9409C">
      <w:pPr>
        <w:widowControl w:val="0"/>
        <w:spacing w:after="0" w:line="240" w:lineRule="auto"/>
        <w:ind w:firstLine="567"/>
        <w:jc w:val="both"/>
        <w:rPr>
          <w:rFonts w:ascii="Times New Roman" w:hAnsi="Times New Roman"/>
          <w:sz w:val="28"/>
          <w:szCs w:val="28"/>
        </w:rPr>
      </w:pPr>
    </w:p>
    <w:p w14:paraId="140BF8B5" w14:textId="77777777" w:rsidR="00A9409C" w:rsidRPr="001449FD" w:rsidRDefault="00A9409C" w:rsidP="00A9409C">
      <w:pPr>
        <w:widowControl w:val="0"/>
        <w:spacing w:after="0" w:line="240" w:lineRule="auto"/>
        <w:jc w:val="center"/>
        <w:rPr>
          <w:rFonts w:ascii="Times New Roman" w:hAnsi="Times New Roman"/>
          <w:sz w:val="28"/>
          <w:szCs w:val="28"/>
        </w:rPr>
      </w:pPr>
      <w:r w:rsidRPr="001449FD">
        <w:rPr>
          <w:rFonts w:ascii="Times New Roman" w:hAnsi="Times New Roman"/>
          <w:noProof/>
        </w:rPr>
        <w:drawing>
          <wp:inline distT="0" distB="0" distL="0" distR="0" wp14:anchorId="6B64A3B6" wp14:editId="0EE97335">
            <wp:extent cx="5580000" cy="3240000"/>
            <wp:effectExtent l="0" t="0" r="1905" b="0"/>
            <wp:docPr id="1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A50F293" w14:textId="77777777" w:rsidR="00A9409C" w:rsidRPr="001449FD" w:rsidRDefault="00A9409C" w:rsidP="00A9409C">
      <w:pPr>
        <w:widowControl w:val="0"/>
        <w:spacing w:after="0" w:line="240" w:lineRule="auto"/>
        <w:ind w:firstLine="567"/>
        <w:jc w:val="center"/>
        <w:rPr>
          <w:rFonts w:ascii="Times New Roman" w:hAnsi="Times New Roman"/>
          <w:sz w:val="28"/>
          <w:szCs w:val="28"/>
        </w:rPr>
      </w:pPr>
    </w:p>
    <w:p w14:paraId="7E76BB6E" w14:textId="77777777" w:rsidR="00A9409C" w:rsidRPr="001449FD" w:rsidRDefault="00A9409C" w:rsidP="00A9409C">
      <w:pPr>
        <w:widowControl w:val="0"/>
        <w:spacing w:after="0" w:line="240" w:lineRule="auto"/>
        <w:jc w:val="center"/>
        <w:rPr>
          <w:rFonts w:ascii="Times New Roman" w:hAnsi="Times New Roman"/>
          <w:sz w:val="28"/>
          <w:szCs w:val="28"/>
        </w:rPr>
      </w:pPr>
      <w:r w:rsidRPr="00D5450A">
        <w:rPr>
          <w:rFonts w:ascii="Times New Roman" w:hAnsi="Times New Roman"/>
          <w:sz w:val="28"/>
          <w:szCs w:val="28"/>
        </w:rPr>
        <w:t>Рисунок 21 – Выживаемость больных при раке ободочной кишки с учетом</w:t>
      </w:r>
      <w:r w:rsidRPr="001449FD">
        <w:rPr>
          <w:rFonts w:ascii="Times New Roman" w:hAnsi="Times New Roman"/>
          <w:sz w:val="28"/>
          <w:szCs w:val="28"/>
        </w:rPr>
        <w:br/>
        <w:t>наличия функциональных осложнений</w:t>
      </w:r>
    </w:p>
    <w:p w14:paraId="2C01567C" w14:textId="77777777" w:rsidR="00A9409C" w:rsidRDefault="00A9409C" w:rsidP="00A9409C">
      <w:pPr>
        <w:tabs>
          <w:tab w:val="left" w:pos="0"/>
        </w:tabs>
        <w:spacing w:after="0" w:line="240" w:lineRule="auto"/>
        <w:ind w:firstLine="567"/>
        <w:jc w:val="both"/>
        <w:rPr>
          <w:rFonts w:ascii="Times New Roman" w:hAnsi="Times New Roman"/>
          <w:sz w:val="28"/>
          <w:szCs w:val="28"/>
        </w:rPr>
      </w:pPr>
    </w:p>
    <w:p w14:paraId="4A5F9FB3" w14:textId="77777777" w:rsidR="00A9409C" w:rsidRPr="001449FD" w:rsidRDefault="00A9409C" w:rsidP="00A9409C">
      <w:pPr>
        <w:tabs>
          <w:tab w:val="left" w:pos="0"/>
        </w:tabs>
        <w:spacing w:after="0" w:line="240" w:lineRule="auto"/>
        <w:ind w:firstLine="567"/>
        <w:jc w:val="both"/>
        <w:rPr>
          <w:rFonts w:ascii="Times New Roman" w:hAnsi="Times New Roman"/>
          <w:sz w:val="28"/>
          <w:szCs w:val="28"/>
        </w:rPr>
      </w:pPr>
    </w:p>
    <w:p w14:paraId="517E68E6" w14:textId="77777777" w:rsidR="00A9409C" w:rsidRPr="001449FD" w:rsidRDefault="00A9409C" w:rsidP="00A9409C">
      <w:pPr>
        <w:widowControl w:val="0"/>
        <w:spacing w:after="0" w:line="240" w:lineRule="auto"/>
        <w:ind w:firstLine="567"/>
        <w:jc w:val="both"/>
        <w:rPr>
          <w:rFonts w:ascii="Times New Roman" w:hAnsi="Times New Roman"/>
          <w:sz w:val="28"/>
          <w:szCs w:val="28"/>
        </w:rPr>
      </w:pPr>
      <w:r w:rsidRPr="001449FD">
        <w:rPr>
          <w:rFonts w:ascii="Times New Roman" w:hAnsi="Times New Roman"/>
          <w:sz w:val="28"/>
          <w:szCs w:val="28"/>
        </w:rPr>
        <w:t>При наличии осложнений в 1, 2, 3, 4 и 5-летние сроки наблюдения показатели выживаемости составили – 87,0±3,8%, 68,8±5,3%, 39,0±5,6%, 27,3±5,1% и 26,0±5,0%, соответственно. При отсутствии симптома показатели выживаемости в указанные сроки наблюдения составили: 93,2±3,0%, 83,6±4,3%, 78,1±4,8%, 74,0±5,1% и 69,9±5,4%, соответственно. Согласно этим показателям выявлено, что наличие функциональных осложнений сильно ухудшают 3, 4 и 5-летнюю выживаемость больных, при этом различия были статистически достоверными.</w:t>
      </w:r>
    </w:p>
    <w:p w14:paraId="798B1558" w14:textId="77777777" w:rsidR="00A9409C" w:rsidRPr="00145B66" w:rsidRDefault="00A9409C" w:rsidP="00A9409C">
      <w:pPr>
        <w:tabs>
          <w:tab w:val="left" w:pos="0"/>
        </w:tabs>
        <w:spacing w:after="0" w:line="240" w:lineRule="auto"/>
        <w:ind w:firstLine="567"/>
        <w:jc w:val="both"/>
        <w:rPr>
          <w:rFonts w:ascii="Times New Roman" w:hAnsi="Times New Roman"/>
          <w:sz w:val="28"/>
          <w:szCs w:val="28"/>
        </w:rPr>
      </w:pPr>
      <w:r w:rsidRPr="00145B66">
        <w:rPr>
          <w:rFonts w:ascii="Times New Roman" w:hAnsi="Times New Roman"/>
          <w:sz w:val="28"/>
          <w:szCs w:val="28"/>
        </w:rPr>
        <w:t xml:space="preserve">Особое внимание было уделено показателям, отражающее нарушение функции ободочной кишки в реабилитационном периоде. К таким показателям отнеслись: энтероколит, проявляющийся в виде </w:t>
      </w:r>
      <w:proofErr w:type="spellStart"/>
      <w:r w:rsidRPr="00145B66">
        <w:rPr>
          <w:rFonts w:ascii="Times New Roman" w:hAnsi="Times New Roman"/>
          <w:sz w:val="28"/>
          <w:szCs w:val="28"/>
        </w:rPr>
        <w:t>симптомокомплекса</w:t>
      </w:r>
      <w:proofErr w:type="spellEnd"/>
      <w:r w:rsidRPr="00145B66">
        <w:rPr>
          <w:rFonts w:ascii="Times New Roman" w:hAnsi="Times New Roman"/>
          <w:sz w:val="28"/>
          <w:szCs w:val="28"/>
        </w:rPr>
        <w:t xml:space="preserve"> хронической функциональной диареи, констипации, метеоризма и т.д. после резекции ободочной кишки; электролитные нарушения; нутритивная недостаточность.</w:t>
      </w:r>
    </w:p>
    <w:p w14:paraId="67BED058" w14:textId="77777777" w:rsidR="00A9409C" w:rsidRPr="00145B66" w:rsidRDefault="00A9409C" w:rsidP="00A9409C">
      <w:pPr>
        <w:tabs>
          <w:tab w:val="left" w:pos="0"/>
        </w:tabs>
        <w:spacing w:after="0" w:line="240" w:lineRule="auto"/>
        <w:ind w:firstLine="567"/>
        <w:jc w:val="both"/>
        <w:rPr>
          <w:rFonts w:ascii="Times New Roman" w:hAnsi="Times New Roman"/>
          <w:sz w:val="28"/>
          <w:szCs w:val="28"/>
        </w:rPr>
      </w:pPr>
      <w:r w:rsidRPr="00145B66">
        <w:rPr>
          <w:rFonts w:ascii="Times New Roman" w:hAnsi="Times New Roman"/>
          <w:sz w:val="28"/>
          <w:szCs w:val="28"/>
        </w:rPr>
        <w:t>Распространенность синдрома функциональной диареи после резекции ободочной кишки по данным различным авторов колеблется в пределах 10-60% [</w:t>
      </w:r>
      <w:r>
        <w:rPr>
          <w:rFonts w:ascii="Times New Roman" w:hAnsi="Times New Roman"/>
          <w:sz w:val="28"/>
          <w:szCs w:val="28"/>
        </w:rPr>
        <w:t>31</w:t>
      </w:r>
      <w:r w:rsidRPr="00145B66">
        <w:rPr>
          <w:rFonts w:ascii="Times New Roman" w:hAnsi="Times New Roman"/>
          <w:sz w:val="28"/>
          <w:szCs w:val="28"/>
        </w:rPr>
        <w:t xml:space="preserve">, </w:t>
      </w:r>
      <w:r w:rsidRPr="00145B66">
        <w:rPr>
          <w:rFonts w:ascii="Times New Roman" w:hAnsi="Times New Roman"/>
          <w:sz w:val="28"/>
          <w:szCs w:val="28"/>
          <w:lang w:val="en-US"/>
        </w:rPr>
        <w:t>p</w:t>
      </w:r>
      <w:r w:rsidRPr="00145B66">
        <w:rPr>
          <w:rFonts w:ascii="Times New Roman" w:hAnsi="Times New Roman"/>
          <w:sz w:val="28"/>
          <w:szCs w:val="28"/>
        </w:rPr>
        <w:t>. 4556]. Однако в настоящий момент в научной литературе не встречаются исследования, изучающие влияние функциональной хронической диареи на опухоль –</w:t>
      </w:r>
      <w:r>
        <w:rPr>
          <w:rFonts w:ascii="Times New Roman" w:hAnsi="Times New Roman"/>
          <w:sz w:val="28"/>
          <w:szCs w:val="28"/>
        </w:rPr>
        <w:t xml:space="preserve"> </w:t>
      </w:r>
      <w:r w:rsidRPr="00145B66">
        <w:rPr>
          <w:rFonts w:ascii="Times New Roman" w:hAnsi="Times New Roman"/>
          <w:sz w:val="28"/>
          <w:szCs w:val="28"/>
        </w:rPr>
        <w:t xml:space="preserve">специфичную и общую выживаемость больных. Когорта больных с электролитными нарушениями и нутритивной недостаточностью была </w:t>
      </w:r>
      <w:r w:rsidRPr="00145B66">
        <w:rPr>
          <w:rFonts w:ascii="Times New Roman" w:hAnsi="Times New Roman"/>
          <w:sz w:val="28"/>
          <w:szCs w:val="28"/>
        </w:rPr>
        <w:lastRenderedPageBreak/>
        <w:t>достаточно разнородна по степени тяжести. Большая часть больных получала лечение для коррекции электролитного баланса.</w:t>
      </w:r>
    </w:p>
    <w:p w14:paraId="1E4BB815" w14:textId="77777777" w:rsidR="00A9409C" w:rsidRPr="00145B66" w:rsidRDefault="00A9409C" w:rsidP="00A9409C">
      <w:pPr>
        <w:tabs>
          <w:tab w:val="left" w:pos="0"/>
        </w:tabs>
        <w:spacing w:after="0" w:line="240" w:lineRule="auto"/>
        <w:ind w:firstLine="567"/>
        <w:jc w:val="both"/>
        <w:rPr>
          <w:rFonts w:ascii="Times New Roman" w:hAnsi="Times New Roman"/>
          <w:sz w:val="28"/>
          <w:szCs w:val="28"/>
        </w:rPr>
      </w:pPr>
      <w:r w:rsidRPr="00145B66">
        <w:rPr>
          <w:rFonts w:ascii="Times New Roman" w:hAnsi="Times New Roman"/>
          <w:sz w:val="28"/>
          <w:szCs w:val="28"/>
        </w:rPr>
        <w:t>Таким образом, были проанализированы все случаи, укладывающиеся в описание энтероколита, электролитных нарушений и нутритивной недостаточности после резекции ободочной кишки. Однофакторный анализ показал значимое влияние функциональных осложнений после резекции ободочной кишки на одногодичную (</w:t>
      </w:r>
      <w:r w:rsidRPr="00145B66">
        <w:rPr>
          <w:rFonts w:ascii="Times New Roman" w:hAnsi="Times New Roman"/>
          <w:sz w:val="28"/>
          <w:szCs w:val="28"/>
          <w:lang w:val="en-US"/>
        </w:rPr>
        <w:t>HR</w:t>
      </w:r>
      <w:r w:rsidRPr="00145B66">
        <w:rPr>
          <w:rFonts w:ascii="Times New Roman" w:hAnsi="Times New Roman"/>
          <w:sz w:val="28"/>
          <w:szCs w:val="28"/>
        </w:rPr>
        <w:t xml:space="preserve"> 1,123, р=0,011, 95% ДИ 1,012-1,205) и 3-летнюю (</w:t>
      </w:r>
      <w:r w:rsidRPr="00145B66">
        <w:rPr>
          <w:rFonts w:ascii="Times New Roman" w:hAnsi="Times New Roman"/>
          <w:sz w:val="28"/>
          <w:szCs w:val="28"/>
          <w:lang w:val="en-US"/>
        </w:rPr>
        <w:t>HR</w:t>
      </w:r>
      <w:r w:rsidRPr="00145B66">
        <w:rPr>
          <w:rFonts w:ascii="Times New Roman" w:hAnsi="Times New Roman"/>
          <w:sz w:val="28"/>
          <w:szCs w:val="28"/>
        </w:rPr>
        <w:t xml:space="preserve"> 0,428, р=0,002, 95% ДИ 0,251-0,730) выживаемость (рисунк</w:t>
      </w:r>
      <w:r>
        <w:rPr>
          <w:rFonts w:ascii="Times New Roman" w:hAnsi="Times New Roman"/>
          <w:sz w:val="28"/>
          <w:szCs w:val="28"/>
        </w:rPr>
        <w:t>и</w:t>
      </w:r>
      <w:r w:rsidRPr="00145B66">
        <w:rPr>
          <w:rFonts w:ascii="Times New Roman" w:hAnsi="Times New Roman"/>
          <w:sz w:val="28"/>
          <w:szCs w:val="28"/>
        </w:rPr>
        <w:t xml:space="preserve"> 14,</w:t>
      </w:r>
      <w:r>
        <w:rPr>
          <w:rFonts w:ascii="Times New Roman" w:hAnsi="Times New Roman"/>
          <w:sz w:val="28"/>
          <w:szCs w:val="28"/>
        </w:rPr>
        <w:t xml:space="preserve"> </w:t>
      </w:r>
      <w:r w:rsidRPr="00145B66">
        <w:rPr>
          <w:rFonts w:ascii="Times New Roman" w:hAnsi="Times New Roman"/>
          <w:sz w:val="28"/>
          <w:szCs w:val="28"/>
        </w:rPr>
        <w:t xml:space="preserve">15). Однако однофакторный анализ Кокса не возвращает значение (HR 0,289, р=0,125, 95% ДИ 1,204–2,963) для больных с функциональными осложнениями по влиянию на конечную точку для пятого года после операции. Следовательно, функциональные осложнения влияют на краткосрочный прогноз, являясь причиной смерти в первые 3 года. Таким образом, раннее начало реабилитации, направленное на выявление и лечение функциональных осложнений, окажет благоприятное влияние на прогноз заболевания.  </w:t>
      </w:r>
    </w:p>
    <w:p w14:paraId="59E1B79F" w14:textId="77777777" w:rsidR="00A9409C" w:rsidRPr="00145B66" w:rsidRDefault="00A9409C" w:rsidP="00A9409C">
      <w:pPr>
        <w:tabs>
          <w:tab w:val="left" w:pos="0"/>
        </w:tabs>
        <w:spacing w:after="0" w:line="240" w:lineRule="auto"/>
        <w:ind w:firstLine="567"/>
        <w:jc w:val="both"/>
        <w:rPr>
          <w:rFonts w:ascii="Times New Roman" w:hAnsi="Times New Roman"/>
          <w:sz w:val="28"/>
          <w:szCs w:val="28"/>
        </w:rPr>
      </w:pPr>
      <w:r w:rsidRPr="00145B66">
        <w:rPr>
          <w:rFonts w:ascii="Times New Roman" w:hAnsi="Times New Roman"/>
          <w:sz w:val="28"/>
          <w:szCs w:val="28"/>
        </w:rPr>
        <w:t>По результатам однофакторного анализа сопутствующая патология имела тенденцию к ухудшающему влиянию на прогноз общей 5-летней выживаемости (</w:t>
      </w:r>
      <w:r w:rsidRPr="00145B66">
        <w:rPr>
          <w:rFonts w:ascii="Times New Roman" w:hAnsi="Times New Roman"/>
          <w:sz w:val="28"/>
          <w:szCs w:val="28"/>
          <w:lang w:val="en-US"/>
        </w:rPr>
        <w:t>HR</w:t>
      </w:r>
      <w:r w:rsidRPr="00145B66">
        <w:rPr>
          <w:rFonts w:ascii="Times New Roman" w:hAnsi="Times New Roman"/>
          <w:sz w:val="28"/>
          <w:szCs w:val="28"/>
        </w:rPr>
        <w:t xml:space="preserve"> 0,736, р=0,060, 95% ДИ 0,968-4,506). </w:t>
      </w:r>
    </w:p>
    <w:p w14:paraId="434E3F3B" w14:textId="77777777" w:rsidR="00A9409C" w:rsidRDefault="00A9409C" w:rsidP="00A9409C">
      <w:pPr>
        <w:tabs>
          <w:tab w:val="left" w:pos="0"/>
        </w:tabs>
        <w:spacing w:after="0" w:line="240" w:lineRule="auto"/>
        <w:ind w:firstLine="567"/>
        <w:jc w:val="both"/>
        <w:rPr>
          <w:rFonts w:ascii="Times New Roman" w:hAnsi="Times New Roman"/>
          <w:sz w:val="28"/>
          <w:szCs w:val="28"/>
        </w:rPr>
      </w:pPr>
      <w:r w:rsidRPr="00145B66">
        <w:rPr>
          <w:rFonts w:ascii="Times New Roman" w:hAnsi="Times New Roman"/>
          <w:sz w:val="28"/>
          <w:szCs w:val="28"/>
        </w:rPr>
        <w:t>Факторы, отражающие локализацию рака ободочной кишки и вид операции, не оказывали влияние на прогноз при однофакторном анализе. В таблиц</w:t>
      </w:r>
      <w:r>
        <w:rPr>
          <w:rFonts w:ascii="Times New Roman" w:hAnsi="Times New Roman"/>
          <w:sz w:val="28"/>
          <w:szCs w:val="28"/>
        </w:rPr>
        <w:t>ах</w:t>
      </w:r>
      <w:r w:rsidRPr="00145B66">
        <w:rPr>
          <w:rFonts w:ascii="Times New Roman" w:hAnsi="Times New Roman"/>
          <w:sz w:val="28"/>
          <w:szCs w:val="28"/>
        </w:rPr>
        <w:t xml:space="preserve"> </w:t>
      </w:r>
      <w:r>
        <w:rPr>
          <w:rFonts w:ascii="Times New Roman" w:hAnsi="Times New Roman"/>
          <w:sz w:val="28"/>
          <w:szCs w:val="28"/>
        </w:rPr>
        <w:t xml:space="preserve">24, 25, 26 и 27 </w:t>
      </w:r>
      <w:r w:rsidRPr="00145B66">
        <w:rPr>
          <w:rFonts w:ascii="Times New Roman" w:hAnsi="Times New Roman"/>
          <w:sz w:val="28"/>
          <w:szCs w:val="28"/>
        </w:rPr>
        <w:t>приведены результаты однофакторного регрессионного анализа Кокса.</w:t>
      </w:r>
    </w:p>
    <w:p w14:paraId="2BDC8690" w14:textId="77777777" w:rsidR="00A9409C" w:rsidRPr="00145B66" w:rsidRDefault="00A9409C" w:rsidP="00A9409C">
      <w:pPr>
        <w:tabs>
          <w:tab w:val="left" w:pos="0"/>
        </w:tabs>
        <w:spacing w:after="0" w:line="240" w:lineRule="auto"/>
        <w:ind w:firstLine="567"/>
        <w:jc w:val="both"/>
        <w:rPr>
          <w:rFonts w:ascii="Times New Roman" w:hAnsi="Times New Roman"/>
          <w:sz w:val="28"/>
          <w:szCs w:val="28"/>
        </w:rPr>
      </w:pPr>
      <w:r w:rsidRPr="00145B66">
        <w:rPr>
          <w:rFonts w:ascii="Times New Roman" w:hAnsi="Times New Roman"/>
          <w:sz w:val="28"/>
          <w:szCs w:val="28"/>
        </w:rPr>
        <w:t xml:space="preserve">Все ковариаты, в количестве </w:t>
      </w:r>
      <w:r w:rsidRPr="00145B66">
        <w:rPr>
          <w:rFonts w:ascii="Times New Roman" w:hAnsi="Times New Roman"/>
          <w:sz w:val="28"/>
          <w:szCs w:val="28"/>
          <w:lang w:val="kk-KZ"/>
        </w:rPr>
        <w:t>6</w:t>
      </w:r>
      <w:r w:rsidRPr="00145B66">
        <w:rPr>
          <w:rFonts w:ascii="Times New Roman" w:hAnsi="Times New Roman"/>
          <w:sz w:val="28"/>
          <w:szCs w:val="28"/>
        </w:rPr>
        <w:t xml:space="preserve"> предикторов, </w:t>
      </w:r>
      <w:r w:rsidRPr="00145B66">
        <w:rPr>
          <w:rFonts w:ascii="Times New Roman" w:hAnsi="Times New Roman"/>
          <w:sz w:val="28"/>
          <w:szCs w:val="28"/>
          <w:lang w:val="kk-KZ"/>
        </w:rPr>
        <w:t>в зависимости</w:t>
      </w:r>
      <w:r w:rsidRPr="00145B66">
        <w:rPr>
          <w:rFonts w:ascii="Times New Roman" w:hAnsi="Times New Roman"/>
          <w:sz w:val="28"/>
          <w:szCs w:val="28"/>
        </w:rPr>
        <w:t xml:space="preserve"> от влияния на выживаемость больных после радикального хирургического лечения рака ободочной кишки были включены в многофакторную модель пропорциональных рисков Кокса. Результаты многофакторного регрессионного анализа Кокса представлены в таблицах </w:t>
      </w:r>
      <w:r>
        <w:rPr>
          <w:rFonts w:ascii="Times New Roman" w:hAnsi="Times New Roman"/>
          <w:sz w:val="28"/>
          <w:szCs w:val="28"/>
        </w:rPr>
        <w:t>28, 29, 30 и 31</w:t>
      </w:r>
      <w:r w:rsidRPr="00145B66">
        <w:rPr>
          <w:rFonts w:ascii="Times New Roman" w:hAnsi="Times New Roman"/>
          <w:sz w:val="28"/>
          <w:szCs w:val="28"/>
        </w:rPr>
        <w:t xml:space="preserve">. Значимое влияние на </w:t>
      </w:r>
      <w:r w:rsidRPr="00145B66">
        <w:rPr>
          <w:rFonts w:ascii="Times New Roman" w:hAnsi="Times New Roman"/>
          <w:sz w:val="28"/>
          <w:szCs w:val="28"/>
          <w:lang w:val="kk-KZ"/>
        </w:rPr>
        <w:t>одногодичный</w:t>
      </w:r>
      <w:r>
        <w:rPr>
          <w:rFonts w:ascii="Times New Roman" w:hAnsi="Times New Roman"/>
          <w:sz w:val="28"/>
          <w:szCs w:val="28"/>
          <w:lang w:val="kk-KZ"/>
        </w:rPr>
        <w:t xml:space="preserve"> </w:t>
      </w:r>
      <w:r w:rsidRPr="00145B66">
        <w:rPr>
          <w:rFonts w:ascii="Times New Roman" w:hAnsi="Times New Roman"/>
          <w:sz w:val="28"/>
          <w:szCs w:val="28"/>
        </w:rPr>
        <w:t>(р=0,002)</w:t>
      </w:r>
      <w:r w:rsidRPr="00145B66">
        <w:rPr>
          <w:rFonts w:ascii="Times New Roman" w:hAnsi="Times New Roman"/>
          <w:sz w:val="28"/>
          <w:szCs w:val="28"/>
          <w:lang w:val="kk-KZ"/>
        </w:rPr>
        <w:t>, 3-летний общий (</w:t>
      </w:r>
      <w:r w:rsidRPr="00145B66">
        <w:rPr>
          <w:rFonts w:ascii="Times New Roman" w:hAnsi="Times New Roman"/>
          <w:sz w:val="28"/>
          <w:szCs w:val="28"/>
          <w:lang w:val="en-US"/>
        </w:rPr>
        <w:t>p</w:t>
      </w:r>
      <w:r w:rsidRPr="00145B66">
        <w:rPr>
          <w:rFonts w:ascii="Times New Roman" w:hAnsi="Times New Roman"/>
          <w:sz w:val="28"/>
          <w:szCs w:val="28"/>
        </w:rPr>
        <w:t>=0,002</w:t>
      </w:r>
      <w:r w:rsidRPr="00145B66">
        <w:rPr>
          <w:rFonts w:ascii="Times New Roman" w:hAnsi="Times New Roman"/>
          <w:sz w:val="28"/>
          <w:szCs w:val="28"/>
          <w:lang w:val="kk-KZ"/>
        </w:rPr>
        <w:t xml:space="preserve">) и 5-летний общий </w:t>
      </w:r>
      <w:r w:rsidRPr="00145B66">
        <w:rPr>
          <w:rFonts w:ascii="Times New Roman" w:hAnsi="Times New Roman"/>
          <w:sz w:val="28"/>
          <w:szCs w:val="28"/>
        </w:rPr>
        <w:t>(р=0,000) прогноз показали возраст старше 60 лет. Показателем, сохранившим статистически значимое влияние на неблагоприятный исход в течение первого года (р=0,034), 3 лет общего (</w:t>
      </w:r>
      <w:r w:rsidRPr="00145B66">
        <w:rPr>
          <w:rFonts w:ascii="Times New Roman" w:hAnsi="Times New Roman"/>
          <w:sz w:val="28"/>
          <w:szCs w:val="28"/>
          <w:lang w:val="en-US"/>
        </w:rPr>
        <w:t>p</w:t>
      </w:r>
      <w:r w:rsidRPr="00145B66">
        <w:rPr>
          <w:rFonts w:ascii="Times New Roman" w:hAnsi="Times New Roman"/>
          <w:sz w:val="28"/>
          <w:szCs w:val="28"/>
        </w:rPr>
        <w:t xml:space="preserve">=0,018) и </w:t>
      </w:r>
      <w:proofErr w:type="spellStart"/>
      <w:r w:rsidRPr="00145B66">
        <w:rPr>
          <w:rFonts w:ascii="Times New Roman" w:hAnsi="Times New Roman"/>
          <w:sz w:val="28"/>
          <w:szCs w:val="28"/>
        </w:rPr>
        <w:t>безрецидивного</w:t>
      </w:r>
      <w:proofErr w:type="spellEnd"/>
      <w:r w:rsidRPr="00145B66">
        <w:rPr>
          <w:rFonts w:ascii="Times New Roman" w:hAnsi="Times New Roman"/>
          <w:sz w:val="28"/>
          <w:szCs w:val="28"/>
        </w:rPr>
        <w:t xml:space="preserve"> периода (р=0,000) и 5 лет (р=0,003), была </w:t>
      </w:r>
      <w:r w:rsidRPr="00145B66">
        <w:rPr>
          <w:rFonts w:ascii="Times New Roman" w:hAnsi="Times New Roman"/>
          <w:sz w:val="28"/>
          <w:szCs w:val="28"/>
          <w:lang w:val="en-US"/>
        </w:rPr>
        <w:t>III</w:t>
      </w:r>
      <w:r w:rsidRPr="00145B66">
        <w:rPr>
          <w:rFonts w:ascii="Times New Roman" w:hAnsi="Times New Roman"/>
          <w:sz w:val="28"/>
          <w:szCs w:val="28"/>
        </w:rPr>
        <w:t xml:space="preserve"> стадия рака. Низкая дифференцировка опухоли также показала отрицательное влияние на одногодичную (р=0,012), 3-летнюю общую (0,003) и 3-летнюю безрецидивную (р=0,000), 5-летнюю общую выживаемость</w:t>
      </w:r>
      <w:r>
        <w:rPr>
          <w:rFonts w:ascii="Times New Roman" w:hAnsi="Times New Roman"/>
          <w:sz w:val="28"/>
          <w:szCs w:val="28"/>
        </w:rPr>
        <w:t xml:space="preserve"> </w:t>
      </w:r>
      <w:r w:rsidRPr="00145B66">
        <w:rPr>
          <w:rFonts w:ascii="Times New Roman" w:hAnsi="Times New Roman"/>
          <w:sz w:val="28"/>
          <w:szCs w:val="28"/>
        </w:rPr>
        <w:t>(р=0,000). При многофакторном анализе функциональные осложнения после хирургического лечения рака ободочной кишки сохранили статистически значимое влияние на одногодичную общую</w:t>
      </w:r>
      <w:r>
        <w:rPr>
          <w:rFonts w:ascii="Times New Roman" w:hAnsi="Times New Roman"/>
          <w:sz w:val="28"/>
          <w:szCs w:val="28"/>
        </w:rPr>
        <w:t xml:space="preserve"> </w:t>
      </w:r>
      <w:r w:rsidRPr="00145B66">
        <w:rPr>
          <w:rFonts w:ascii="Times New Roman" w:hAnsi="Times New Roman"/>
          <w:sz w:val="28"/>
          <w:szCs w:val="28"/>
        </w:rPr>
        <w:t>(р=0,002) и общую 3-летнюю выживаемость (р=0,000). По результатам многофакторного анализа показатели, имевшие исходно значимое влияние на выживаемость больных, утратили свое значение. К таким показателям отнеслись недифференцированная аденокарцинома (р=0,158) и сопутствующая патология (р=</w:t>
      </w:r>
      <w:r w:rsidRPr="00145B66">
        <w:rPr>
          <w:rFonts w:ascii="Times New Roman" w:hAnsi="Times New Roman"/>
          <w:sz w:val="28"/>
          <w:szCs w:val="28"/>
          <w:lang w:eastAsia="en-US"/>
        </w:rPr>
        <w:t>0,555</w:t>
      </w:r>
      <w:r w:rsidRPr="00145B66">
        <w:rPr>
          <w:rFonts w:ascii="Times New Roman" w:hAnsi="Times New Roman"/>
          <w:sz w:val="28"/>
          <w:szCs w:val="28"/>
        </w:rPr>
        <w:t>). Остальные ковариаты не являются независимыми предикторами, влияющих на общую одногодичную, 3-летнюю общую и безрецидивную, общую 5-летнюю выживаемость больных после хирургического лечения рака ободочной кишки.</w:t>
      </w:r>
    </w:p>
    <w:p w14:paraId="46230AC5" w14:textId="77777777" w:rsidR="00A9409C" w:rsidRDefault="00A9409C" w:rsidP="00A9409C">
      <w:pPr>
        <w:tabs>
          <w:tab w:val="left" w:pos="0"/>
        </w:tabs>
        <w:spacing w:after="0" w:line="240" w:lineRule="auto"/>
        <w:jc w:val="both"/>
        <w:rPr>
          <w:rFonts w:ascii="Times New Roman" w:hAnsi="Times New Roman"/>
          <w:sz w:val="28"/>
          <w:szCs w:val="28"/>
        </w:rPr>
      </w:pPr>
    </w:p>
    <w:p w14:paraId="4960F3D8" w14:textId="77777777" w:rsidR="00A9409C" w:rsidRPr="00145B66" w:rsidRDefault="00A9409C" w:rsidP="00A9409C">
      <w:pPr>
        <w:tabs>
          <w:tab w:val="left" w:pos="0"/>
        </w:tabs>
        <w:spacing w:after="0" w:line="240" w:lineRule="auto"/>
        <w:jc w:val="both"/>
        <w:rPr>
          <w:rFonts w:ascii="Times New Roman" w:hAnsi="Times New Roman"/>
          <w:sz w:val="28"/>
          <w:szCs w:val="28"/>
        </w:rPr>
      </w:pPr>
      <w:r w:rsidRPr="00145B66">
        <w:rPr>
          <w:rFonts w:ascii="Times New Roman" w:hAnsi="Times New Roman"/>
          <w:sz w:val="28"/>
          <w:szCs w:val="28"/>
        </w:rPr>
        <w:lastRenderedPageBreak/>
        <w:t xml:space="preserve">Таблица </w:t>
      </w:r>
      <w:r>
        <w:rPr>
          <w:rFonts w:ascii="Times New Roman" w:hAnsi="Times New Roman"/>
          <w:sz w:val="28"/>
          <w:szCs w:val="28"/>
        </w:rPr>
        <w:t>24</w:t>
      </w:r>
      <w:r w:rsidRPr="00145B66">
        <w:rPr>
          <w:rFonts w:ascii="Times New Roman" w:hAnsi="Times New Roman"/>
          <w:sz w:val="28"/>
          <w:szCs w:val="28"/>
        </w:rPr>
        <w:t xml:space="preserve"> </w:t>
      </w:r>
      <w:r>
        <w:rPr>
          <w:rFonts w:ascii="Times New Roman" w:hAnsi="Times New Roman"/>
          <w:sz w:val="28"/>
          <w:szCs w:val="28"/>
        </w:rPr>
        <w:t>–</w:t>
      </w:r>
      <w:r w:rsidRPr="00145B66">
        <w:rPr>
          <w:rFonts w:ascii="Times New Roman" w:hAnsi="Times New Roman"/>
          <w:sz w:val="28"/>
          <w:szCs w:val="28"/>
        </w:rPr>
        <w:t xml:space="preserve"> Однофакторная модель Кокса пропорциональных рисков развития неблагоприятного исхода (смерти) у больных в течение 1 года после хирургического лечения рака ободочной кишки </w:t>
      </w:r>
    </w:p>
    <w:p w14:paraId="27777BDD" w14:textId="77777777" w:rsidR="00A9409C" w:rsidRDefault="00A9409C" w:rsidP="00A9409C">
      <w:pPr>
        <w:tabs>
          <w:tab w:val="left" w:pos="0"/>
        </w:tabs>
        <w:spacing w:after="0" w:line="240" w:lineRule="auto"/>
        <w:jc w:val="both"/>
        <w:rPr>
          <w:rFonts w:ascii="Times New Roman" w:hAnsi="Times New Roman"/>
          <w:sz w:val="28"/>
          <w:szCs w:val="28"/>
        </w:rPr>
      </w:pPr>
    </w:p>
    <w:tbl>
      <w:tblPr>
        <w:tblW w:w="9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995"/>
        <w:gridCol w:w="14"/>
        <w:gridCol w:w="14"/>
        <w:gridCol w:w="756"/>
        <w:gridCol w:w="868"/>
        <w:gridCol w:w="14"/>
        <w:gridCol w:w="643"/>
        <w:gridCol w:w="770"/>
        <w:gridCol w:w="14"/>
        <w:gridCol w:w="910"/>
        <w:gridCol w:w="1022"/>
        <w:gridCol w:w="1050"/>
      </w:tblGrid>
      <w:tr w:rsidR="00A9409C" w:rsidRPr="00145B66" w14:paraId="78D09767" w14:textId="77777777" w:rsidTr="00094F6F">
        <w:trPr>
          <w:trHeight w:val="340"/>
          <w:jc w:val="center"/>
        </w:trPr>
        <w:tc>
          <w:tcPr>
            <w:tcW w:w="2547" w:type="dxa"/>
            <w:vMerge w:val="restart"/>
            <w:vAlign w:val="center"/>
            <w:hideMark/>
          </w:tcPr>
          <w:p w14:paraId="2DD7915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Факторы</w:t>
            </w:r>
          </w:p>
        </w:tc>
        <w:tc>
          <w:tcPr>
            <w:tcW w:w="1023" w:type="dxa"/>
            <w:gridSpan w:val="3"/>
            <w:vMerge w:val="restart"/>
            <w:vAlign w:val="center"/>
            <w:hideMark/>
          </w:tcPr>
          <w:p w14:paraId="41EECDE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В</w:t>
            </w:r>
          </w:p>
        </w:tc>
        <w:tc>
          <w:tcPr>
            <w:tcW w:w="756" w:type="dxa"/>
            <w:vMerge w:val="restart"/>
            <w:vAlign w:val="center"/>
            <w:hideMark/>
          </w:tcPr>
          <w:p w14:paraId="015F06D2"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SE</w:t>
            </w:r>
          </w:p>
        </w:tc>
        <w:tc>
          <w:tcPr>
            <w:tcW w:w="882" w:type="dxa"/>
            <w:gridSpan w:val="2"/>
            <w:vMerge w:val="restart"/>
            <w:vAlign w:val="center"/>
            <w:hideMark/>
          </w:tcPr>
          <w:p w14:paraId="35955439"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en-US" w:eastAsia="en-US"/>
              </w:rPr>
              <w:t>Wald</w:t>
            </w:r>
          </w:p>
        </w:tc>
        <w:tc>
          <w:tcPr>
            <w:tcW w:w="643" w:type="dxa"/>
            <w:vMerge w:val="restart"/>
            <w:vAlign w:val="center"/>
            <w:hideMark/>
          </w:tcPr>
          <w:p w14:paraId="3CCCCF72"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proofErr w:type="spellStart"/>
            <w:r w:rsidRPr="00145B66">
              <w:rPr>
                <w:rFonts w:ascii="Times New Roman" w:hAnsi="Times New Roman"/>
                <w:sz w:val="24"/>
                <w:szCs w:val="24"/>
                <w:lang w:val="en-US" w:eastAsia="en-US"/>
              </w:rPr>
              <w:t>df</w:t>
            </w:r>
            <w:proofErr w:type="spellEnd"/>
          </w:p>
        </w:tc>
        <w:tc>
          <w:tcPr>
            <w:tcW w:w="770" w:type="dxa"/>
            <w:vMerge w:val="restart"/>
            <w:vAlign w:val="center"/>
            <w:hideMark/>
          </w:tcPr>
          <w:p w14:paraId="183F2B5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roofErr w:type="gramStart"/>
            <w:r w:rsidRPr="00145B66">
              <w:rPr>
                <w:rFonts w:ascii="Times New Roman" w:hAnsi="Times New Roman"/>
                <w:sz w:val="24"/>
                <w:szCs w:val="24"/>
                <w:lang w:eastAsia="en-US"/>
              </w:rPr>
              <w:t>р</w:t>
            </w:r>
            <w:proofErr w:type="gramEnd"/>
          </w:p>
        </w:tc>
        <w:tc>
          <w:tcPr>
            <w:tcW w:w="924" w:type="dxa"/>
            <w:gridSpan w:val="2"/>
            <w:vMerge w:val="restart"/>
            <w:vAlign w:val="center"/>
            <w:hideMark/>
          </w:tcPr>
          <w:p w14:paraId="4A6DB9A3"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proofErr w:type="spellStart"/>
            <w:r w:rsidRPr="00145B66">
              <w:rPr>
                <w:rFonts w:ascii="Times New Roman" w:hAnsi="Times New Roman"/>
                <w:sz w:val="24"/>
                <w:szCs w:val="24"/>
                <w:lang w:val="en-US" w:eastAsia="en-US"/>
              </w:rPr>
              <w:t>Exp</w:t>
            </w:r>
            <w:proofErr w:type="spellEnd"/>
            <w:r w:rsidRPr="00145B66">
              <w:rPr>
                <w:rFonts w:ascii="Times New Roman" w:hAnsi="Times New Roman"/>
                <w:sz w:val="24"/>
                <w:szCs w:val="24"/>
                <w:lang w:eastAsia="en-US"/>
              </w:rPr>
              <w:t>(</w:t>
            </w:r>
            <w:r w:rsidRPr="00145B66">
              <w:rPr>
                <w:rFonts w:ascii="Times New Roman" w:hAnsi="Times New Roman"/>
                <w:sz w:val="24"/>
                <w:szCs w:val="24"/>
                <w:lang w:val="en-US" w:eastAsia="en-US"/>
              </w:rPr>
              <w:t>B</w:t>
            </w:r>
            <w:r w:rsidRPr="00145B66">
              <w:rPr>
                <w:rFonts w:ascii="Times New Roman" w:hAnsi="Times New Roman"/>
                <w:sz w:val="24"/>
                <w:szCs w:val="24"/>
                <w:lang w:eastAsia="en-US"/>
              </w:rPr>
              <w:t>)</w:t>
            </w:r>
          </w:p>
        </w:tc>
        <w:tc>
          <w:tcPr>
            <w:tcW w:w="2072" w:type="dxa"/>
            <w:gridSpan w:val="2"/>
            <w:vAlign w:val="center"/>
            <w:hideMark/>
          </w:tcPr>
          <w:p w14:paraId="6E777BA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95% ДИ</w:t>
            </w:r>
          </w:p>
        </w:tc>
      </w:tr>
      <w:tr w:rsidR="00A9409C" w:rsidRPr="00145B66" w14:paraId="69E473FB" w14:textId="77777777" w:rsidTr="00094F6F">
        <w:trPr>
          <w:trHeight w:val="340"/>
          <w:jc w:val="center"/>
        </w:trPr>
        <w:tc>
          <w:tcPr>
            <w:tcW w:w="2547" w:type="dxa"/>
            <w:vMerge/>
            <w:vAlign w:val="center"/>
            <w:hideMark/>
          </w:tcPr>
          <w:p w14:paraId="754D387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
        </w:tc>
        <w:tc>
          <w:tcPr>
            <w:tcW w:w="1023" w:type="dxa"/>
            <w:gridSpan w:val="3"/>
            <w:vMerge/>
            <w:vAlign w:val="center"/>
            <w:hideMark/>
          </w:tcPr>
          <w:p w14:paraId="2E7CE6C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
        </w:tc>
        <w:tc>
          <w:tcPr>
            <w:tcW w:w="756" w:type="dxa"/>
            <w:vMerge/>
            <w:vAlign w:val="center"/>
            <w:hideMark/>
          </w:tcPr>
          <w:p w14:paraId="08AF4D1F"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p>
        </w:tc>
        <w:tc>
          <w:tcPr>
            <w:tcW w:w="882" w:type="dxa"/>
            <w:gridSpan w:val="2"/>
            <w:vMerge/>
            <w:vAlign w:val="center"/>
            <w:hideMark/>
          </w:tcPr>
          <w:p w14:paraId="482E6166"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p>
        </w:tc>
        <w:tc>
          <w:tcPr>
            <w:tcW w:w="643" w:type="dxa"/>
            <w:vMerge/>
            <w:vAlign w:val="center"/>
            <w:hideMark/>
          </w:tcPr>
          <w:p w14:paraId="365B564E"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p>
        </w:tc>
        <w:tc>
          <w:tcPr>
            <w:tcW w:w="770" w:type="dxa"/>
            <w:vMerge/>
            <w:vAlign w:val="center"/>
            <w:hideMark/>
          </w:tcPr>
          <w:p w14:paraId="690AB66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
        </w:tc>
        <w:tc>
          <w:tcPr>
            <w:tcW w:w="924" w:type="dxa"/>
            <w:gridSpan w:val="2"/>
            <w:vMerge/>
            <w:vAlign w:val="center"/>
            <w:hideMark/>
          </w:tcPr>
          <w:p w14:paraId="5B04F6AB"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p>
        </w:tc>
        <w:tc>
          <w:tcPr>
            <w:tcW w:w="1022" w:type="dxa"/>
            <w:vAlign w:val="center"/>
            <w:hideMark/>
          </w:tcPr>
          <w:p w14:paraId="6877E91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roofErr w:type="gramStart"/>
            <w:r w:rsidRPr="00145B66">
              <w:rPr>
                <w:rFonts w:ascii="Times New Roman" w:hAnsi="Times New Roman"/>
                <w:sz w:val="24"/>
                <w:szCs w:val="24"/>
                <w:lang w:eastAsia="en-US"/>
              </w:rPr>
              <w:t>нижняя</w:t>
            </w:r>
            <w:proofErr w:type="gramEnd"/>
          </w:p>
        </w:tc>
        <w:tc>
          <w:tcPr>
            <w:tcW w:w="1050" w:type="dxa"/>
            <w:vAlign w:val="center"/>
            <w:hideMark/>
          </w:tcPr>
          <w:p w14:paraId="5B370C6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roofErr w:type="gramStart"/>
            <w:r w:rsidRPr="00145B66">
              <w:rPr>
                <w:rFonts w:ascii="Times New Roman" w:hAnsi="Times New Roman"/>
                <w:sz w:val="24"/>
                <w:szCs w:val="24"/>
                <w:lang w:eastAsia="en-US"/>
              </w:rPr>
              <w:t>верхняя</w:t>
            </w:r>
            <w:proofErr w:type="gramEnd"/>
          </w:p>
        </w:tc>
      </w:tr>
      <w:tr w:rsidR="00A9409C" w:rsidRPr="00145B66" w14:paraId="2879B898" w14:textId="77777777" w:rsidTr="00094F6F">
        <w:trPr>
          <w:trHeight w:val="340"/>
          <w:jc w:val="center"/>
        </w:trPr>
        <w:tc>
          <w:tcPr>
            <w:tcW w:w="2547" w:type="dxa"/>
            <w:hideMark/>
          </w:tcPr>
          <w:p w14:paraId="7C4261D6" w14:textId="77777777" w:rsidR="00A9409C" w:rsidRPr="00F1219E" w:rsidRDefault="00A9409C" w:rsidP="00094F6F">
            <w:pPr>
              <w:tabs>
                <w:tab w:val="left" w:pos="0"/>
              </w:tabs>
              <w:spacing w:after="0" w:line="240" w:lineRule="auto"/>
              <w:jc w:val="both"/>
              <w:rPr>
                <w:rFonts w:ascii="Times New Roman" w:hAnsi="Times New Roman"/>
                <w:sz w:val="24"/>
                <w:szCs w:val="24"/>
                <w:lang w:eastAsia="en-US"/>
              </w:rPr>
            </w:pPr>
            <w:r w:rsidRPr="00F1219E">
              <w:rPr>
                <w:rFonts w:ascii="Times New Roman" w:hAnsi="Times New Roman"/>
                <w:sz w:val="24"/>
                <w:szCs w:val="24"/>
                <w:lang w:eastAsia="en-US"/>
              </w:rPr>
              <w:t>Возраст</w:t>
            </w:r>
          </w:p>
        </w:tc>
        <w:tc>
          <w:tcPr>
            <w:tcW w:w="1023" w:type="dxa"/>
            <w:gridSpan w:val="3"/>
            <w:vAlign w:val="center"/>
            <w:hideMark/>
          </w:tcPr>
          <w:p w14:paraId="19B0400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1,135</w:t>
            </w:r>
          </w:p>
        </w:tc>
        <w:tc>
          <w:tcPr>
            <w:tcW w:w="756" w:type="dxa"/>
            <w:vAlign w:val="center"/>
            <w:hideMark/>
          </w:tcPr>
          <w:p w14:paraId="1995655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0,498</w:t>
            </w:r>
          </w:p>
        </w:tc>
        <w:tc>
          <w:tcPr>
            <w:tcW w:w="882" w:type="dxa"/>
            <w:gridSpan w:val="2"/>
            <w:vAlign w:val="center"/>
            <w:hideMark/>
          </w:tcPr>
          <w:p w14:paraId="135CE2A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5,197</w:t>
            </w:r>
          </w:p>
        </w:tc>
        <w:tc>
          <w:tcPr>
            <w:tcW w:w="643" w:type="dxa"/>
            <w:vAlign w:val="center"/>
            <w:hideMark/>
          </w:tcPr>
          <w:p w14:paraId="6D6F7DF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70" w:type="dxa"/>
            <w:vAlign w:val="center"/>
            <w:hideMark/>
          </w:tcPr>
          <w:p w14:paraId="6940B5D6" w14:textId="77777777" w:rsidR="00A9409C" w:rsidRPr="00AE34E8" w:rsidRDefault="00A9409C" w:rsidP="00094F6F">
            <w:pPr>
              <w:tabs>
                <w:tab w:val="left" w:pos="0"/>
              </w:tabs>
              <w:spacing w:after="0" w:line="240" w:lineRule="auto"/>
              <w:jc w:val="center"/>
              <w:rPr>
                <w:rFonts w:ascii="Times New Roman" w:hAnsi="Times New Roman"/>
                <w:b/>
                <w:bCs/>
                <w:sz w:val="24"/>
                <w:szCs w:val="24"/>
                <w:lang w:val="kk-KZ" w:eastAsia="en-US"/>
              </w:rPr>
            </w:pPr>
            <w:r w:rsidRPr="00AE34E8">
              <w:rPr>
                <w:rFonts w:ascii="Times New Roman" w:hAnsi="Times New Roman"/>
                <w:b/>
                <w:bCs/>
                <w:sz w:val="24"/>
                <w:szCs w:val="24"/>
                <w:lang w:val="kk-KZ" w:eastAsia="en-US"/>
              </w:rPr>
              <w:t>0,026</w:t>
            </w:r>
          </w:p>
        </w:tc>
        <w:tc>
          <w:tcPr>
            <w:tcW w:w="924" w:type="dxa"/>
            <w:gridSpan w:val="2"/>
            <w:vAlign w:val="center"/>
            <w:hideMark/>
          </w:tcPr>
          <w:p w14:paraId="728CC0A9"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1,528</w:t>
            </w:r>
          </w:p>
        </w:tc>
        <w:tc>
          <w:tcPr>
            <w:tcW w:w="1022" w:type="dxa"/>
            <w:vAlign w:val="center"/>
            <w:hideMark/>
          </w:tcPr>
          <w:p w14:paraId="1CC7FF25"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1,035</w:t>
            </w:r>
          </w:p>
        </w:tc>
        <w:tc>
          <w:tcPr>
            <w:tcW w:w="1050" w:type="dxa"/>
            <w:vAlign w:val="center"/>
            <w:hideMark/>
          </w:tcPr>
          <w:p w14:paraId="3F93E9B6"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1,829</w:t>
            </w:r>
          </w:p>
        </w:tc>
      </w:tr>
      <w:tr w:rsidR="00A9409C" w:rsidRPr="00145B66" w14:paraId="7459815C" w14:textId="77777777" w:rsidTr="00094F6F">
        <w:trPr>
          <w:trHeight w:val="340"/>
          <w:jc w:val="center"/>
        </w:trPr>
        <w:tc>
          <w:tcPr>
            <w:tcW w:w="2547" w:type="dxa"/>
            <w:hideMark/>
          </w:tcPr>
          <w:p w14:paraId="60AB7203"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 xml:space="preserve">Пол </w:t>
            </w:r>
          </w:p>
        </w:tc>
        <w:tc>
          <w:tcPr>
            <w:tcW w:w="1023" w:type="dxa"/>
            <w:gridSpan w:val="3"/>
            <w:vAlign w:val="center"/>
            <w:hideMark/>
          </w:tcPr>
          <w:p w14:paraId="2C41D24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1,96</w:t>
            </w:r>
          </w:p>
        </w:tc>
        <w:tc>
          <w:tcPr>
            <w:tcW w:w="756" w:type="dxa"/>
            <w:vAlign w:val="center"/>
            <w:hideMark/>
          </w:tcPr>
          <w:p w14:paraId="742CCAE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0,568</w:t>
            </w:r>
          </w:p>
        </w:tc>
        <w:tc>
          <w:tcPr>
            <w:tcW w:w="882" w:type="dxa"/>
            <w:gridSpan w:val="2"/>
            <w:vAlign w:val="center"/>
            <w:hideMark/>
          </w:tcPr>
          <w:p w14:paraId="7571DDD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11,943</w:t>
            </w:r>
          </w:p>
        </w:tc>
        <w:tc>
          <w:tcPr>
            <w:tcW w:w="643" w:type="dxa"/>
            <w:vAlign w:val="center"/>
            <w:hideMark/>
          </w:tcPr>
          <w:p w14:paraId="2C58186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70" w:type="dxa"/>
            <w:vAlign w:val="center"/>
            <w:hideMark/>
          </w:tcPr>
          <w:p w14:paraId="4AAD3A80" w14:textId="77777777" w:rsidR="00A9409C" w:rsidRPr="00AE34E8" w:rsidRDefault="00A9409C" w:rsidP="00094F6F">
            <w:pPr>
              <w:tabs>
                <w:tab w:val="left" w:pos="0"/>
              </w:tabs>
              <w:spacing w:after="0" w:line="240" w:lineRule="auto"/>
              <w:jc w:val="center"/>
              <w:rPr>
                <w:rFonts w:ascii="Times New Roman" w:hAnsi="Times New Roman"/>
                <w:b/>
                <w:bCs/>
                <w:sz w:val="24"/>
                <w:szCs w:val="24"/>
                <w:lang w:eastAsia="en-US"/>
              </w:rPr>
            </w:pPr>
            <w:r w:rsidRPr="00AE34E8">
              <w:rPr>
                <w:rFonts w:ascii="Times New Roman" w:hAnsi="Times New Roman"/>
                <w:b/>
                <w:bCs/>
                <w:sz w:val="24"/>
                <w:szCs w:val="24"/>
                <w:lang w:eastAsia="en-US"/>
              </w:rPr>
              <w:t>0,001</w:t>
            </w:r>
          </w:p>
        </w:tc>
        <w:tc>
          <w:tcPr>
            <w:tcW w:w="924" w:type="dxa"/>
            <w:gridSpan w:val="2"/>
            <w:vAlign w:val="center"/>
            <w:hideMark/>
          </w:tcPr>
          <w:p w14:paraId="72AA2FD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0,140</w:t>
            </w:r>
          </w:p>
        </w:tc>
        <w:tc>
          <w:tcPr>
            <w:tcW w:w="1022" w:type="dxa"/>
            <w:vAlign w:val="center"/>
            <w:hideMark/>
          </w:tcPr>
          <w:p w14:paraId="05FA482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0,046</w:t>
            </w:r>
          </w:p>
        </w:tc>
        <w:tc>
          <w:tcPr>
            <w:tcW w:w="1050" w:type="dxa"/>
            <w:vAlign w:val="center"/>
            <w:hideMark/>
          </w:tcPr>
          <w:p w14:paraId="6DAF2CE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0,427</w:t>
            </w:r>
          </w:p>
        </w:tc>
      </w:tr>
      <w:tr w:rsidR="00A9409C" w:rsidRPr="00145B66" w14:paraId="1C418DFA" w14:textId="77777777" w:rsidTr="00094F6F">
        <w:trPr>
          <w:trHeight w:val="340"/>
          <w:jc w:val="center"/>
        </w:trPr>
        <w:tc>
          <w:tcPr>
            <w:tcW w:w="9617" w:type="dxa"/>
            <w:gridSpan w:val="13"/>
          </w:tcPr>
          <w:p w14:paraId="28C4AD85"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Стадия рака</w:t>
            </w:r>
          </w:p>
        </w:tc>
      </w:tr>
      <w:tr w:rsidR="00A9409C" w:rsidRPr="00145B66" w14:paraId="61300968" w14:textId="77777777" w:rsidTr="00094F6F">
        <w:trPr>
          <w:trHeight w:val="340"/>
          <w:jc w:val="center"/>
        </w:trPr>
        <w:tc>
          <w:tcPr>
            <w:tcW w:w="2547" w:type="dxa"/>
          </w:tcPr>
          <w:p w14:paraId="19F06E50" w14:textId="77777777" w:rsidR="00A9409C" w:rsidRPr="00F1219E" w:rsidRDefault="00A9409C" w:rsidP="00094F6F">
            <w:pPr>
              <w:spacing w:after="0" w:line="240" w:lineRule="auto"/>
              <w:ind w:firstLine="318"/>
              <w:jc w:val="both"/>
              <w:rPr>
                <w:rFonts w:ascii="Times New Roman" w:hAnsi="Times New Roman"/>
                <w:i/>
                <w:iCs/>
                <w:sz w:val="24"/>
                <w:szCs w:val="24"/>
                <w:lang w:val="en-US" w:eastAsia="en-US"/>
              </w:rPr>
            </w:pPr>
            <w:r w:rsidRPr="00F1219E">
              <w:rPr>
                <w:rFonts w:ascii="Times New Roman" w:hAnsi="Times New Roman"/>
                <w:i/>
                <w:iCs/>
                <w:sz w:val="24"/>
                <w:szCs w:val="24"/>
                <w:lang w:val="en-US" w:eastAsia="en-US"/>
              </w:rPr>
              <w:t>I</w:t>
            </w:r>
          </w:p>
        </w:tc>
        <w:tc>
          <w:tcPr>
            <w:tcW w:w="1023" w:type="dxa"/>
            <w:gridSpan w:val="3"/>
            <w:vAlign w:val="center"/>
          </w:tcPr>
          <w:p w14:paraId="37C4B945"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Pr>
                <w:rFonts w:ascii="Times New Roman" w:hAnsi="Times New Roman"/>
                <w:sz w:val="24"/>
                <w:szCs w:val="24"/>
                <w:lang w:eastAsia="en-US"/>
              </w:rPr>
              <w:t>−</w:t>
            </w:r>
            <w:r w:rsidRPr="00145B66">
              <w:rPr>
                <w:rFonts w:ascii="Times New Roman" w:hAnsi="Times New Roman"/>
                <w:sz w:val="24"/>
                <w:szCs w:val="24"/>
                <w:lang w:val="en-US" w:eastAsia="en-US"/>
              </w:rPr>
              <w:t>3,320</w:t>
            </w:r>
          </w:p>
        </w:tc>
        <w:tc>
          <w:tcPr>
            <w:tcW w:w="756" w:type="dxa"/>
            <w:vAlign w:val="center"/>
          </w:tcPr>
          <w:p w14:paraId="11046D7A"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2</w:t>
            </w:r>
            <w:r>
              <w:rPr>
                <w:rFonts w:ascii="Times New Roman" w:hAnsi="Times New Roman"/>
                <w:sz w:val="24"/>
                <w:szCs w:val="24"/>
                <w:lang w:eastAsia="en-US"/>
              </w:rPr>
              <w:t>,</w:t>
            </w:r>
            <w:r w:rsidRPr="00145B66">
              <w:rPr>
                <w:rFonts w:ascii="Times New Roman" w:hAnsi="Times New Roman"/>
                <w:sz w:val="24"/>
                <w:szCs w:val="24"/>
                <w:lang w:val="en-US" w:eastAsia="en-US"/>
              </w:rPr>
              <w:t>171</w:t>
            </w:r>
          </w:p>
        </w:tc>
        <w:tc>
          <w:tcPr>
            <w:tcW w:w="882" w:type="dxa"/>
            <w:gridSpan w:val="2"/>
            <w:vAlign w:val="center"/>
          </w:tcPr>
          <w:p w14:paraId="71E899E3"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2</w:t>
            </w:r>
            <w:r w:rsidRPr="00145B66">
              <w:rPr>
                <w:rFonts w:ascii="Times New Roman" w:hAnsi="Times New Roman"/>
                <w:sz w:val="24"/>
                <w:szCs w:val="24"/>
                <w:lang w:eastAsia="en-US"/>
              </w:rPr>
              <w:t>,</w:t>
            </w:r>
            <w:r w:rsidRPr="00145B66">
              <w:rPr>
                <w:rFonts w:ascii="Times New Roman" w:hAnsi="Times New Roman"/>
                <w:sz w:val="24"/>
                <w:szCs w:val="24"/>
                <w:lang w:val="en-US" w:eastAsia="en-US"/>
              </w:rPr>
              <w:t>338</w:t>
            </w:r>
          </w:p>
        </w:tc>
        <w:tc>
          <w:tcPr>
            <w:tcW w:w="643" w:type="dxa"/>
            <w:vAlign w:val="center"/>
          </w:tcPr>
          <w:p w14:paraId="03649EFE"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1</w:t>
            </w:r>
          </w:p>
        </w:tc>
        <w:tc>
          <w:tcPr>
            <w:tcW w:w="770" w:type="dxa"/>
            <w:vAlign w:val="center"/>
          </w:tcPr>
          <w:p w14:paraId="46341DC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0,126</w:t>
            </w:r>
          </w:p>
        </w:tc>
        <w:tc>
          <w:tcPr>
            <w:tcW w:w="924" w:type="dxa"/>
            <w:gridSpan w:val="2"/>
            <w:vAlign w:val="center"/>
          </w:tcPr>
          <w:p w14:paraId="5866911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0,036</w:t>
            </w:r>
          </w:p>
        </w:tc>
        <w:tc>
          <w:tcPr>
            <w:tcW w:w="1022" w:type="dxa"/>
            <w:vAlign w:val="center"/>
          </w:tcPr>
          <w:p w14:paraId="71D9E61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0,001</w:t>
            </w:r>
          </w:p>
        </w:tc>
        <w:tc>
          <w:tcPr>
            <w:tcW w:w="1050" w:type="dxa"/>
            <w:vAlign w:val="center"/>
          </w:tcPr>
          <w:p w14:paraId="4F5DEBE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2,548</w:t>
            </w:r>
          </w:p>
        </w:tc>
      </w:tr>
      <w:tr w:rsidR="00A9409C" w:rsidRPr="00145B66" w14:paraId="1F49D178" w14:textId="77777777" w:rsidTr="00094F6F">
        <w:trPr>
          <w:trHeight w:val="340"/>
          <w:jc w:val="center"/>
        </w:trPr>
        <w:tc>
          <w:tcPr>
            <w:tcW w:w="2547" w:type="dxa"/>
          </w:tcPr>
          <w:p w14:paraId="0AE5CABA" w14:textId="77777777" w:rsidR="00A9409C" w:rsidRPr="00F1219E" w:rsidRDefault="00A9409C" w:rsidP="00094F6F">
            <w:pPr>
              <w:spacing w:after="0" w:line="240" w:lineRule="auto"/>
              <w:ind w:firstLine="318"/>
              <w:jc w:val="both"/>
              <w:rPr>
                <w:rFonts w:ascii="Times New Roman" w:hAnsi="Times New Roman"/>
                <w:i/>
                <w:iCs/>
                <w:sz w:val="24"/>
                <w:szCs w:val="24"/>
                <w:lang w:val="en-US" w:eastAsia="en-US"/>
              </w:rPr>
            </w:pPr>
            <w:r w:rsidRPr="00F1219E">
              <w:rPr>
                <w:rFonts w:ascii="Times New Roman" w:hAnsi="Times New Roman"/>
                <w:i/>
                <w:iCs/>
                <w:sz w:val="24"/>
                <w:szCs w:val="24"/>
                <w:lang w:val="en-US" w:eastAsia="en-US"/>
              </w:rPr>
              <w:t>II</w:t>
            </w:r>
          </w:p>
        </w:tc>
        <w:tc>
          <w:tcPr>
            <w:tcW w:w="1023" w:type="dxa"/>
            <w:gridSpan w:val="3"/>
            <w:vAlign w:val="center"/>
          </w:tcPr>
          <w:p w14:paraId="2C9F0349"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Pr>
                <w:rFonts w:ascii="Times New Roman" w:hAnsi="Times New Roman"/>
                <w:sz w:val="24"/>
                <w:szCs w:val="24"/>
                <w:lang w:eastAsia="en-US"/>
              </w:rPr>
              <w:t>−</w:t>
            </w:r>
            <w:r w:rsidRPr="00145B66">
              <w:rPr>
                <w:rFonts w:ascii="Times New Roman" w:hAnsi="Times New Roman"/>
                <w:sz w:val="24"/>
                <w:szCs w:val="24"/>
                <w:lang w:val="en-US" w:eastAsia="en-US"/>
              </w:rPr>
              <w:t>2,544</w:t>
            </w:r>
          </w:p>
        </w:tc>
        <w:tc>
          <w:tcPr>
            <w:tcW w:w="756" w:type="dxa"/>
            <w:vAlign w:val="center"/>
          </w:tcPr>
          <w:p w14:paraId="6B4DC675"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w:t>
            </w:r>
            <w:r w:rsidRPr="00145B66">
              <w:rPr>
                <w:rFonts w:ascii="Times New Roman" w:hAnsi="Times New Roman"/>
                <w:sz w:val="24"/>
                <w:szCs w:val="24"/>
                <w:lang w:eastAsia="en-US"/>
              </w:rPr>
              <w:t>,</w:t>
            </w:r>
            <w:r w:rsidRPr="00145B66">
              <w:rPr>
                <w:rFonts w:ascii="Times New Roman" w:hAnsi="Times New Roman"/>
                <w:sz w:val="24"/>
                <w:szCs w:val="24"/>
                <w:lang w:val="en-US" w:eastAsia="en-US"/>
              </w:rPr>
              <w:t>736</w:t>
            </w:r>
          </w:p>
        </w:tc>
        <w:tc>
          <w:tcPr>
            <w:tcW w:w="882" w:type="dxa"/>
            <w:gridSpan w:val="2"/>
            <w:vAlign w:val="center"/>
          </w:tcPr>
          <w:p w14:paraId="21C36686"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11,940</w:t>
            </w:r>
          </w:p>
        </w:tc>
        <w:tc>
          <w:tcPr>
            <w:tcW w:w="643" w:type="dxa"/>
            <w:vAlign w:val="center"/>
          </w:tcPr>
          <w:p w14:paraId="6040EB6F"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1</w:t>
            </w:r>
          </w:p>
        </w:tc>
        <w:tc>
          <w:tcPr>
            <w:tcW w:w="770" w:type="dxa"/>
            <w:vAlign w:val="center"/>
          </w:tcPr>
          <w:p w14:paraId="3594E97A" w14:textId="77777777" w:rsidR="00A9409C" w:rsidRPr="00AE34E8" w:rsidRDefault="00A9409C" w:rsidP="00094F6F">
            <w:pPr>
              <w:tabs>
                <w:tab w:val="left" w:pos="0"/>
              </w:tabs>
              <w:spacing w:after="0" w:line="240" w:lineRule="auto"/>
              <w:jc w:val="center"/>
              <w:rPr>
                <w:rFonts w:ascii="Times New Roman" w:hAnsi="Times New Roman"/>
                <w:b/>
                <w:bCs/>
                <w:sz w:val="24"/>
                <w:szCs w:val="24"/>
                <w:lang w:eastAsia="en-US"/>
              </w:rPr>
            </w:pPr>
            <w:r w:rsidRPr="00AE34E8">
              <w:rPr>
                <w:rFonts w:ascii="Times New Roman" w:hAnsi="Times New Roman"/>
                <w:b/>
                <w:bCs/>
                <w:sz w:val="24"/>
                <w:szCs w:val="24"/>
                <w:lang w:val="en-US" w:eastAsia="en-US"/>
              </w:rPr>
              <w:t>0</w:t>
            </w:r>
            <w:r w:rsidRPr="00AE34E8">
              <w:rPr>
                <w:rFonts w:ascii="Times New Roman" w:hAnsi="Times New Roman"/>
                <w:b/>
                <w:bCs/>
                <w:sz w:val="24"/>
                <w:szCs w:val="24"/>
                <w:lang w:eastAsia="en-US"/>
              </w:rPr>
              <w:t>,001</w:t>
            </w:r>
          </w:p>
        </w:tc>
        <w:tc>
          <w:tcPr>
            <w:tcW w:w="924" w:type="dxa"/>
            <w:gridSpan w:val="2"/>
            <w:vAlign w:val="center"/>
          </w:tcPr>
          <w:p w14:paraId="2CCDB33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0,079</w:t>
            </w:r>
          </w:p>
        </w:tc>
        <w:tc>
          <w:tcPr>
            <w:tcW w:w="1022" w:type="dxa"/>
            <w:vAlign w:val="center"/>
          </w:tcPr>
          <w:p w14:paraId="6A61A3F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0,019</w:t>
            </w:r>
          </w:p>
        </w:tc>
        <w:tc>
          <w:tcPr>
            <w:tcW w:w="1050" w:type="dxa"/>
            <w:vAlign w:val="center"/>
          </w:tcPr>
          <w:p w14:paraId="3EDC2A2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0,333</w:t>
            </w:r>
          </w:p>
        </w:tc>
      </w:tr>
      <w:tr w:rsidR="00A9409C" w:rsidRPr="00145B66" w14:paraId="37577D03" w14:textId="77777777" w:rsidTr="00094F6F">
        <w:trPr>
          <w:trHeight w:val="340"/>
          <w:jc w:val="center"/>
        </w:trPr>
        <w:tc>
          <w:tcPr>
            <w:tcW w:w="2547" w:type="dxa"/>
          </w:tcPr>
          <w:p w14:paraId="6DF59E04" w14:textId="77777777" w:rsidR="00A9409C" w:rsidRPr="00F1219E" w:rsidRDefault="00A9409C" w:rsidP="00094F6F">
            <w:pPr>
              <w:spacing w:after="0" w:line="240" w:lineRule="auto"/>
              <w:ind w:firstLine="318"/>
              <w:jc w:val="both"/>
              <w:rPr>
                <w:rFonts w:ascii="Times New Roman" w:hAnsi="Times New Roman"/>
                <w:i/>
                <w:iCs/>
                <w:sz w:val="24"/>
                <w:szCs w:val="24"/>
                <w:lang w:eastAsia="en-US"/>
              </w:rPr>
            </w:pPr>
            <w:r w:rsidRPr="00F1219E">
              <w:rPr>
                <w:rFonts w:ascii="Times New Roman" w:hAnsi="Times New Roman"/>
                <w:i/>
                <w:iCs/>
                <w:sz w:val="24"/>
                <w:szCs w:val="24"/>
                <w:lang w:val="en-US" w:eastAsia="en-US"/>
              </w:rPr>
              <w:t>III</w:t>
            </w:r>
          </w:p>
        </w:tc>
        <w:tc>
          <w:tcPr>
            <w:tcW w:w="1023" w:type="dxa"/>
            <w:gridSpan w:val="3"/>
            <w:vAlign w:val="center"/>
          </w:tcPr>
          <w:p w14:paraId="02BBECD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3,170</w:t>
            </w:r>
          </w:p>
        </w:tc>
        <w:tc>
          <w:tcPr>
            <w:tcW w:w="756" w:type="dxa"/>
            <w:vAlign w:val="center"/>
          </w:tcPr>
          <w:p w14:paraId="7E7A222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0,736</w:t>
            </w:r>
          </w:p>
        </w:tc>
        <w:tc>
          <w:tcPr>
            <w:tcW w:w="882" w:type="dxa"/>
            <w:gridSpan w:val="2"/>
            <w:vAlign w:val="center"/>
          </w:tcPr>
          <w:p w14:paraId="2E7D7D3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16,5</w:t>
            </w:r>
          </w:p>
        </w:tc>
        <w:tc>
          <w:tcPr>
            <w:tcW w:w="643" w:type="dxa"/>
            <w:vAlign w:val="center"/>
          </w:tcPr>
          <w:p w14:paraId="1F39EE1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70" w:type="dxa"/>
            <w:vAlign w:val="center"/>
          </w:tcPr>
          <w:p w14:paraId="0C6ECD68" w14:textId="77777777" w:rsidR="00A9409C" w:rsidRPr="00AE34E8" w:rsidRDefault="00A9409C" w:rsidP="00094F6F">
            <w:pPr>
              <w:tabs>
                <w:tab w:val="left" w:pos="0"/>
              </w:tabs>
              <w:spacing w:after="0" w:line="240" w:lineRule="auto"/>
              <w:jc w:val="center"/>
              <w:rPr>
                <w:rFonts w:ascii="Times New Roman" w:hAnsi="Times New Roman"/>
                <w:b/>
                <w:bCs/>
                <w:sz w:val="24"/>
                <w:szCs w:val="24"/>
                <w:lang w:eastAsia="en-US"/>
              </w:rPr>
            </w:pPr>
            <w:r w:rsidRPr="00AE34E8">
              <w:rPr>
                <w:rFonts w:ascii="Times New Roman" w:hAnsi="Times New Roman"/>
                <w:b/>
                <w:bCs/>
                <w:sz w:val="24"/>
                <w:szCs w:val="24"/>
                <w:lang w:eastAsia="en-US"/>
              </w:rPr>
              <w:t>0,012</w:t>
            </w:r>
          </w:p>
        </w:tc>
        <w:tc>
          <w:tcPr>
            <w:tcW w:w="924" w:type="dxa"/>
            <w:gridSpan w:val="2"/>
            <w:vAlign w:val="center"/>
          </w:tcPr>
          <w:p w14:paraId="11CAD059"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2,754</w:t>
            </w:r>
          </w:p>
        </w:tc>
        <w:tc>
          <w:tcPr>
            <w:tcW w:w="1022" w:type="dxa"/>
            <w:vAlign w:val="center"/>
          </w:tcPr>
          <w:p w14:paraId="2CA79756"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1,154</w:t>
            </w:r>
          </w:p>
        </w:tc>
        <w:tc>
          <w:tcPr>
            <w:tcW w:w="1050" w:type="dxa"/>
            <w:vAlign w:val="center"/>
          </w:tcPr>
          <w:p w14:paraId="34659024"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3,526</w:t>
            </w:r>
          </w:p>
        </w:tc>
      </w:tr>
      <w:tr w:rsidR="00A9409C" w:rsidRPr="00145B66" w14:paraId="32AF6685" w14:textId="77777777" w:rsidTr="00094F6F">
        <w:trPr>
          <w:trHeight w:val="340"/>
          <w:jc w:val="center"/>
        </w:trPr>
        <w:tc>
          <w:tcPr>
            <w:tcW w:w="9617" w:type="dxa"/>
            <w:gridSpan w:val="13"/>
          </w:tcPr>
          <w:p w14:paraId="32639DF4"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Гистологический тип рака</w:t>
            </w:r>
          </w:p>
        </w:tc>
      </w:tr>
      <w:tr w:rsidR="00A9409C" w:rsidRPr="00145B66" w14:paraId="34FEBB85" w14:textId="77777777" w:rsidTr="00094F6F">
        <w:trPr>
          <w:trHeight w:val="340"/>
          <w:jc w:val="center"/>
        </w:trPr>
        <w:tc>
          <w:tcPr>
            <w:tcW w:w="2547" w:type="dxa"/>
          </w:tcPr>
          <w:p w14:paraId="0DFCBDBB" w14:textId="77777777" w:rsidR="00A9409C" w:rsidRPr="00F1219E" w:rsidRDefault="00A9409C" w:rsidP="00094F6F">
            <w:pPr>
              <w:tabs>
                <w:tab w:val="left" w:pos="0"/>
              </w:tabs>
              <w:spacing w:after="0" w:line="240" w:lineRule="auto"/>
              <w:jc w:val="both"/>
              <w:rPr>
                <w:rFonts w:ascii="Times New Roman" w:hAnsi="Times New Roman"/>
                <w:i/>
                <w:iCs/>
                <w:sz w:val="24"/>
                <w:szCs w:val="24"/>
                <w:lang w:eastAsia="en-US"/>
              </w:rPr>
            </w:pPr>
            <w:r w:rsidRPr="00F1219E">
              <w:rPr>
                <w:rFonts w:ascii="Times New Roman" w:hAnsi="Times New Roman"/>
                <w:i/>
                <w:iCs/>
                <w:sz w:val="24"/>
                <w:szCs w:val="24"/>
                <w:lang w:eastAsia="en-US"/>
              </w:rPr>
              <w:t>Аденокарцинома</w:t>
            </w:r>
          </w:p>
        </w:tc>
        <w:tc>
          <w:tcPr>
            <w:tcW w:w="1009" w:type="dxa"/>
            <w:gridSpan w:val="2"/>
            <w:vAlign w:val="center"/>
          </w:tcPr>
          <w:p w14:paraId="3407785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0,938</w:t>
            </w:r>
          </w:p>
        </w:tc>
        <w:tc>
          <w:tcPr>
            <w:tcW w:w="770" w:type="dxa"/>
            <w:gridSpan w:val="2"/>
            <w:vAlign w:val="center"/>
          </w:tcPr>
          <w:p w14:paraId="1DA161E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0,425</w:t>
            </w:r>
          </w:p>
        </w:tc>
        <w:tc>
          <w:tcPr>
            <w:tcW w:w="882" w:type="dxa"/>
            <w:gridSpan w:val="2"/>
            <w:vAlign w:val="center"/>
          </w:tcPr>
          <w:p w14:paraId="5336884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4,868</w:t>
            </w:r>
          </w:p>
        </w:tc>
        <w:tc>
          <w:tcPr>
            <w:tcW w:w="643" w:type="dxa"/>
            <w:vAlign w:val="center"/>
          </w:tcPr>
          <w:p w14:paraId="6E16FB0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70" w:type="dxa"/>
            <w:vAlign w:val="center"/>
          </w:tcPr>
          <w:p w14:paraId="02AA648A" w14:textId="77777777" w:rsidR="00A9409C" w:rsidRPr="00AE34E8" w:rsidRDefault="00A9409C" w:rsidP="00094F6F">
            <w:pPr>
              <w:tabs>
                <w:tab w:val="left" w:pos="0"/>
              </w:tabs>
              <w:spacing w:after="0" w:line="240" w:lineRule="auto"/>
              <w:jc w:val="center"/>
              <w:rPr>
                <w:rFonts w:ascii="Times New Roman" w:hAnsi="Times New Roman"/>
                <w:b/>
                <w:bCs/>
                <w:sz w:val="24"/>
                <w:szCs w:val="24"/>
                <w:lang w:eastAsia="en-US"/>
              </w:rPr>
            </w:pPr>
            <w:r w:rsidRPr="00AE34E8">
              <w:rPr>
                <w:rFonts w:ascii="Times New Roman" w:hAnsi="Times New Roman"/>
                <w:b/>
                <w:bCs/>
                <w:sz w:val="24"/>
                <w:szCs w:val="24"/>
                <w:lang w:eastAsia="en-US"/>
              </w:rPr>
              <w:t>0,027</w:t>
            </w:r>
          </w:p>
        </w:tc>
        <w:tc>
          <w:tcPr>
            <w:tcW w:w="924" w:type="dxa"/>
            <w:gridSpan w:val="2"/>
            <w:vAlign w:val="center"/>
          </w:tcPr>
          <w:p w14:paraId="5DDFBFC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0,392</w:t>
            </w:r>
          </w:p>
        </w:tc>
        <w:tc>
          <w:tcPr>
            <w:tcW w:w="1022" w:type="dxa"/>
            <w:vAlign w:val="center"/>
          </w:tcPr>
          <w:p w14:paraId="6BCDE1C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0,170</w:t>
            </w:r>
          </w:p>
        </w:tc>
        <w:tc>
          <w:tcPr>
            <w:tcW w:w="1050" w:type="dxa"/>
            <w:vAlign w:val="center"/>
          </w:tcPr>
          <w:p w14:paraId="545AA87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0,901</w:t>
            </w:r>
          </w:p>
        </w:tc>
      </w:tr>
      <w:tr w:rsidR="00A9409C" w:rsidRPr="00145B66" w14:paraId="435E00B8" w14:textId="77777777" w:rsidTr="00094F6F">
        <w:trPr>
          <w:trHeight w:val="340"/>
          <w:jc w:val="center"/>
        </w:trPr>
        <w:tc>
          <w:tcPr>
            <w:tcW w:w="2547" w:type="dxa"/>
            <w:hideMark/>
          </w:tcPr>
          <w:p w14:paraId="2B6CBDAD" w14:textId="77777777" w:rsidR="00A9409C" w:rsidRPr="00F1219E" w:rsidRDefault="00A9409C" w:rsidP="00094F6F">
            <w:pPr>
              <w:tabs>
                <w:tab w:val="left" w:pos="0"/>
              </w:tabs>
              <w:spacing w:after="0" w:line="240" w:lineRule="auto"/>
              <w:jc w:val="both"/>
              <w:rPr>
                <w:rFonts w:ascii="Times New Roman" w:hAnsi="Times New Roman"/>
                <w:i/>
                <w:iCs/>
                <w:sz w:val="24"/>
                <w:szCs w:val="24"/>
                <w:lang w:eastAsia="en-US"/>
              </w:rPr>
            </w:pPr>
            <w:r w:rsidRPr="00F1219E">
              <w:rPr>
                <w:rFonts w:ascii="Times New Roman" w:hAnsi="Times New Roman"/>
                <w:i/>
                <w:iCs/>
                <w:sz w:val="24"/>
                <w:szCs w:val="24"/>
                <w:lang w:eastAsia="en-US"/>
              </w:rPr>
              <w:t>Перстневидно-клеточная карцинома</w:t>
            </w:r>
          </w:p>
        </w:tc>
        <w:tc>
          <w:tcPr>
            <w:tcW w:w="1009" w:type="dxa"/>
            <w:gridSpan w:val="2"/>
            <w:vAlign w:val="center"/>
          </w:tcPr>
          <w:p w14:paraId="05B55FF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0,732</w:t>
            </w:r>
          </w:p>
        </w:tc>
        <w:tc>
          <w:tcPr>
            <w:tcW w:w="770" w:type="dxa"/>
            <w:gridSpan w:val="2"/>
            <w:vAlign w:val="center"/>
          </w:tcPr>
          <w:p w14:paraId="1A2EDFC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0,412</w:t>
            </w:r>
          </w:p>
        </w:tc>
        <w:tc>
          <w:tcPr>
            <w:tcW w:w="882" w:type="dxa"/>
            <w:gridSpan w:val="2"/>
            <w:vAlign w:val="center"/>
          </w:tcPr>
          <w:p w14:paraId="134B510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3,153</w:t>
            </w:r>
          </w:p>
        </w:tc>
        <w:tc>
          <w:tcPr>
            <w:tcW w:w="643" w:type="dxa"/>
            <w:vAlign w:val="center"/>
          </w:tcPr>
          <w:p w14:paraId="4B701F7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70" w:type="dxa"/>
            <w:vAlign w:val="center"/>
          </w:tcPr>
          <w:p w14:paraId="2773A1E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0,076</w:t>
            </w:r>
          </w:p>
        </w:tc>
        <w:tc>
          <w:tcPr>
            <w:tcW w:w="924" w:type="dxa"/>
            <w:gridSpan w:val="2"/>
            <w:vAlign w:val="center"/>
          </w:tcPr>
          <w:p w14:paraId="1A16B89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0,080</w:t>
            </w:r>
          </w:p>
        </w:tc>
        <w:tc>
          <w:tcPr>
            <w:tcW w:w="1022" w:type="dxa"/>
            <w:vAlign w:val="center"/>
          </w:tcPr>
          <w:p w14:paraId="74B44FF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0,927</w:t>
            </w:r>
          </w:p>
        </w:tc>
        <w:tc>
          <w:tcPr>
            <w:tcW w:w="1050" w:type="dxa"/>
            <w:vAlign w:val="center"/>
          </w:tcPr>
          <w:p w14:paraId="446DCCF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4,666</w:t>
            </w:r>
          </w:p>
        </w:tc>
      </w:tr>
      <w:tr w:rsidR="00A9409C" w:rsidRPr="00145B66" w14:paraId="17149B7F" w14:textId="77777777" w:rsidTr="00094F6F">
        <w:trPr>
          <w:trHeight w:val="340"/>
          <w:jc w:val="center"/>
        </w:trPr>
        <w:tc>
          <w:tcPr>
            <w:tcW w:w="2547" w:type="dxa"/>
            <w:hideMark/>
          </w:tcPr>
          <w:p w14:paraId="084E6186" w14:textId="77777777" w:rsidR="00A9409C" w:rsidRPr="00F1219E" w:rsidRDefault="00A9409C" w:rsidP="00094F6F">
            <w:pPr>
              <w:tabs>
                <w:tab w:val="left" w:pos="0"/>
              </w:tabs>
              <w:spacing w:after="0" w:line="240" w:lineRule="auto"/>
              <w:jc w:val="both"/>
              <w:rPr>
                <w:rFonts w:ascii="Times New Roman" w:hAnsi="Times New Roman"/>
                <w:i/>
                <w:iCs/>
                <w:sz w:val="24"/>
                <w:szCs w:val="24"/>
                <w:lang w:eastAsia="en-US"/>
              </w:rPr>
            </w:pPr>
            <w:r w:rsidRPr="00F1219E">
              <w:rPr>
                <w:rFonts w:ascii="Times New Roman" w:hAnsi="Times New Roman"/>
                <w:i/>
                <w:iCs/>
                <w:sz w:val="24"/>
                <w:szCs w:val="24"/>
                <w:lang w:eastAsia="en-US"/>
              </w:rPr>
              <w:t>Недифференцированная карцинома</w:t>
            </w:r>
          </w:p>
        </w:tc>
        <w:tc>
          <w:tcPr>
            <w:tcW w:w="1009" w:type="dxa"/>
            <w:gridSpan w:val="2"/>
            <w:vAlign w:val="center"/>
            <w:hideMark/>
          </w:tcPr>
          <w:p w14:paraId="41FFFA8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1,743</w:t>
            </w:r>
          </w:p>
        </w:tc>
        <w:tc>
          <w:tcPr>
            <w:tcW w:w="770" w:type="dxa"/>
            <w:gridSpan w:val="2"/>
            <w:vAlign w:val="center"/>
            <w:hideMark/>
          </w:tcPr>
          <w:p w14:paraId="143A739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0,413</w:t>
            </w:r>
          </w:p>
        </w:tc>
        <w:tc>
          <w:tcPr>
            <w:tcW w:w="882" w:type="dxa"/>
            <w:gridSpan w:val="2"/>
            <w:vAlign w:val="center"/>
            <w:hideMark/>
          </w:tcPr>
          <w:p w14:paraId="217064C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17,797</w:t>
            </w:r>
          </w:p>
        </w:tc>
        <w:tc>
          <w:tcPr>
            <w:tcW w:w="643" w:type="dxa"/>
            <w:vAlign w:val="center"/>
            <w:hideMark/>
          </w:tcPr>
          <w:p w14:paraId="6FD8189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70" w:type="dxa"/>
            <w:vAlign w:val="center"/>
            <w:hideMark/>
          </w:tcPr>
          <w:p w14:paraId="503425F5" w14:textId="77777777" w:rsidR="00A9409C" w:rsidRPr="00AE34E8" w:rsidRDefault="00A9409C" w:rsidP="00094F6F">
            <w:pPr>
              <w:tabs>
                <w:tab w:val="left" w:pos="0"/>
              </w:tabs>
              <w:spacing w:after="0" w:line="240" w:lineRule="auto"/>
              <w:jc w:val="center"/>
              <w:rPr>
                <w:rFonts w:ascii="Times New Roman" w:hAnsi="Times New Roman"/>
                <w:b/>
                <w:bCs/>
                <w:sz w:val="24"/>
                <w:szCs w:val="24"/>
                <w:lang w:eastAsia="en-US"/>
              </w:rPr>
            </w:pPr>
            <w:r w:rsidRPr="00AE34E8">
              <w:rPr>
                <w:rFonts w:ascii="Times New Roman" w:hAnsi="Times New Roman"/>
                <w:b/>
                <w:bCs/>
                <w:sz w:val="24"/>
                <w:szCs w:val="24"/>
                <w:lang w:eastAsia="en-US"/>
              </w:rPr>
              <w:t>0,000</w:t>
            </w:r>
          </w:p>
        </w:tc>
        <w:tc>
          <w:tcPr>
            <w:tcW w:w="924" w:type="dxa"/>
            <w:gridSpan w:val="2"/>
            <w:vAlign w:val="center"/>
            <w:hideMark/>
          </w:tcPr>
          <w:p w14:paraId="7BA0FE6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5,716</w:t>
            </w:r>
          </w:p>
        </w:tc>
        <w:tc>
          <w:tcPr>
            <w:tcW w:w="1022" w:type="dxa"/>
            <w:vAlign w:val="center"/>
            <w:hideMark/>
          </w:tcPr>
          <w:p w14:paraId="6A4C531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2,543</w:t>
            </w:r>
          </w:p>
        </w:tc>
        <w:tc>
          <w:tcPr>
            <w:tcW w:w="1050" w:type="dxa"/>
            <w:vAlign w:val="center"/>
            <w:hideMark/>
          </w:tcPr>
          <w:p w14:paraId="0D1C708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12,847</w:t>
            </w:r>
          </w:p>
        </w:tc>
      </w:tr>
      <w:tr w:rsidR="00A9409C" w:rsidRPr="00145B66" w14:paraId="25354447" w14:textId="77777777" w:rsidTr="00094F6F">
        <w:trPr>
          <w:trHeight w:val="340"/>
          <w:jc w:val="center"/>
        </w:trPr>
        <w:tc>
          <w:tcPr>
            <w:tcW w:w="9617" w:type="dxa"/>
            <w:gridSpan w:val="13"/>
          </w:tcPr>
          <w:p w14:paraId="0C9E0512"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Степень дифференцировки</w:t>
            </w:r>
            <w:r w:rsidRPr="00145B66">
              <w:rPr>
                <w:rFonts w:ascii="Times New Roman" w:hAnsi="Times New Roman"/>
                <w:sz w:val="24"/>
                <w:szCs w:val="24"/>
                <w:lang w:val="en-US" w:eastAsia="en-US"/>
              </w:rPr>
              <w:t xml:space="preserve"> </w:t>
            </w:r>
            <w:r w:rsidRPr="00145B66">
              <w:rPr>
                <w:rFonts w:ascii="Times New Roman" w:hAnsi="Times New Roman"/>
                <w:sz w:val="24"/>
                <w:szCs w:val="24"/>
                <w:lang w:eastAsia="en-US"/>
              </w:rPr>
              <w:t xml:space="preserve"> </w:t>
            </w:r>
          </w:p>
        </w:tc>
      </w:tr>
      <w:tr w:rsidR="00A9409C" w:rsidRPr="00145B66" w14:paraId="43903190" w14:textId="77777777" w:rsidTr="00094F6F">
        <w:trPr>
          <w:trHeight w:val="340"/>
          <w:jc w:val="center"/>
        </w:trPr>
        <w:tc>
          <w:tcPr>
            <w:tcW w:w="2547" w:type="dxa"/>
          </w:tcPr>
          <w:p w14:paraId="07892F3D" w14:textId="77777777" w:rsidR="00A9409C" w:rsidRPr="00AE34E8" w:rsidRDefault="00A9409C" w:rsidP="00094F6F">
            <w:pPr>
              <w:tabs>
                <w:tab w:val="left" w:pos="0"/>
              </w:tabs>
              <w:spacing w:after="0" w:line="240" w:lineRule="auto"/>
              <w:jc w:val="both"/>
              <w:rPr>
                <w:rFonts w:ascii="Times New Roman" w:hAnsi="Times New Roman"/>
                <w:bCs/>
                <w:i/>
                <w:iCs/>
                <w:sz w:val="24"/>
                <w:szCs w:val="24"/>
                <w:lang w:eastAsia="en-US"/>
              </w:rPr>
            </w:pPr>
            <w:r w:rsidRPr="00AE34E8">
              <w:rPr>
                <w:rFonts w:ascii="Times New Roman" w:hAnsi="Times New Roman"/>
                <w:bCs/>
                <w:i/>
                <w:iCs/>
                <w:sz w:val="24"/>
                <w:szCs w:val="24"/>
                <w:lang w:eastAsia="en-US"/>
              </w:rPr>
              <w:t xml:space="preserve">Низкая </w:t>
            </w:r>
          </w:p>
        </w:tc>
        <w:tc>
          <w:tcPr>
            <w:tcW w:w="1009" w:type="dxa"/>
            <w:gridSpan w:val="2"/>
            <w:vAlign w:val="center"/>
          </w:tcPr>
          <w:p w14:paraId="34E5E9A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1,456</w:t>
            </w:r>
          </w:p>
        </w:tc>
        <w:tc>
          <w:tcPr>
            <w:tcW w:w="770" w:type="dxa"/>
            <w:gridSpan w:val="2"/>
            <w:vAlign w:val="center"/>
          </w:tcPr>
          <w:p w14:paraId="7341E29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1,231</w:t>
            </w:r>
          </w:p>
        </w:tc>
        <w:tc>
          <w:tcPr>
            <w:tcW w:w="868" w:type="dxa"/>
            <w:vAlign w:val="center"/>
          </w:tcPr>
          <w:p w14:paraId="419DBD4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0,425</w:t>
            </w:r>
          </w:p>
        </w:tc>
        <w:tc>
          <w:tcPr>
            <w:tcW w:w="657" w:type="dxa"/>
            <w:gridSpan w:val="2"/>
            <w:vAlign w:val="center"/>
          </w:tcPr>
          <w:p w14:paraId="5B73162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70" w:type="dxa"/>
            <w:vAlign w:val="center"/>
          </w:tcPr>
          <w:p w14:paraId="692582F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1,265</w:t>
            </w:r>
          </w:p>
        </w:tc>
        <w:tc>
          <w:tcPr>
            <w:tcW w:w="924" w:type="dxa"/>
            <w:gridSpan w:val="2"/>
            <w:vAlign w:val="center"/>
          </w:tcPr>
          <w:p w14:paraId="5F1E7C1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0,125</w:t>
            </w:r>
          </w:p>
        </w:tc>
        <w:tc>
          <w:tcPr>
            <w:tcW w:w="1022" w:type="dxa"/>
            <w:vAlign w:val="center"/>
          </w:tcPr>
          <w:p w14:paraId="2F8CA02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0,952</w:t>
            </w:r>
          </w:p>
        </w:tc>
        <w:tc>
          <w:tcPr>
            <w:tcW w:w="1050" w:type="dxa"/>
            <w:vAlign w:val="center"/>
          </w:tcPr>
          <w:p w14:paraId="40E8F1C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1,629</w:t>
            </w:r>
          </w:p>
        </w:tc>
      </w:tr>
      <w:tr w:rsidR="00A9409C" w:rsidRPr="00145B66" w14:paraId="3BF3E23D" w14:textId="77777777" w:rsidTr="00094F6F">
        <w:trPr>
          <w:trHeight w:val="340"/>
          <w:jc w:val="center"/>
        </w:trPr>
        <w:tc>
          <w:tcPr>
            <w:tcW w:w="2547" w:type="dxa"/>
          </w:tcPr>
          <w:p w14:paraId="0DCA4C17" w14:textId="77777777" w:rsidR="00A9409C" w:rsidRPr="00AE34E8" w:rsidRDefault="00A9409C" w:rsidP="00094F6F">
            <w:pPr>
              <w:tabs>
                <w:tab w:val="left" w:pos="0"/>
              </w:tabs>
              <w:spacing w:after="0" w:line="240" w:lineRule="auto"/>
              <w:jc w:val="both"/>
              <w:rPr>
                <w:rFonts w:ascii="Times New Roman" w:hAnsi="Times New Roman"/>
                <w:bCs/>
                <w:i/>
                <w:iCs/>
                <w:sz w:val="24"/>
                <w:szCs w:val="24"/>
                <w:lang w:eastAsia="en-US"/>
              </w:rPr>
            </w:pPr>
            <w:r w:rsidRPr="00AE34E8">
              <w:rPr>
                <w:rFonts w:ascii="Times New Roman" w:hAnsi="Times New Roman"/>
                <w:bCs/>
                <w:i/>
                <w:iCs/>
                <w:sz w:val="24"/>
                <w:szCs w:val="24"/>
                <w:lang w:eastAsia="en-US"/>
              </w:rPr>
              <w:t xml:space="preserve">Высокая </w:t>
            </w:r>
          </w:p>
        </w:tc>
        <w:tc>
          <w:tcPr>
            <w:tcW w:w="1009" w:type="dxa"/>
            <w:gridSpan w:val="2"/>
            <w:vAlign w:val="center"/>
          </w:tcPr>
          <w:p w14:paraId="24D5BB9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1,188</w:t>
            </w:r>
          </w:p>
        </w:tc>
        <w:tc>
          <w:tcPr>
            <w:tcW w:w="770" w:type="dxa"/>
            <w:gridSpan w:val="2"/>
            <w:vAlign w:val="center"/>
          </w:tcPr>
          <w:p w14:paraId="368B44C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0,425</w:t>
            </w:r>
          </w:p>
        </w:tc>
        <w:tc>
          <w:tcPr>
            <w:tcW w:w="868" w:type="dxa"/>
            <w:vAlign w:val="center"/>
          </w:tcPr>
          <w:p w14:paraId="17DAA93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7,812</w:t>
            </w:r>
          </w:p>
        </w:tc>
        <w:tc>
          <w:tcPr>
            <w:tcW w:w="657" w:type="dxa"/>
            <w:gridSpan w:val="2"/>
            <w:vAlign w:val="center"/>
          </w:tcPr>
          <w:p w14:paraId="3A996BE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70" w:type="dxa"/>
            <w:vAlign w:val="center"/>
          </w:tcPr>
          <w:p w14:paraId="2ACE6CF8"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eastAsia="en-US"/>
              </w:rPr>
              <w:t>0,</w:t>
            </w:r>
            <w:r w:rsidRPr="00145B66">
              <w:rPr>
                <w:rFonts w:ascii="Times New Roman" w:hAnsi="Times New Roman"/>
                <w:sz w:val="24"/>
                <w:szCs w:val="24"/>
                <w:lang w:val="en-US" w:eastAsia="en-US"/>
              </w:rPr>
              <w:t>126</w:t>
            </w:r>
          </w:p>
        </w:tc>
        <w:tc>
          <w:tcPr>
            <w:tcW w:w="924" w:type="dxa"/>
            <w:gridSpan w:val="2"/>
            <w:vAlign w:val="center"/>
          </w:tcPr>
          <w:p w14:paraId="4C3721F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0,305</w:t>
            </w:r>
          </w:p>
        </w:tc>
        <w:tc>
          <w:tcPr>
            <w:tcW w:w="1022" w:type="dxa"/>
            <w:vAlign w:val="center"/>
          </w:tcPr>
          <w:p w14:paraId="7A1EB93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0,132</w:t>
            </w:r>
          </w:p>
        </w:tc>
        <w:tc>
          <w:tcPr>
            <w:tcW w:w="1050" w:type="dxa"/>
            <w:vAlign w:val="center"/>
          </w:tcPr>
          <w:p w14:paraId="07B4BE4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0,701</w:t>
            </w:r>
          </w:p>
        </w:tc>
      </w:tr>
      <w:tr w:rsidR="00A9409C" w:rsidRPr="00145B66" w14:paraId="71658894" w14:textId="77777777" w:rsidTr="00094F6F">
        <w:trPr>
          <w:trHeight w:val="340"/>
          <w:jc w:val="center"/>
        </w:trPr>
        <w:tc>
          <w:tcPr>
            <w:tcW w:w="9617" w:type="dxa"/>
            <w:gridSpan w:val="13"/>
          </w:tcPr>
          <w:p w14:paraId="163B0618"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Локализация рака</w:t>
            </w:r>
          </w:p>
        </w:tc>
      </w:tr>
      <w:tr w:rsidR="00A9409C" w:rsidRPr="00145B66" w14:paraId="187E7C11" w14:textId="77777777" w:rsidTr="00094F6F">
        <w:trPr>
          <w:trHeight w:val="340"/>
          <w:jc w:val="center"/>
        </w:trPr>
        <w:tc>
          <w:tcPr>
            <w:tcW w:w="2547" w:type="dxa"/>
          </w:tcPr>
          <w:p w14:paraId="5F358901" w14:textId="77777777" w:rsidR="00A9409C" w:rsidRPr="00AE34E8" w:rsidRDefault="00A9409C" w:rsidP="00094F6F">
            <w:pPr>
              <w:tabs>
                <w:tab w:val="left" w:pos="0"/>
              </w:tabs>
              <w:spacing w:after="0" w:line="240" w:lineRule="auto"/>
              <w:jc w:val="both"/>
              <w:rPr>
                <w:rFonts w:ascii="Times New Roman" w:hAnsi="Times New Roman"/>
                <w:bCs/>
                <w:i/>
                <w:iCs/>
                <w:sz w:val="24"/>
                <w:szCs w:val="24"/>
                <w:lang w:eastAsia="en-US"/>
              </w:rPr>
            </w:pPr>
            <w:r w:rsidRPr="00AE34E8">
              <w:rPr>
                <w:rFonts w:ascii="Times New Roman" w:hAnsi="Times New Roman"/>
                <w:bCs/>
                <w:i/>
                <w:iCs/>
                <w:sz w:val="24"/>
                <w:szCs w:val="24"/>
                <w:lang w:eastAsia="en-US"/>
              </w:rPr>
              <w:t>Восходящая ободочная кишка</w:t>
            </w:r>
          </w:p>
        </w:tc>
        <w:tc>
          <w:tcPr>
            <w:tcW w:w="1009" w:type="dxa"/>
            <w:gridSpan w:val="2"/>
            <w:vAlign w:val="center"/>
          </w:tcPr>
          <w:p w14:paraId="23D5D34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-0,293</w:t>
            </w:r>
          </w:p>
        </w:tc>
        <w:tc>
          <w:tcPr>
            <w:tcW w:w="770" w:type="dxa"/>
            <w:gridSpan w:val="2"/>
            <w:vAlign w:val="center"/>
          </w:tcPr>
          <w:p w14:paraId="5D17953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0,403</w:t>
            </w:r>
          </w:p>
        </w:tc>
        <w:tc>
          <w:tcPr>
            <w:tcW w:w="882" w:type="dxa"/>
            <w:gridSpan w:val="2"/>
            <w:vAlign w:val="center"/>
          </w:tcPr>
          <w:p w14:paraId="6CC58A2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0,528</w:t>
            </w:r>
          </w:p>
        </w:tc>
        <w:tc>
          <w:tcPr>
            <w:tcW w:w="643" w:type="dxa"/>
            <w:vAlign w:val="center"/>
          </w:tcPr>
          <w:p w14:paraId="71519BB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70" w:type="dxa"/>
            <w:vAlign w:val="center"/>
          </w:tcPr>
          <w:p w14:paraId="62D0638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0,468</w:t>
            </w:r>
          </w:p>
        </w:tc>
        <w:tc>
          <w:tcPr>
            <w:tcW w:w="924" w:type="dxa"/>
            <w:gridSpan w:val="2"/>
            <w:vAlign w:val="center"/>
          </w:tcPr>
          <w:p w14:paraId="6F86D8A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0,746</w:t>
            </w:r>
          </w:p>
        </w:tc>
        <w:tc>
          <w:tcPr>
            <w:tcW w:w="1022" w:type="dxa"/>
            <w:vAlign w:val="center"/>
          </w:tcPr>
          <w:p w14:paraId="2331873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0,339</w:t>
            </w:r>
          </w:p>
        </w:tc>
        <w:tc>
          <w:tcPr>
            <w:tcW w:w="1050" w:type="dxa"/>
            <w:vAlign w:val="center"/>
          </w:tcPr>
          <w:p w14:paraId="3E1DCE4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1,644</w:t>
            </w:r>
          </w:p>
        </w:tc>
      </w:tr>
      <w:tr w:rsidR="00A9409C" w:rsidRPr="00145B66" w14:paraId="2F60179D" w14:textId="77777777" w:rsidTr="00094F6F">
        <w:trPr>
          <w:trHeight w:val="340"/>
          <w:jc w:val="center"/>
        </w:trPr>
        <w:tc>
          <w:tcPr>
            <w:tcW w:w="2547" w:type="dxa"/>
          </w:tcPr>
          <w:p w14:paraId="476A5398" w14:textId="77777777" w:rsidR="00A9409C" w:rsidRPr="00AE34E8" w:rsidRDefault="00A9409C" w:rsidP="00094F6F">
            <w:pPr>
              <w:tabs>
                <w:tab w:val="left" w:pos="0"/>
              </w:tabs>
              <w:spacing w:after="0" w:line="240" w:lineRule="auto"/>
              <w:jc w:val="both"/>
              <w:rPr>
                <w:rFonts w:ascii="Times New Roman" w:hAnsi="Times New Roman"/>
                <w:bCs/>
                <w:i/>
                <w:iCs/>
                <w:sz w:val="24"/>
                <w:szCs w:val="24"/>
                <w:lang w:eastAsia="en-US"/>
              </w:rPr>
            </w:pPr>
            <w:r w:rsidRPr="00AE34E8">
              <w:rPr>
                <w:rFonts w:ascii="Times New Roman" w:hAnsi="Times New Roman"/>
                <w:bCs/>
                <w:i/>
                <w:iCs/>
                <w:sz w:val="24"/>
                <w:szCs w:val="24"/>
                <w:lang w:eastAsia="en-US"/>
              </w:rPr>
              <w:t>Поперечно-ободочная кишка</w:t>
            </w:r>
          </w:p>
        </w:tc>
        <w:tc>
          <w:tcPr>
            <w:tcW w:w="1009" w:type="dxa"/>
            <w:gridSpan w:val="2"/>
            <w:vAlign w:val="center"/>
          </w:tcPr>
          <w:p w14:paraId="5515C9A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-0,149</w:t>
            </w:r>
          </w:p>
        </w:tc>
        <w:tc>
          <w:tcPr>
            <w:tcW w:w="770" w:type="dxa"/>
            <w:gridSpan w:val="2"/>
            <w:vAlign w:val="center"/>
          </w:tcPr>
          <w:p w14:paraId="3FE5166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0,544</w:t>
            </w:r>
          </w:p>
        </w:tc>
        <w:tc>
          <w:tcPr>
            <w:tcW w:w="882" w:type="dxa"/>
            <w:gridSpan w:val="2"/>
            <w:vAlign w:val="center"/>
          </w:tcPr>
          <w:p w14:paraId="5299635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0,751</w:t>
            </w:r>
          </w:p>
        </w:tc>
        <w:tc>
          <w:tcPr>
            <w:tcW w:w="643" w:type="dxa"/>
            <w:vAlign w:val="center"/>
          </w:tcPr>
          <w:p w14:paraId="6185702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70" w:type="dxa"/>
            <w:vAlign w:val="center"/>
          </w:tcPr>
          <w:p w14:paraId="572C56B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0,784</w:t>
            </w:r>
          </w:p>
        </w:tc>
        <w:tc>
          <w:tcPr>
            <w:tcW w:w="924" w:type="dxa"/>
            <w:gridSpan w:val="2"/>
            <w:vAlign w:val="center"/>
          </w:tcPr>
          <w:p w14:paraId="5B06ABE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0,861</w:t>
            </w:r>
          </w:p>
        </w:tc>
        <w:tc>
          <w:tcPr>
            <w:tcW w:w="1022" w:type="dxa"/>
            <w:vAlign w:val="center"/>
          </w:tcPr>
          <w:p w14:paraId="29FE84F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0,297</w:t>
            </w:r>
          </w:p>
        </w:tc>
        <w:tc>
          <w:tcPr>
            <w:tcW w:w="1050" w:type="dxa"/>
            <w:vAlign w:val="center"/>
          </w:tcPr>
          <w:p w14:paraId="243F670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2,5</w:t>
            </w:r>
          </w:p>
        </w:tc>
      </w:tr>
      <w:tr w:rsidR="00A9409C" w:rsidRPr="00145B66" w14:paraId="08EFA24D" w14:textId="77777777" w:rsidTr="00094F6F">
        <w:trPr>
          <w:trHeight w:val="340"/>
          <w:jc w:val="center"/>
        </w:trPr>
        <w:tc>
          <w:tcPr>
            <w:tcW w:w="2547" w:type="dxa"/>
            <w:hideMark/>
          </w:tcPr>
          <w:p w14:paraId="1476B1FD" w14:textId="77777777" w:rsidR="00A9409C" w:rsidRPr="00AE34E8" w:rsidRDefault="00A9409C" w:rsidP="00094F6F">
            <w:pPr>
              <w:tabs>
                <w:tab w:val="left" w:pos="0"/>
              </w:tabs>
              <w:spacing w:after="0" w:line="240" w:lineRule="auto"/>
              <w:jc w:val="both"/>
              <w:rPr>
                <w:rFonts w:ascii="Times New Roman" w:hAnsi="Times New Roman"/>
                <w:i/>
                <w:iCs/>
                <w:sz w:val="24"/>
                <w:szCs w:val="24"/>
                <w:lang w:eastAsia="en-US"/>
              </w:rPr>
            </w:pPr>
            <w:r w:rsidRPr="00AE34E8">
              <w:rPr>
                <w:rFonts w:ascii="Times New Roman" w:hAnsi="Times New Roman"/>
                <w:i/>
                <w:iCs/>
                <w:sz w:val="24"/>
                <w:szCs w:val="24"/>
                <w:lang w:eastAsia="en-US"/>
              </w:rPr>
              <w:t>Нисходящая ободочная кишка</w:t>
            </w:r>
          </w:p>
        </w:tc>
        <w:tc>
          <w:tcPr>
            <w:tcW w:w="1009" w:type="dxa"/>
            <w:gridSpan w:val="2"/>
            <w:vAlign w:val="center"/>
          </w:tcPr>
          <w:p w14:paraId="2896E31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0,742</w:t>
            </w:r>
          </w:p>
        </w:tc>
        <w:tc>
          <w:tcPr>
            <w:tcW w:w="770" w:type="dxa"/>
            <w:gridSpan w:val="2"/>
            <w:vAlign w:val="center"/>
          </w:tcPr>
          <w:p w14:paraId="3F93D62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0,412</w:t>
            </w:r>
          </w:p>
        </w:tc>
        <w:tc>
          <w:tcPr>
            <w:tcW w:w="882" w:type="dxa"/>
            <w:gridSpan w:val="2"/>
            <w:vAlign w:val="center"/>
          </w:tcPr>
          <w:p w14:paraId="258C8C3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3,242</w:t>
            </w:r>
          </w:p>
        </w:tc>
        <w:tc>
          <w:tcPr>
            <w:tcW w:w="643" w:type="dxa"/>
            <w:vAlign w:val="center"/>
          </w:tcPr>
          <w:p w14:paraId="1BEBC3D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70" w:type="dxa"/>
            <w:vAlign w:val="center"/>
          </w:tcPr>
          <w:p w14:paraId="3EC5E3B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0,072</w:t>
            </w:r>
          </w:p>
        </w:tc>
        <w:tc>
          <w:tcPr>
            <w:tcW w:w="924" w:type="dxa"/>
            <w:gridSpan w:val="2"/>
            <w:vAlign w:val="center"/>
          </w:tcPr>
          <w:p w14:paraId="48BE4CB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2,1</w:t>
            </w:r>
          </w:p>
        </w:tc>
        <w:tc>
          <w:tcPr>
            <w:tcW w:w="1022" w:type="dxa"/>
            <w:vAlign w:val="center"/>
          </w:tcPr>
          <w:p w14:paraId="47928CE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0,936</w:t>
            </w:r>
          </w:p>
        </w:tc>
        <w:tc>
          <w:tcPr>
            <w:tcW w:w="1050" w:type="dxa"/>
            <w:vAlign w:val="center"/>
          </w:tcPr>
          <w:p w14:paraId="5C356EF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4,71</w:t>
            </w:r>
          </w:p>
        </w:tc>
      </w:tr>
      <w:tr w:rsidR="00A9409C" w:rsidRPr="00145B66" w14:paraId="307FE7AA" w14:textId="77777777" w:rsidTr="00094F6F">
        <w:trPr>
          <w:trHeight w:val="340"/>
          <w:jc w:val="center"/>
        </w:trPr>
        <w:tc>
          <w:tcPr>
            <w:tcW w:w="2547" w:type="dxa"/>
            <w:hideMark/>
          </w:tcPr>
          <w:p w14:paraId="6C3214E6" w14:textId="77777777" w:rsidR="00A9409C" w:rsidRPr="00AE34E8" w:rsidRDefault="00A9409C" w:rsidP="00094F6F">
            <w:pPr>
              <w:tabs>
                <w:tab w:val="left" w:pos="0"/>
              </w:tabs>
              <w:spacing w:after="0" w:line="240" w:lineRule="auto"/>
              <w:jc w:val="both"/>
              <w:rPr>
                <w:rFonts w:ascii="Times New Roman" w:hAnsi="Times New Roman"/>
                <w:i/>
                <w:iCs/>
                <w:sz w:val="24"/>
                <w:szCs w:val="24"/>
                <w:lang w:eastAsia="en-US"/>
              </w:rPr>
            </w:pPr>
            <w:r w:rsidRPr="00AE34E8">
              <w:rPr>
                <w:rFonts w:ascii="Times New Roman" w:hAnsi="Times New Roman"/>
                <w:i/>
                <w:iCs/>
                <w:sz w:val="24"/>
                <w:szCs w:val="24"/>
                <w:lang w:eastAsia="en-US"/>
              </w:rPr>
              <w:t>Сигмовидная кишка</w:t>
            </w:r>
          </w:p>
        </w:tc>
        <w:tc>
          <w:tcPr>
            <w:tcW w:w="1009" w:type="dxa"/>
            <w:gridSpan w:val="2"/>
            <w:vAlign w:val="center"/>
          </w:tcPr>
          <w:p w14:paraId="5858ACD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w:t>
            </w:r>
            <w:r>
              <w:rPr>
                <w:rFonts w:ascii="Times New Roman" w:hAnsi="Times New Roman"/>
                <w:sz w:val="24"/>
                <w:szCs w:val="24"/>
                <w:lang w:eastAsia="en-US"/>
              </w:rPr>
              <w:t>,</w:t>
            </w:r>
            <w:r w:rsidRPr="00145B66">
              <w:rPr>
                <w:rFonts w:ascii="Times New Roman" w:hAnsi="Times New Roman"/>
                <w:sz w:val="24"/>
                <w:szCs w:val="24"/>
                <w:lang w:eastAsia="en-US"/>
              </w:rPr>
              <w:t>515</w:t>
            </w:r>
          </w:p>
        </w:tc>
        <w:tc>
          <w:tcPr>
            <w:tcW w:w="770" w:type="dxa"/>
            <w:gridSpan w:val="2"/>
            <w:vAlign w:val="center"/>
          </w:tcPr>
          <w:p w14:paraId="5CEBCCE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0,614</w:t>
            </w:r>
          </w:p>
        </w:tc>
        <w:tc>
          <w:tcPr>
            <w:tcW w:w="882" w:type="dxa"/>
            <w:gridSpan w:val="2"/>
            <w:vAlign w:val="center"/>
          </w:tcPr>
          <w:p w14:paraId="5D1FE1F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0,704</w:t>
            </w:r>
          </w:p>
        </w:tc>
        <w:tc>
          <w:tcPr>
            <w:tcW w:w="643" w:type="dxa"/>
            <w:vAlign w:val="center"/>
          </w:tcPr>
          <w:p w14:paraId="2B2C1E0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70" w:type="dxa"/>
            <w:vAlign w:val="center"/>
          </w:tcPr>
          <w:p w14:paraId="56893BA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0,401</w:t>
            </w:r>
          </w:p>
        </w:tc>
        <w:tc>
          <w:tcPr>
            <w:tcW w:w="924" w:type="dxa"/>
            <w:gridSpan w:val="2"/>
            <w:vAlign w:val="center"/>
          </w:tcPr>
          <w:p w14:paraId="69C23D3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0,597</w:t>
            </w:r>
          </w:p>
        </w:tc>
        <w:tc>
          <w:tcPr>
            <w:tcW w:w="1022" w:type="dxa"/>
            <w:vAlign w:val="center"/>
          </w:tcPr>
          <w:p w14:paraId="5BB39F7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0,179</w:t>
            </w:r>
          </w:p>
        </w:tc>
        <w:tc>
          <w:tcPr>
            <w:tcW w:w="1050" w:type="dxa"/>
            <w:vAlign w:val="center"/>
          </w:tcPr>
          <w:p w14:paraId="14F906A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1,990</w:t>
            </w:r>
          </w:p>
        </w:tc>
      </w:tr>
      <w:tr w:rsidR="00A9409C" w:rsidRPr="00145B66" w14:paraId="03874330" w14:textId="77777777" w:rsidTr="00094F6F">
        <w:trPr>
          <w:trHeight w:val="340"/>
          <w:jc w:val="center"/>
        </w:trPr>
        <w:tc>
          <w:tcPr>
            <w:tcW w:w="9617" w:type="dxa"/>
            <w:gridSpan w:val="13"/>
          </w:tcPr>
          <w:p w14:paraId="35E73FCC"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Вид операции</w:t>
            </w:r>
          </w:p>
        </w:tc>
      </w:tr>
      <w:tr w:rsidR="00A9409C" w:rsidRPr="00145B66" w14:paraId="41AE3DFE" w14:textId="77777777" w:rsidTr="00094F6F">
        <w:trPr>
          <w:trHeight w:val="340"/>
          <w:jc w:val="center"/>
        </w:trPr>
        <w:tc>
          <w:tcPr>
            <w:tcW w:w="2547" w:type="dxa"/>
          </w:tcPr>
          <w:p w14:paraId="77294640" w14:textId="77777777" w:rsidR="00A9409C" w:rsidRPr="00AE34E8" w:rsidRDefault="00A9409C" w:rsidP="00094F6F">
            <w:pPr>
              <w:tabs>
                <w:tab w:val="left" w:pos="0"/>
              </w:tabs>
              <w:spacing w:after="0" w:line="240" w:lineRule="auto"/>
              <w:rPr>
                <w:rFonts w:ascii="Times New Roman" w:hAnsi="Times New Roman"/>
                <w:i/>
                <w:iCs/>
                <w:sz w:val="24"/>
                <w:szCs w:val="24"/>
                <w:lang w:eastAsia="en-US"/>
              </w:rPr>
            </w:pPr>
            <w:r w:rsidRPr="00AE34E8">
              <w:rPr>
                <w:rFonts w:ascii="Times New Roman" w:hAnsi="Times New Roman"/>
                <w:i/>
                <w:iCs/>
                <w:sz w:val="24"/>
                <w:szCs w:val="24"/>
                <w:lang w:eastAsia="en-US"/>
              </w:rPr>
              <w:t>Правосторонняя гемиколэктомия</w:t>
            </w:r>
          </w:p>
        </w:tc>
        <w:tc>
          <w:tcPr>
            <w:tcW w:w="1009" w:type="dxa"/>
            <w:gridSpan w:val="2"/>
            <w:vAlign w:val="center"/>
          </w:tcPr>
          <w:p w14:paraId="0578FFD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0,293</w:t>
            </w:r>
          </w:p>
        </w:tc>
        <w:tc>
          <w:tcPr>
            <w:tcW w:w="770" w:type="dxa"/>
            <w:gridSpan w:val="2"/>
            <w:vAlign w:val="center"/>
          </w:tcPr>
          <w:p w14:paraId="0DFB6E8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0,403</w:t>
            </w:r>
          </w:p>
        </w:tc>
        <w:tc>
          <w:tcPr>
            <w:tcW w:w="882" w:type="dxa"/>
            <w:gridSpan w:val="2"/>
            <w:vAlign w:val="center"/>
          </w:tcPr>
          <w:p w14:paraId="01CB732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0,528</w:t>
            </w:r>
          </w:p>
        </w:tc>
        <w:tc>
          <w:tcPr>
            <w:tcW w:w="643" w:type="dxa"/>
            <w:vAlign w:val="center"/>
          </w:tcPr>
          <w:p w14:paraId="750D77A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84" w:type="dxa"/>
            <w:gridSpan w:val="2"/>
            <w:vAlign w:val="center"/>
          </w:tcPr>
          <w:p w14:paraId="20B455B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0,468</w:t>
            </w:r>
          </w:p>
        </w:tc>
        <w:tc>
          <w:tcPr>
            <w:tcW w:w="910" w:type="dxa"/>
            <w:vAlign w:val="center"/>
          </w:tcPr>
          <w:p w14:paraId="4149AE7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0,746</w:t>
            </w:r>
          </w:p>
        </w:tc>
        <w:tc>
          <w:tcPr>
            <w:tcW w:w="1022" w:type="dxa"/>
            <w:vAlign w:val="center"/>
          </w:tcPr>
          <w:p w14:paraId="42B7DD2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0,339</w:t>
            </w:r>
          </w:p>
        </w:tc>
        <w:tc>
          <w:tcPr>
            <w:tcW w:w="1050" w:type="dxa"/>
            <w:vAlign w:val="center"/>
          </w:tcPr>
          <w:p w14:paraId="22AC290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1,644</w:t>
            </w:r>
          </w:p>
        </w:tc>
      </w:tr>
      <w:tr w:rsidR="00A9409C" w:rsidRPr="00145B66" w14:paraId="1BAE49DA" w14:textId="77777777" w:rsidTr="00094F6F">
        <w:trPr>
          <w:trHeight w:val="340"/>
          <w:jc w:val="center"/>
        </w:trPr>
        <w:tc>
          <w:tcPr>
            <w:tcW w:w="2547" w:type="dxa"/>
          </w:tcPr>
          <w:p w14:paraId="548D144F" w14:textId="77777777" w:rsidR="00A9409C" w:rsidRPr="00AE34E8" w:rsidRDefault="00A9409C" w:rsidP="00094F6F">
            <w:pPr>
              <w:tabs>
                <w:tab w:val="left" w:pos="0"/>
              </w:tabs>
              <w:spacing w:after="0" w:line="240" w:lineRule="auto"/>
              <w:rPr>
                <w:rFonts w:ascii="Times New Roman" w:hAnsi="Times New Roman"/>
                <w:i/>
                <w:iCs/>
                <w:sz w:val="24"/>
                <w:szCs w:val="24"/>
                <w:lang w:eastAsia="en-US"/>
              </w:rPr>
            </w:pPr>
            <w:r w:rsidRPr="00AE34E8">
              <w:rPr>
                <w:rFonts w:ascii="Times New Roman" w:hAnsi="Times New Roman"/>
                <w:i/>
                <w:iCs/>
                <w:sz w:val="24"/>
                <w:szCs w:val="24"/>
                <w:lang w:eastAsia="en-US"/>
              </w:rPr>
              <w:t>Резекция поперечно-ободочной кишки</w:t>
            </w:r>
          </w:p>
        </w:tc>
        <w:tc>
          <w:tcPr>
            <w:tcW w:w="1009" w:type="dxa"/>
            <w:gridSpan w:val="2"/>
            <w:vAlign w:val="center"/>
          </w:tcPr>
          <w:p w14:paraId="43510F2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0,149</w:t>
            </w:r>
          </w:p>
        </w:tc>
        <w:tc>
          <w:tcPr>
            <w:tcW w:w="770" w:type="dxa"/>
            <w:gridSpan w:val="2"/>
            <w:vAlign w:val="center"/>
          </w:tcPr>
          <w:p w14:paraId="17BE95E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0,544</w:t>
            </w:r>
          </w:p>
        </w:tc>
        <w:tc>
          <w:tcPr>
            <w:tcW w:w="882" w:type="dxa"/>
            <w:gridSpan w:val="2"/>
            <w:vAlign w:val="center"/>
          </w:tcPr>
          <w:p w14:paraId="0589466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0,751</w:t>
            </w:r>
          </w:p>
        </w:tc>
        <w:tc>
          <w:tcPr>
            <w:tcW w:w="643" w:type="dxa"/>
            <w:vAlign w:val="center"/>
          </w:tcPr>
          <w:p w14:paraId="7E5F0A4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84" w:type="dxa"/>
            <w:gridSpan w:val="2"/>
            <w:vAlign w:val="center"/>
          </w:tcPr>
          <w:p w14:paraId="1F1A215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0,784</w:t>
            </w:r>
          </w:p>
        </w:tc>
        <w:tc>
          <w:tcPr>
            <w:tcW w:w="910" w:type="dxa"/>
            <w:vAlign w:val="center"/>
          </w:tcPr>
          <w:p w14:paraId="487E78B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0,861</w:t>
            </w:r>
          </w:p>
        </w:tc>
        <w:tc>
          <w:tcPr>
            <w:tcW w:w="1022" w:type="dxa"/>
            <w:vAlign w:val="center"/>
          </w:tcPr>
          <w:p w14:paraId="36E9404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0,297</w:t>
            </w:r>
          </w:p>
        </w:tc>
        <w:tc>
          <w:tcPr>
            <w:tcW w:w="1050" w:type="dxa"/>
            <w:vAlign w:val="center"/>
          </w:tcPr>
          <w:p w14:paraId="2D547236"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eastAsia="en-US"/>
              </w:rPr>
              <w:t>2,5</w:t>
            </w:r>
            <w:r w:rsidRPr="00145B66">
              <w:rPr>
                <w:rFonts w:ascii="Times New Roman" w:hAnsi="Times New Roman"/>
                <w:sz w:val="24"/>
                <w:szCs w:val="24"/>
                <w:lang w:val="en-US" w:eastAsia="en-US"/>
              </w:rPr>
              <w:t>12</w:t>
            </w:r>
          </w:p>
        </w:tc>
      </w:tr>
      <w:tr w:rsidR="00A9409C" w:rsidRPr="00145B66" w14:paraId="363F0FC5" w14:textId="77777777" w:rsidTr="00094F6F">
        <w:trPr>
          <w:trHeight w:val="340"/>
          <w:jc w:val="center"/>
        </w:trPr>
        <w:tc>
          <w:tcPr>
            <w:tcW w:w="2547" w:type="dxa"/>
            <w:hideMark/>
          </w:tcPr>
          <w:p w14:paraId="0853E792" w14:textId="77777777" w:rsidR="00A9409C" w:rsidRPr="00AE34E8" w:rsidRDefault="00A9409C" w:rsidP="00094F6F">
            <w:pPr>
              <w:tabs>
                <w:tab w:val="left" w:pos="0"/>
              </w:tabs>
              <w:spacing w:after="0" w:line="240" w:lineRule="auto"/>
              <w:rPr>
                <w:rFonts w:ascii="Times New Roman" w:hAnsi="Times New Roman"/>
                <w:i/>
                <w:iCs/>
                <w:sz w:val="24"/>
                <w:szCs w:val="24"/>
                <w:lang w:eastAsia="en-US"/>
              </w:rPr>
            </w:pPr>
            <w:r w:rsidRPr="00AE34E8">
              <w:rPr>
                <w:rFonts w:ascii="Times New Roman" w:hAnsi="Times New Roman"/>
                <w:i/>
                <w:iCs/>
                <w:sz w:val="24"/>
                <w:szCs w:val="24"/>
                <w:lang w:eastAsia="en-US"/>
              </w:rPr>
              <w:t>Левосторонняя гемиколэктомия</w:t>
            </w:r>
          </w:p>
        </w:tc>
        <w:tc>
          <w:tcPr>
            <w:tcW w:w="1009" w:type="dxa"/>
            <w:gridSpan w:val="2"/>
            <w:vAlign w:val="center"/>
          </w:tcPr>
          <w:p w14:paraId="15E7886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0,316</w:t>
            </w:r>
          </w:p>
        </w:tc>
        <w:tc>
          <w:tcPr>
            <w:tcW w:w="770" w:type="dxa"/>
            <w:gridSpan w:val="2"/>
            <w:vAlign w:val="center"/>
          </w:tcPr>
          <w:p w14:paraId="6E69CD3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0,425</w:t>
            </w:r>
          </w:p>
        </w:tc>
        <w:tc>
          <w:tcPr>
            <w:tcW w:w="882" w:type="dxa"/>
            <w:gridSpan w:val="2"/>
            <w:vAlign w:val="center"/>
          </w:tcPr>
          <w:p w14:paraId="6BF3588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0,553</w:t>
            </w:r>
          </w:p>
        </w:tc>
        <w:tc>
          <w:tcPr>
            <w:tcW w:w="643" w:type="dxa"/>
            <w:vAlign w:val="center"/>
          </w:tcPr>
          <w:p w14:paraId="7197214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84" w:type="dxa"/>
            <w:gridSpan w:val="2"/>
            <w:vAlign w:val="center"/>
          </w:tcPr>
          <w:p w14:paraId="4DE5A27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0,457</w:t>
            </w:r>
          </w:p>
        </w:tc>
        <w:tc>
          <w:tcPr>
            <w:tcW w:w="910" w:type="dxa"/>
            <w:vAlign w:val="center"/>
          </w:tcPr>
          <w:p w14:paraId="7D95EC0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0,37</w:t>
            </w:r>
          </w:p>
        </w:tc>
        <w:tc>
          <w:tcPr>
            <w:tcW w:w="1022" w:type="dxa"/>
            <w:vAlign w:val="center"/>
          </w:tcPr>
          <w:p w14:paraId="7B8C584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0,596</w:t>
            </w:r>
          </w:p>
        </w:tc>
        <w:tc>
          <w:tcPr>
            <w:tcW w:w="1050" w:type="dxa"/>
            <w:vAlign w:val="center"/>
          </w:tcPr>
          <w:p w14:paraId="52237B5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3,154</w:t>
            </w:r>
          </w:p>
        </w:tc>
      </w:tr>
      <w:tr w:rsidR="00A9409C" w:rsidRPr="00145B66" w14:paraId="1A395111" w14:textId="77777777" w:rsidTr="00094F6F">
        <w:trPr>
          <w:trHeight w:val="340"/>
          <w:jc w:val="center"/>
        </w:trPr>
        <w:tc>
          <w:tcPr>
            <w:tcW w:w="9617" w:type="dxa"/>
            <w:gridSpan w:val="13"/>
          </w:tcPr>
          <w:p w14:paraId="2C4CD2A2"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Вид осложнений</w:t>
            </w:r>
          </w:p>
        </w:tc>
      </w:tr>
      <w:tr w:rsidR="00A9409C" w:rsidRPr="00145B66" w14:paraId="7C81FC1D" w14:textId="77777777" w:rsidTr="00094F6F">
        <w:trPr>
          <w:trHeight w:val="340"/>
          <w:jc w:val="center"/>
        </w:trPr>
        <w:tc>
          <w:tcPr>
            <w:tcW w:w="2547" w:type="dxa"/>
          </w:tcPr>
          <w:p w14:paraId="23E7C634" w14:textId="77777777" w:rsidR="00A9409C" w:rsidRPr="00145B66" w:rsidRDefault="00A9409C" w:rsidP="00094F6F">
            <w:pPr>
              <w:tabs>
                <w:tab w:val="left" w:pos="0"/>
              </w:tabs>
              <w:spacing w:after="0" w:line="240" w:lineRule="auto"/>
              <w:jc w:val="both"/>
              <w:rPr>
                <w:rFonts w:ascii="Times New Roman" w:hAnsi="Times New Roman"/>
                <w:bCs/>
                <w:sz w:val="24"/>
                <w:szCs w:val="24"/>
                <w:lang w:eastAsia="en-US"/>
              </w:rPr>
            </w:pPr>
            <w:r w:rsidRPr="00145B66">
              <w:rPr>
                <w:rFonts w:ascii="Times New Roman" w:hAnsi="Times New Roman"/>
                <w:bCs/>
                <w:sz w:val="24"/>
                <w:szCs w:val="24"/>
                <w:lang w:eastAsia="en-US"/>
              </w:rPr>
              <w:t>Хирургические осложнения</w:t>
            </w:r>
          </w:p>
        </w:tc>
        <w:tc>
          <w:tcPr>
            <w:tcW w:w="995" w:type="dxa"/>
            <w:vAlign w:val="center"/>
          </w:tcPr>
          <w:p w14:paraId="0DAB883E"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1,232</w:t>
            </w:r>
          </w:p>
        </w:tc>
        <w:tc>
          <w:tcPr>
            <w:tcW w:w="784" w:type="dxa"/>
            <w:gridSpan w:val="3"/>
            <w:vAlign w:val="center"/>
          </w:tcPr>
          <w:p w14:paraId="089673B7"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0,475</w:t>
            </w:r>
          </w:p>
        </w:tc>
        <w:tc>
          <w:tcPr>
            <w:tcW w:w="882" w:type="dxa"/>
            <w:gridSpan w:val="2"/>
            <w:vAlign w:val="center"/>
          </w:tcPr>
          <w:p w14:paraId="0EE1E802"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6,736</w:t>
            </w:r>
          </w:p>
        </w:tc>
        <w:tc>
          <w:tcPr>
            <w:tcW w:w="643" w:type="dxa"/>
            <w:vAlign w:val="center"/>
          </w:tcPr>
          <w:p w14:paraId="0B8E54DE"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1</w:t>
            </w:r>
          </w:p>
        </w:tc>
        <w:tc>
          <w:tcPr>
            <w:tcW w:w="784" w:type="dxa"/>
            <w:gridSpan w:val="2"/>
            <w:vAlign w:val="center"/>
          </w:tcPr>
          <w:p w14:paraId="6E5A8EB4"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0,112</w:t>
            </w:r>
          </w:p>
        </w:tc>
        <w:tc>
          <w:tcPr>
            <w:tcW w:w="910" w:type="dxa"/>
            <w:vAlign w:val="center"/>
          </w:tcPr>
          <w:p w14:paraId="2321893A"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0,292</w:t>
            </w:r>
          </w:p>
        </w:tc>
        <w:tc>
          <w:tcPr>
            <w:tcW w:w="1022" w:type="dxa"/>
            <w:vAlign w:val="center"/>
          </w:tcPr>
          <w:p w14:paraId="589A3708"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0,115</w:t>
            </w:r>
          </w:p>
        </w:tc>
        <w:tc>
          <w:tcPr>
            <w:tcW w:w="1050" w:type="dxa"/>
            <w:vAlign w:val="center"/>
          </w:tcPr>
          <w:p w14:paraId="2F3E1A41"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0,740</w:t>
            </w:r>
          </w:p>
        </w:tc>
      </w:tr>
      <w:tr w:rsidR="00A9409C" w:rsidRPr="00145B66" w14:paraId="241E6453" w14:textId="77777777" w:rsidTr="00094F6F">
        <w:trPr>
          <w:trHeight w:val="340"/>
          <w:jc w:val="center"/>
        </w:trPr>
        <w:tc>
          <w:tcPr>
            <w:tcW w:w="2547" w:type="dxa"/>
          </w:tcPr>
          <w:p w14:paraId="21B1CFD6" w14:textId="77777777" w:rsidR="00A9409C" w:rsidRPr="00145B66" w:rsidRDefault="00A9409C" w:rsidP="00094F6F">
            <w:pPr>
              <w:tabs>
                <w:tab w:val="left" w:pos="0"/>
              </w:tabs>
              <w:spacing w:after="0" w:line="240" w:lineRule="auto"/>
              <w:jc w:val="both"/>
              <w:rPr>
                <w:rFonts w:ascii="Times New Roman" w:hAnsi="Times New Roman"/>
                <w:bCs/>
                <w:sz w:val="24"/>
                <w:szCs w:val="24"/>
                <w:lang w:eastAsia="en-US"/>
              </w:rPr>
            </w:pPr>
            <w:r w:rsidRPr="00145B66">
              <w:rPr>
                <w:rFonts w:ascii="Times New Roman" w:hAnsi="Times New Roman"/>
                <w:bCs/>
                <w:sz w:val="24"/>
                <w:szCs w:val="24"/>
                <w:lang w:eastAsia="en-US"/>
              </w:rPr>
              <w:t>Функциональные нарушения</w:t>
            </w:r>
          </w:p>
        </w:tc>
        <w:tc>
          <w:tcPr>
            <w:tcW w:w="995" w:type="dxa"/>
            <w:vAlign w:val="center"/>
          </w:tcPr>
          <w:p w14:paraId="3D7EFC6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1,526</w:t>
            </w:r>
          </w:p>
        </w:tc>
        <w:tc>
          <w:tcPr>
            <w:tcW w:w="784" w:type="dxa"/>
            <w:gridSpan w:val="3"/>
            <w:vAlign w:val="center"/>
          </w:tcPr>
          <w:p w14:paraId="4BA646C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0,578</w:t>
            </w:r>
          </w:p>
        </w:tc>
        <w:tc>
          <w:tcPr>
            <w:tcW w:w="882" w:type="dxa"/>
            <w:gridSpan w:val="2"/>
            <w:vAlign w:val="center"/>
          </w:tcPr>
          <w:p w14:paraId="44F5F2B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2,236</w:t>
            </w:r>
          </w:p>
        </w:tc>
        <w:tc>
          <w:tcPr>
            <w:tcW w:w="643" w:type="dxa"/>
            <w:vAlign w:val="center"/>
          </w:tcPr>
          <w:p w14:paraId="2A6D600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84" w:type="dxa"/>
            <w:gridSpan w:val="2"/>
            <w:vAlign w:val="center"/>
          </w:tcPr>
          <w:p w14:paraId="410A9915" w14:textId="77777777" w:rsidR="00A9409C" w:rsidRPr="00AE34E8" w:rsidRDefault="00A9409C" w:rsidP="00094F6F">
            <w:pPr>
              <w:tabs>
                <w:tab w:val="left" w:pos="0"/>
              </w:tabs>
              <w:spacing w:after="0" w:line="240" w:lineRule="auto"/>
              <w:jc w:val="center"/>
              <w:rPr>
                <w:rFonts w:ascii="Times New Roman" w:hAnsi="Times New Roman"/>
                <w:b/>
                <w:bCs/>
                <w:sz w:val="24"/>
                <w:szCs w:val="24"/>
                <w:lang w:eastAsia="en-US"/>
              </w:rPr>
            </w:pPr>
            <w:r w:rsidRPr="00AE34E8">
              <w:rPr>
                <w:rFonts w:ascii="Times New Roman" w:hAnsi="Times New Roman"/>
                <w:b/>
                <w:bCs/>
                <w:sz w:val="24"/>
                <w:szCs w:val="24"/>
                <w:lang w:eastAsia="en-US"/>
              </w:rPr>
              <w:t>0,011</w:t>
            </w:r>
          </w:p>
        </w:tc>
        <w:tc>
          <w:tcPr>
            <w:tcW w:w="910" w:type="dxa"/>
            <w:vAlign w:val="center"/>
          </w:tcPr>
          <w:p w14:paraId="4E9F839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1,123</w:t>
            </w:r>
          </w:p>
        </w:tc>
        <w:tc>
          <w:tcPr>
            <w:tcW w:w="1022" w:type="dxa"/>
            <w:vAlign w:val="center"/>
          </w:tcPr>
          <w:p w14:paraId="5888CE5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1,012</w:t>
            </w:r>
          </w:p>
        </w:tc>
        <w:tc>
          <w:tcPr>
            <w:tcW w:w="1050" w:type="dxa"/>
            <w:vAlign w:val="center"/>
          </w:tcPr>
          <w:p w14:paraId="1361A5B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1,205</w:t>
            </w:r>
          </w:p>
        </w:tc>
      </w:tr>
      <w:tr w:rsidR="00A9409C" w:rsidRPr="00145B66" w14:paraId="10D0C02D" w14:textId="77777777" w:rsidTr="00094F6F">
        <w:trPr>
          <w:trHeight w:val="340"/>
          <w:jc w:val="center"/>
        </w:trPr>
        <w:tc>
          <w:tcPr>
            <w:tcW w:w="2547" w:type="dxa"/>
            <w:hideMark/>
          </w:tcPr>
          <w:p w14:paraId="3CFB82A5"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Сопутствующая патология</w:t>
            </w:r>
          </w:p>
        </w:tc>
        <w:tc>
          <w:tcPr>
            <w:tcW w:w="995" w:type="dxa"/>
            <w:vAlign w:val="center"/>
            <w:hideMark/>
          </w:tcPr>
          <w:p w14:paraId="17CFBA27"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Pr>
                <w:rFonts w:ascii="Times New Roman" w:hAnsi="Times New Roman"/>
                <w:sz w:val="24"/>
                <w:szCs w:val="24"/>
                <w:lang w:eastAsia="en-US"/>
              </w:rPr>
              <w:t>−</w:t>
            </w:r>
            <w:r w:rsidRPr="00145B66">
              <w:rPr>
                <w:rFonts w:ascii="Times New Roman" w:hAnsi="Times New Roman"/>
                <w:sz w:val="24"/>
                <w:szCs w:val="24"/>
                <w:lang w:val="en-US" w:eastAsia="en-US"/>
              </w:rPr>
              <w:t>3.451</w:t>
            </w:r>
          </w:p>
        </w:tc>
        <w:tc>
          <w:tcPr>
            <w:tcW w:w="784" w:type="dxa"/>
            <w:gridSpan w:val="3"/>
            <w:vAlign w:val="center"/>
            <w:hideMark/>
          </w:tcPr>
          <w:p w14:paraId="17252537"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eastAsia="en-US"/>
              </w:rPr>
              <w:t>0,</w:t>
            </w:r>
            <w:r w:rsidRPr="00145B66">
              <w:rPr>
                <w:rFonts w:ascii="Times New Roman" w:hAnsi="Times New Roman"/>
                <w:sz w:val="24"/>
                <w:szCs w:val="24"/>
                <w:lang w:val="en-US" w:eastAsia="en-US"/>
              </w:rPr>
              <w:t>341</w:t>
            </w:r>
          </w:p>
        </w:tc>
        <w:tc>
          <w:tcPr>
            <w:tcW w:w="882" w:type="dxa"/>
            <w:gridSpan w:val="2"/>
            <w:vAlign w:val="center"/>
            <w:hideMark/>
          </w:tcPr>
          <w:p w14:paraId="0711678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val="en-US" w:eastAsia="en-US"/>
              </w:rPr>
              <w:t>0</w:t>
            </w:r>
            <w:r w:rsidRPr="00145B66">
              <w:rPr>
                <w:rFonts w:ascii="Times New Roman" w:hAnsi="Times New Roman"/>
                <w:sz w:val="24"/>
                <w:szCs w:val="24"/>
                <w:lang w:eastAsia="en-US"/>
              </w:rPr>
              <w:t>,421</w:t>
            </w:r>
          </w:p>
        </w:tc>
        <w:tc>
          <w:tcPr>
            <w:tcW w:w="643" w:type="dxa"/>
            <w:vAlign w:val="center"/>
            <w:hideMark/>
          </w:tcPr>
          <w:p w14:paraId="41BE6B6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84" w:type="dxa"/>
            <w:gridSpan w:val="2"/>
            <w:vAlign w:val="center"/>
            <w:hideMark/>
          </w:tcPr>
          <w:p w14:paraId="412A5C4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0,125</w:t>
            </w:r>
          </w:p>
        </w:tc>
        <w:tc>
          <w:tcPr>
            <w:tcW w:w="910" w:type="dxa"/>
            <w:vAlign w:val="center"/>
            <w:hideMark/>
          </w:tcPr>
          <w:p w14:paraId="1123DDA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0,844</w:t>
            </w:r>
          </w:p>
        </w:tc>
        <w:tc>
          <w:tcPr>
            <w:tcW w:w="1022" w:type="dxa"/>
            <w:vAlign w:val="center"/>
            <w:hideMark/>
          </w:tcPr>
          <w:p w14:paraId="27FBF85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0,741</w:t>
            </w:r>
          </w:p>
        </w:tc>
        <w:tc>
          <w:tcPr>
            <w:tcW w:w="1050" w:type="dxa"/>
            <w:vAlign w:val="center"/>
            <w:hideMark/>
          </w:tcPr>
          <w:p w14:paraId="0871CCF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4,345</w:t>
            </w:r>
          </w:p>
        </w:tc>
      </w:tr>
      <w:tr w:rsidR="00A9409C" w:rsidRPr="00145B66" w14:paraId="63973B37" w14:textId="77777777" w:rsidTr="00094F6F">
        <w:trPr>
          <w:trHeight w:val="340"/>
          <w:jc w:val="center"/>
        </w:trPr>
        <w:tc>
          <w:tcPr>
            <w:tcW w:w="2547" w:type="dxa"/>
            <w:hideMark/>
          </w:tcPr>
          <w:p w14:paraId="33694AC7"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Адьювантная химиотерапия</w:t>
            </w:r>
          </w:p>
        </w:tc>
        <w:tc>
          <w:tcPr>
            <w:tcW w:w="995" w:type="dxa"/>
            <w:vAlign w:val="center"/>
            <w:hideMark/>
          </w:tcPr>
          <w:p w14:paraId="6966724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2,274</w:t>
            </w:r>
          </w:p>
        </w:tc>
        <w:tc>
          <w:tcPr>
            <w:tcW w:w="784" w:type="dxa"/>
            <w:gridSpan w:val="3"/>
            <w:vAlign w:val="center"/>
            <w:hideMark/>
          </w:tcPr>
          <w:p w14:paraId="1A3A302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0,405</w:t>
            </w:r>
          </w:p>
        </w:tc>
        <w:tc>
          <w:tcPr>
            <w:tcW w:w="882" w:type="dxa"/>
            <w:gridSpan w:val="2"/>
            <w:vAlign w:val="center"/>
          </w:tcPr>
          <w:p w14:paraId="4555603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31,497</w:t>
            </w:r>
          </w:p>
        </w:tc>
        <w:tc>
          <w:tcPr>
            <w:tcW w:w="643" w:type="dxa"/>
            <w:vAlign w:val="center"/>
          </w:tcPr>
          <w:p w14:paraId="775A06D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84" w:type="dxa"/>
            <w:gridSpan w:val="2"/>
            <w:vAlign w:val="center"/>
          </w:tcPr>
          <w:p w14:paraId="53C51130" w14:textId="77777777" w:rsidR="00A9409C" w:rsidRPr="00AE34E8" w:rsidRDefault="00A9409C" w:rsidP="00094F6F">
            <w:pPr>
              <w:tabs>
                <w:tab w:val="left" w:pos="0"/>
              </w:tabs>
              <w:spacing w:after="0" w:line="240" w:lineRule="auto"/>
              <w:jc w:val="center"/>
              <w:rPr>
                <w:rFonts w:ascii="Times New Roman" w:hAnsi="Times New Roman"/>
                <w:b/>
                <w:bCs/>
                <w:sz w:val="24"/>
                <w:szCs w:val="24"/>
                <w:lang w:eastAsia="en-US"/>
              </w:rPr>
            </w:pPr>
            <w:r w:rsidRPr="00AE34E8">
              <w:rPr>
                <w:rFonts w:ascii="Times New Roman" w:hAnsi="Times New Roman"/>
                <w:b/>
                <w:bCs/>
                <w:sz w:val="24"/>
                <w:szCs w:val="24"/>
                <w:lang w:eastAsia="en-US"/>
              </w:rPr>
              <w:t>0,000</w:t>
            </w:r>
          </w:p>
        </w:tc>
        <w:tc>
          <w:tcPr>
            <w:tcW w:w="910" w:type="dxa"/>
            <w:vAlign w:val="center"/>
          </w:tcPr>
          <w:p w14:paraId="4A31495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0,103</w:t>
            </w:r>
          </w:p>
        </w:tc>
        <w:tc>
          <w:tcPr>
            <w:tcW w:w="1022" w:type="dxa"/>
            <w:vAlign w:val="center"/>
          </w:tcPr>
          <w:p w14:paraId="5FD82FF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0,047</w:t>
            </w:r>
          </w:p>
        </w:tc>
        <w:tc>
          <w:tcPr>
            <w:tcW w:w="1050" w:type="dxa"/>
            <w:vAlign w:val="center"/>
          </w:tcPr>
          <w:p w14:paraId="03B576B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0,228</w:t>
            </w:r>
          </w:p>
        </w:tc>
      </w:tr>
    </w:tbl>
    <w:p w14:paraId="3BC7A1CB" w14:textId="77777777" w:rsidR="00A9409C" w:rsidRDefault="00A9409C" w:rsidP="00A9409C">
      <w:pPr>
        <w:tabs>
          <w:tab w:val="left" w:pos="0"/>
        </w:tabs>
        <w:spacing w:after="0" w:line="240" w:lineRule="auto"/>
        <w:jc w:val="both"/>
        <w:rPr>
          <w:rFonts w:ascii="Times New Roman" w:hAnsi="Times New Roman"/>
          <w:sz w:val="28"/>
          <w:szCs w:val="28"/>
        </w:rPr>
      </w:pPr>
    </w:p>
    <w:p w14:paraId="7496C967" w14:textId="77777777" w:rsidR="00A9409C" w:rsidRPr="00145B66" w:rsidRDefault="00A9409C" w:rsidP="00A9409C">
      <w:pPr>
        <w:tabs>
          <w:tab w:val="left" w:pos="284"/>
        </w:tabs>
        <w:spacing w:after="0" w:line="240" w:lineRule="auto"/>
        <w:jc w:val="both"/>
        <w:rPr>
          <w:rFonts w:ascii="Times New Roman" w:hAnsi="Times New Roman"/>
          <w:sz w:val="28"/>
          <w:szCs w:val="28"/>
        </w:rPr>
      </w:pPr>
      <w:r w:rsidRPr="00145B66">
        <w:rPr>
          <w:rFonts w:ascii="Times New Roman" w:hAnsi="Times New Roman"/>
          <w:sz w:val="28"/>
          <w:szCs w:val="28"/>
        </w:rPr>
        <w:lastRenderedPageBreak/>
        <w:t xml:space="preserve">Таблица </w:t>
      </w:r>
      <w:r>
        <w:rPr>
          <w:rFonts w:ascii="Times New Roman" w:hAnsi="Times New Roman"/>
          <w:sz w:val="28"/>
          <w:szCs w:val="28"/>
        </w:rPr>
        <w:t>25</w:t>
      </w:r>
      <w:r w:rsidRPr="00145B66">
        <w:rPr>
          <w:rFonts w:ascii="Times New Roman" w:hAnsi="Times New Roman"/>
          <w:sz w:val="28"/>
          <w:szCs w:val="28"/>
        </w:rPr>
        <w:t xml:space="preserve"> </w:t>
      </w:r>
      <w:r>
        <w:rPr>
          <w:rFonts w:ascii="Times New Roman" w:hAnsi="Times New Roman"/>
          <w:sz w:val="28"/>
          <w:szCs w:val="28"/>
        </w:rPr>
        <w:t>–</w:t>
      </w:r>
      <w:r w:rsidRPr="00145B66">
        <w:rPr>
          <w:rFonts w:ascii="Times New Roman" w:hAnsi="Times New Roman"/>
          <w:sz w:val="28"/>
          <w:szCs w:val="28"/>
        </w:rPr>
        <w:t xml:space="preserve"> Однофакторная модель Кокса пропорциональных рисков развития неблагоприятного исхода (смерти) у больных в течение 3 лет после хирургического лечения рака ободочной кишки </w:t>
      </w:r>
    </w:p>
    <w:p w14:paraId="57B95A65" w14:textId="77777777" w:rsidR="00A9409C" w:rsidRDefault="00A9409C" w:rsidP="00A9409C">
      <w:pPr>
        <w:tabs>
          <w:tab w:val="left" w:pos="0"/>
        </w:tabs>
        <w:spacing w:after="0" w:line="240" w:lineRule="auto"/>
        <w:jc w:val="both"/>
        <w:rPr>
          <w:rFonts w:ascii="Times New Roman" w:hAnsi="Times New Roman"/>
          <w:sz w:val="28"/>
          <w:szCs w:val="28"/>
        </w:rPr>
      </w:pPr>
    </w:p>
    <w:tbl>
      <w:tblPr>
        <w:tblW w:w="9639" w:type="dxa"/>
        <w:jc w:val="center"/>
        <w:tblLayout w:type="fixed"/>
        <w:tblLook w:val="04A0" w:firstRow="1" w:lastRow="0" w:firstColumn="1" w:lastColumn="0" w:noHBand="0" w:noVBand="1"/>
      </w:tblPr>
      <w:tblGrid>
        <w:gridCol w:w="2576"/>
        <w:gridCol w:w="14"/>
        <w:gridCol w:w="949"/>
        <w:gridCol w:w="829"/>
        <w:gridCol w:w="854"/>
        <w:gridCol w:w="14"/>
        <w:gridCol w:w="28"/>
        <w:gridCol w:w="531"/>
        <w:gridCol w:w="14"/>
        <w:gridCol w:w="854"/>
        <w:gridCol w:w="14"/>
        <w:gridCol w:w="14"/>
        <w:gridCol w:w="938"/>
        <w:gridCol w:w="994"/>
        <w:gridCol w:w="1016"/>
      </w:tblGrid>
      <w:tr w:rsidR="00A9409C" w:rsidRPr="00145B66" w14:paraId="3F6EF3C6" w14:textId="77777777" w:rsidTr="00094F6F">
        <w:trPr>
          <w:trHeight w:val="315"/>
          <w:jc w:val="center"/>
        </w:trPr>
        <w:tc>
          <w:tcPr>
            <w:tcW w:w="2576" w:type="dxa"/>
            <w:vMerge w:val="restart"/>
            <w:tcBorders>
              <w:top w:val="single" w:sz="4" w:space="0" w:color="auto"/>
              <w:left w:val="single" w:sz="4" w:space="0" w:color="auto"/>
              <w:bottom w:val="single" w:sz="4" w:space="0" w:color="auto"/>
              <w:right w:val="single" w:sz="4" w:space="0" w:color="auto"/>
            </w:tcBorders>
            <w:vAlign w:val="center"/>
            <w:hideMark/>
          </w:tcPr>
          <w:p w14:paraId="7CCDB6C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Факторы</w:t>
            </w:r>
          </w:p>
        </w:tc>
        <w:tc>
          <w:tcPr>
            <w:tcW w:w="963"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AE99AD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В</w:t>
            </w:r>
          </w:p>
        </w:tc>
        <w:tc>
          <w:tcPr>
            <w:tcW w:w="829" w:type="dxa"/>
            <w:vMerge w:val="restart"/>
            <w:tcBorders>
              <w:top w:val="single" w:sz="4" w:space="0" w:color="auto"/>
              <w:left w:val="single" w:sz="4" w:space="0" w:color="auto"/>
              <w:bottom w:val="single" w:sz="4" w:space="0" w:color="auto"/>
              <w:right w:val="single" w:sz="4" w:space="0" w:color="auto"/>
            </w:tcBorders>
            <w:vAlign w:val="center"/>
            <w:hideMark/>
          </w:tcPr>
          <w:p w14:paraId="6EE67DA0"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SE</w:t>
            </w:r>
          </w:p>
        </w:tc>
        <w:tc>
          <w:tcPr>
            <w:tcW w:w="854" w:type="dxa"/>
            <w:vMerge w:val="restart"/>
            <w:tcBorders>
              <w:top w:val="single" w:sz="4" w:space="0" w:color="auto"/>
              <w:left w:val="single" w:sz="4" w:space="0" w:color="auto"/>
              <w:bottom w:val="single" w:sz="4" w:space="0" w:color="auto"/>
              <w:right w:val="single" w:sz="4" w:space="0" w:color="auto"/>
            </w:tcBorders>
            <w:vAlign w:val="center"/>
            <w:hideMark/>
          </w:tcPr>
          <w:p w14:paraId="1B6E5AA3"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en-US" w:eastAsia="en-US"/>
              </w:rPr>
              <w:t>Wald</w:t>
            </w:r>
          </w:p>
        </w:tc>
        <w:tc>
          <w:tcPr>
            <w:tcW w:w="587" w:type="dxa"/>
            <w:gridSpan w:val="4"/>
            <w:vMerge w:val="restart"/>
            <w:tcBorders>
              <w:top w:val="single" w:sz="4" w:space="0" w:color="auto"/>
              <w:left w:val="single" w:sz="4" w:space="0" w:color="auto"/>
              <w:bottom w:val="single" w:sz="4" w:space="0" w:color="auto"/>
              <w:right w:val="single" w:sz="4" w:space="0" w:color="auto"/>
            </w:tcBorders>
            <w:vAlign w:val="center"/>
            <w:hideMark/>
          </w:tcPr>
          <w:p w14:paraId="7397EE43"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proofErr w:type="spellStart"/>
            <w:r w:rsidRPr="00145B66">
              <w:rPr>
                <w:rFonts w:ascii="Times New Roman" w:hAnsi="Times New Roman"/>
                <w:sz w:val="24"/>
                <w:szCs w:val="24"/>
                <w:lang w:val="en-US" w:eastAsia="en-US"/>
              </w:rPr>
              <w:t>df</w:t>
            </w:r>
            <w:proofErr w:type="spellEnd"/>
          </w:p>
        </w:tc>
        <w:tc>
          <w:tcPr>
            <w:tcW w:w="854" w:type="dxa"/>
            <w:vMerge w:val="restart"/>
            <w:tcBorders>
              <w:top w:val="single" w:sz="4" w:space="0" w:color="auto"/>
              <w:left w:val="single" w:sz="4" w:space="0" w:color="auto"/>
              <w:bottom w:val="single" w:sz="4" w:space="0" w:color="auto"/>
              <w:right w:val="single" w:sz="4" w:space="0" w:color="auto"/>
            </w:tcBorders>
            <w:vAlign w:val="center"/>
            <w:hideMark/>
          </w:tcPr>
          <w:p w14:paraId="269C726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roofErr w:type="gramStart"/>
            <w:r w:rsidRPr="00145B66">
              <w:rPr>
                <w:rFonts w:ascii="Times New Roman" w:hAnsi="Times New Roman"/>
                <w:sz w:val="24"/>
                <w:szCs w:val="24"/>
                <w:lang w:eastAsia="en-US"/>
              </w:rPr>
              <w:t>р</w:t>
            </w:r>
            <w:proofErr w:type="gramEnd"/>
          </w:p>
        </w:tc>
        <w:tc>
          <w:tcPr>
            <w:tcW w:w="966" w:type="dxa"/>
            <w:gridSpan w:val="3"/>
            <w:vMerge w:val="restart"/>
            <w:tcBorders>
              <w:top w:val="single" w:sz="4" w:space="0" w:color="auto"/>
              <w:left w:val="single" w:sz="4" w:space="0" w:color="auto"/>
              <w:bottom w:val="single" w:sz="4" w:space="0" w:color="auto"/>
              <w:right w:val="single" w:sz="4" w:space="0" w:color="auto"/>
            </w:tcBorders>
            <w:vAlign w:val="center"/>
            <w:hideMark/>
          </w:tcPr>
          <w:p w14:paraId="5ADCDEC2"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proofErr w:type="spellStart"/>
            <w:r w:rsidRPr="00145B66">
              <w:rPr>
                <w:rFonts w:ascii="Times New Roman" w:hAnsi="Times New Roman"/>
                <w:sz w:val="24"/>
                <w:szCs w:val="24"/>
                <w:lang w:val="en-US" w:eastAsia="en-US"/>
              </w:rPr>
              <w:t>Exp</w:t>
            </w:r>
            <w:proofErr w:type="spellEnd"/>
            <w:r w:rsidRPr="00145B66">
              <w:rPr>
                <w:rFonts w:ascii="Times New Roman" w:hAnsi="Times New Roman"/>
                <w:sz w:val="24"/>
                <w:szCs w:val="24"/>
                <w:lang w:eastAsia="en-US"/>
              </w:rPr>
              <w:t>(</w:t>
            </w:r>
            <w:r w:rsidRPr="00145B66">
              <w:rPr>
                <w:rFonts w:ascii="Times New Roman" w:hAnsi="Times New Roman"/>
                <w:sz w:val="24"/>
                <w:szCs w:val="24"/>
                <w:lang w:val="en-US" w:eastAsia="en-US"/>
              </w:rPr>
              <w:t>B</w:t>
            </w:r>
            <w:r w:rsidRPr="00145B66">
              <w:rPr>
                <w:rFonts w:ascii="Times New Roman" w:hAnsi="Times New Roman"/>
                <w:sz w:val="24"/>
                <w:szCs w:val="24"/>
                <w:lang w:eastAsia="en-US"/>
              </w:rPr>
              <w:t>)</w:t>
            </w:r>
          </w:p>
        </w:tc>
        <w:tc>
          <w:tcPr>
            <w:tcW w:w="2010" w:type="dxa"/>
            <w:gridSpan w:val="2"/>
            <w:tcBorders>
              <w:top w:val="single" w:sz="4" w:space="0" w:color="auto"/>
              <w:left w:val="single" w:sz="4" w:space="0" w:color="auto"/>
              <w:bottom w:val="single" w:sz="4" w:space="0" w:color="auto"/>
              <w:right w:val="single" w:sz="4" w:space="0" w:color="auto"/>
            </w:tcBorders>
            <w:vAlign w:val="center"/>
            <w:hideMark/>
          </w:tcPr>
          <w:p w14:paraId="665AAB6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95% ДИ</w:t>
            </w:r>
          </w:p>
        </w:tc>
      </w:tr>
      <w:tr w:rsidR="00A9409C" w:rsidRPr="00145B66" w14:paraId="628C1557" w14:textId="77777777" w:rsidTr="00094F6F">
        <w:trPr>
          <w:trHeight w:val="330"/>
          <w:jc w:val="center"/>
        </w:trPr>
        <w:tc>
          <w:tcPr>
            <w:tcW w:w="2576" w:type="dxa"/>
            <w:vMerge/>
            <w:tcBorders>
              <w:top w:val="single" w:sz="4" w:space="0" w:color="auto"/>
              <w:left w:val="single" w:sz="4" w:space="0" w:color="auto"/>
              <w:bottom w:val="single" w:sz="4" w:space="0" w:color="auto"/>
              <w:right w:val="single" w:sz="4" w:space="0" w:color="auto"/>
            </w:tcBorders>
            <w:vAlign w:val="center"/>
            <w:hideMark/>
          </w:tcPr>
          <w:p w14:paraId="1E8ACCD9" w14:textId="77777777" w:rsidR="00A9409C" w:rsidRPr="00145B66" w:rsidRDefault="00A9409C" w:rsidP="00094F6F">
            <w:pPr>
              <w:spacing w:after="0" w:line="240" w:lineRule="auto"/>
              <w:jc w:val="center"/>
              <w:rPr>
                <w:rFonts w:ascii="Times New Roman" w:hAnsi="Times New Roman"/>
                <w:sz w:val="24"/>
                <w:szCs w:val="24"/>
                <w:lang w:eastAsia="en-US"/>
              </w:rPr>
            </w:pPr>
          </w:p>
        </w:tc>
        <w:tc>
          <w:tcPr>
            <w:tcW w:w="963" w:type="dxa"/>
            <w:gridSpan w:val="2"/>
            <w:vMerge/>
            <w:tcBorders>
              <w:top w:val="single" w:sz="4" w:space="0" w:color="auto"/>
              <w:left w:val="single" w:sz="4" w:space="0" w:color="auto"/>
              <w:bottom w:val="single" w:sz="4" w:space="0" w:color="auto"/>
              <w:right w:val="single" w:sz="4" w:space="0" w:color="auto"/>
            </w:tcBorders>
            <w:vAlign w:val="center"/>
            <w:hideMark/>
          </w:tcPr>
          <w:p w14:paraId="4DE1531C" w14:textId="77777777" w:rsidR="00A9409C" w:rsidRPr="00145B66" w:rsidRDefault="00A9409C" w:rsidP="00094F6F">
            <w:pPr>
              <w:spacing w:after="0" w:line="240" w:lineRule="auto"/>
              <w:jc w:val="center"/>
              <w:rPr>
                <w:rFonts w:ascii="Times New Roman" w:hAnsi="Times New Roman"/>
                <w:sz w:val="24"/>
                <w:szCs w:val="24"/>
                <w:lang w:eastAsia="en-US"/>
              </w:rPr>
            </w:pPr>
          </w:p>
        </w:tc>
        <w:tc>
          <w:tcPr>
            <w:tcW w:w="829" w:type="dxa"/>
            <w:vMerge/>
            <w:tcBorders>
              <w:top w:val="single" w:sz="4" w:space="0" w:color="auto"/>
              <w:left w:val="single" w:sz="4" w:space="0" w:color="auto"/>
              <w:bottom w:val="single" w:sz="4" w:space="0" w:color="auto"/>
              <w:right w:val="single" w:sz="4" w:space="0" w:color="auto"/>
            </w:tcBorders>
            <w:vAlign w:val="center"/>
            <w:hideMark/>
          </w:tcPr>
          <w:p w14:paraId="583E2E70" w14:textId="77777777" w:rsidR="00A9409C" w:rsidRPr="00145B66" w:rsidRDefault="00A9409C" w:rsidP="00094F6F">
            <w:pPr>
              <w:spacing w:after="0" w:line="240" w:lineRule="auto"/>
              <w:jc w:val="center"/>
              <w:rPr>
                <w:rFonts w:ascii="Times New Roman" w:hAnsi="Times New Roman"/>
                <w:sz w:val="24"/>
                <w:szCs w:val="24"/>
                <w:lang w:val="en-US" w:eastAsia="en-US"/>
              </w:rPr>
            </w:pPr>
          </w:p>
        </w:tc>
        <w:tc>
          <w:tcPr>
            <w:tcW w:w="854" w:type="dxa"/>
            <w:vMerge/>
            <w:tcBorders>
              <w:top w:val="single" w:sz="4" w:space="0" w:color="auto"/>
              <w:left w:val="single" w:sz="4" w:space="0" w:color="auto"/>
              <w:bottom w:val="single" w:sz="4" w:space="0" w:color="auto"/>
              <w:right w:val="single" w:sz="4" w:space="0" w:color="auto"/>
            </w:tcBorders>
            <w:vAlign w:val="center"/>
            <w:hideMark/>
          </w:tcPr>
          <w:p w14:paraId="648873A6" w14:textId="77777777" w:rsidR="00A9409C" w:rsidRPr="00145B66" w:rsidRDefault="00A9409C" w:rsidP="00094F6F">
            <w:pPr>
              <w:spacing w:after="0" w:line="240" w:lineRule="auto"/>
              <w:jc w:val="center"/>
              <w:rPr>
                <w:rFonts w:ascii="Times New Roman" w:hAnsi="Times New Roman"/>
                <w:sz w:val="24"/>
                <w:szCs w:val="24"/>
                <w:lang w:val="kk-KZ" w:eastAsia="en-US"/>
              </w:rPr>
            </w:pPr>
          </w:p>
        </w:tc>
        <w:tc>
          <w:tcPr>
            <w:tcW w:w="587" w:type="dxa"/>
            <w:gridSpan w:val="4"/>
            <w:vMerge/>
            <w:tcBorders>
              <w:top w:val="single" w:sz="4" w:space="0" w:color="auto"/>
              <w:left w:val="single" w:sz="4" w:space="0" w:color="auto"/>
              <w:bottom w:val="single" w:sz="4" w:space="0" w:color="auto"/>
              <w:right w:val="single" w:sz="4" w:space="0" w:color="auto"/>
            </w:tcBorders>
            <w:vAlign w:val="center"/>
            <w:hideMark/>
          </w:tcPr>
          <w:p w14:paraId="61C995E6" w14:textId="77777777" w:rsidR="00A9409C" w:rsidRPr="00145B66" w:rsidRDefault="00A9409C" w:rsidP="00094F6F">
            <w:pPr>
              <w:spacing w:after="0" w:line="240" w:lineRule="auto"/>
              <w:jc w:val="center"/>
              <w:rPr>
                <w:rFonts w:ascii="Times New Roman" w:hAnsi="Times New Roman"/>
                <w:sz w:val="24"/>
                <w:szCs w:val="24"/>
                <w:lang w:val="en-US" w:eastAsia="en-US"/>
              </w:rPr>
            </w:pPr>
          </w:p>
        </w:tc>
        <w:tc>
          <w:tcPr>
            <w:tcW w:w="854" w:type="dxa"/>
            <w:vMerge/>
            <w:tcBorders>
              <w:top w:val="single" w:sz="4" w:space="0" w:color="auto"/>
              <w:left w:val="single" w:sz="4" w:space="0" w:color="auto"/>
              <w:bottom w:val="single" w:sz="4" w:space="0" w:color="auto"/>
              <w:right w:val="single" w:sz="4" w:space="0" w:color="auto"/>
            </w:tcBorders>
            <w:vAlign w:val="center"/>
            <w:hideMark/>
          </w:tcPr>
          <w:p w14:paraId="0D88764B" w14:textId="77777777" w:rsidR="00A9409C" w:rsidRPr="00145B66" w:rsidRDefault="00A9409C" w:rsidP="00094F6F">
            <w:pPr>
              <w:spacing w:after="0" w:line="240" w:lineRule="auto"/>
              <w:jc w:val="center"/>
              <w:rPr>
                <w:rFonts w:ascii="Times New Roman" w:hAnsi="Times New Roman"/>
                <w:sz w:val="24"/>
                <w:szCs w:val="24"/>
                <w:lang w:eastAsia="en-US"/>
              </w:rPr>
            </w:pPr>
          </w:p>
        </w:tc>
        <w:tc>
          <w:tcPr>
            <w:tcW w:w="966" w:type="dxa"/>
            <w:gridSpan w:val="3"/>
            <w:vMerge/>
            <w:tcBorders>
              <w:top w:val="single" w:sz="4" w:space="0" w:color="auto"/>
              <w:left w:val="single" w:sz="4" w:space="0" w:color="auto"/>
              <w:bottom w:val="single" w:sz="4" w:space="0" w:color="auto"/>
              <w:right w:val="single" w:sz="4" w:space="0" w:color="auto"/>
            </w:tcBorders>
            <w:vAlign w:val="center"/>
            <w:hideMark/>
          </w:tcPr>
          <w:p w14:paraId="472ED7A3" w14:textId="77777777" w:rsidR="00A9409C" w:rsidRPr="00145B66" w:rsidRDefault="00A9409C" w:rsidP="00094F6F">
            <w:pPr>
              <w:spacing w:after="0" w:line="240" w:lineRule="auto"/>
              <w:jc w:val="center"/>
              <w:rPr>
                <w:rFonts w:ascii="Times New Roman" w:hAnsi="Times New Roman"/>
                <w:sz w:val="24"/>
                <w:szCs w:val="24"/>
                <w:lang w:val="en-US" w:eastAsia="en-US"/>
              </w:rPr>
            </w:pPr>
          </w:p>
        </w:tc>
        <w:tc>
          <w:tcPr>
            <w:tcW w:w="994" w:type="dxa"/>
            <w:tcBorders>
              <w:top w:val="single" w:sz="4" w:space="0" w:color="auto"/>
              <w:left w:val="single" w:sz="4" w:space="0" w:color="auto"/>
              <w:bottom w:val="single" w:sz="4" w:space="0" w:color="auto"/>
              <w:right w:val="single" w:sz="4" w:space="0" w:color="auto"/>
            </w:tcBorders>
            <w:vAlign w:val="center"/>
            <w:hideMark/>
          </w:tcPr>
          <w:p w14:paraId="6B13717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roofErr w:type="gramStart"/>
            <w:r w:rsidRPr="00145B66">
              <w:rPr>
                <w:rFonts w:ascii="Times New Roman" w:hAnsi="Times New Roman"/>
                <w:sz w:val="24"/>
                <w:szCs w:val="24"/>
                <w:lang w:eastAsia="en-US"/>
              </w:rPr>
              <w:t>нижняя</w:t>
            </w:r>
            <w:proofErr w:type="gramEnd"/>
          </w:p>
        </w:tc>
        <w:tc>
          <w:tcPr>
            <w:tcW w:w="1016" w:type="dxa"/>
            <w:tcBorders>
              <w:top w:val="single" w:sz="4" w:space="0" w:color="auto"/>
              <w:left w:val="single" w:sz="4" w:space="0" w:color="auto"/>
              <w:bottom w:val="single" w:sz="4" w:space="0" w:color="auto"/>
              <w:right w:val="single" w:sz="4" w:space="0" w:color="auto"/>
            </w:tcBorders>
            <w:vAlign w:val="center"/>
            <w:hideMark/>
          </w:tcPr>
          <w:p w14:paraId="63F5AA1D" w14:textId="77777777" w:rsidR="00A9409C" w:rsidRPr="00145B66" w:rsidRDefault="00A9409C" w:rsidP="00094F6F">
            <w:pPr>
              <w:tabs>
                <w:tab w:val="left" w:pos="-509"/>
              </w:tabs>
              <w:spacing w:after="0" w:line="240" w:lineRule="auto"/>
              <w:ind w:left="-80" w:right="-72"/>
              <w:jc w:val="center"/>
              <w:rPr>
                <w:rFonts w:ascii="Times New Roman" w:hAnsi="Times New Roman"/>
                <w:sz w:val="24"/>
                <w:szCs w:val="24"/>
                <w:lang w:eastAsia="en-US"/>
              </w:rPr>
            </w:pPr>
            <w:proofErr w:type="gramStart"/>
            <w:r w:rsidRPr="00145B66">
              <w:rPr>
                <w:rFonts w:ascii="Times New Roman" w:hAnsi="Times New Roman"/>
                <w:sz w:val="24"/>
                <w:szCs w:val="24"/>
                <w:lang w:eastAsia="en-US"/>
              </w:rPr>
              <w:t>верхняя</w:t>
            </w:r>
            <w:proofErr w:type="gramEnd"/>
          </w:p>
        </w:tc>
      </w:tr>
      <w:tr w:rsidR="00A9409C" w:rsidRPr="00145B66" w14:paraId="3A42A110" w14:textId="77777777" w:rsidTr="00094F6F">
        <w:trPr>
          <w:jc w:val="center"/>
        </w:trPr>
        <w:tc>
          <w:tcPr>
            <w:tcW w:w="2576" w:type="dxa"/>
            <w:tcBorders>
              <w:top w:val="single" w:sz="4" w:space="0" w:color="auto"/>
              <w:left w:val="single" w:sz="4" w:space="0" w:color="auto"/>
              <w:bottom w:val="single" w:sz="4" w:space="0" w:color="auto"/>
              <w:right w:val="single" w:sz="4" w:space="0" w:color="auto"/>
            </w:tcBorders>
            <w:hideMark/>
          </w:tcPr>
          <w:p w14:paraId="331B9FA5"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Возраст</w:t>
            </w:r>
          </w:p>
        </w:tc>
        <w:tc>
          <w:tcPr>
            <w:tcW w:w="963" w:type="dxa"/>
            <w:gridSpan w:val="2"/>
            <w:tcBorders>
              <w:top w:val="single" w:sz="4" w:space="0" w:color="auto"/>
              <w:left w:val="single" w:sz="4" w:space="0" w:color="auto"/>
              <w:bottom w:val="single" w:sz="4" w:space="0" w:color="auto"/>
              <w:right w:val="single" w:sz="4" w:space="0" w:color="auto"/>
            </w:tcBorders>
            <w:vAlign w:val="center"/>
            <w:hideMark/>
          </w:tcPr>
          <w:p w14:paraId="45C84C2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1,112</w:t>
            </w:r>
          </w:p>
        </w:tc>
        <w:tc>
          <w:tcPr>
            <w:tcW w:w="829" w:type="dxa"/>
            <w:tcBorders>
              <w:top w:val="single" w:sz="4" w:space="0" w:color="auto"/>
              <w:left w:val="single" w:sz="4" w:space="0" w:color="auto"/>
              <w:bottom w:val="single" w:sz="4" w:space="0" w:color="auto"/>
              <w:right w:val="single" w:sz="4" w:space="0" w:color="auto"/>
            </w:tcBorders>
            <w:vAlign w:val="center"/>
            <w:hideMark/>
          </w:tcPr>
          <w:p w14:paraId="301DDAB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0,358</w:t>
            </w:r>
          </w:p>
        </w:tc>
        <w:tc>
          <w:tcPr>
            <w:tcW w:w="854" w:type="dxa"/>
            <w:tcBorders>
              <w:top w:val="single" w:sz="4" w:space="0" w:color="auto"/>
              <w:left w:val="single" w:sz="4" w:space="0" w:color="auto"/>
              <w:bottom w:val="single" w:sz="4" w:space="0" w:color="auto"/>
              <w:right w:val="single" w:sz="4" w:space="0" w:color="auto"/>
            </w:tcBorders>
            <w:vAlign w:val="center"/>
            <w:hideMark/>
          </w:tcPr>
          <w:p w14:paraId="045B9B6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3,256</w:t>
            </w:r>
          </w:p>
        </w:tc>
        <w:tc>
          <w:tcPr>
            <w:tcW w:w="587" w:type="dxa"/>
            <w:gridSpan w:val="4"/>
            <w:tcBorders>
              <w:top w:val="single" w:sz="4" w:space="0" w:color="auto"/>
              <w:left w:val="single" w:sz="4" w:space="0" w:color="auto"/>
              <w:bottom w:val="single" w:sz="4" w:space="0" w:color="auto"/>
              <w:right w:val="single" w:sz="4" w:space="0" w:color="auto"/>
            </w:tcBorders>
            <w:vAlign w:val="center"/>
            <w:hideMark/>
          </w:tcPr>
          <w:p w14:paraId="4966B0B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54" w:type="dxa"/>
            <w:tcBorders>
              <w:top w:val="single" w:sz="4" w:space="0" w:color="auto"/>
              <w:left w:val="single" w:sz="4" w:space="0" w:color="auto"/>
              <w:bottom w:val="single" w:sz="4" w:space="0" w:color="auto"/>
              <w:right w:val="single" w:sz="4" w:space="0" w:color="auto"/>
            </w:tcBorders>
            <w:vAlign w:val="center"/>
            <w:hideMark/>
          </w:tcPr>
          <w:p w14:paraId="03962996" w14:textId="77777777" w:rsidR="00A9409C" w:rsidRPr="00AE34E8" w:rsidRDefault="00A9409C" w:rsidP="00094F6F">
            <w:pPr>
              <w:tabs>
                <w:tab w:val="left" w:pos="0"/>
              </w:tabs>
              <w:spacing w:after="0" w:line="240" w:lineRule="auto"/>
              <w:jc w:val="center"/>
              <w:rPr>
                <w:rFonts w:ascii="Times New Roman" w:hAnsi="Times New Roman"/>
                <w:b/>
                <w:bCs/>
                <w:sz w:val="24"/>
                <w:szCs w:val="24"/>
                <w:lang w:eastAsia="en-US"/>
              </w:rPr>
            </w:pPr>
            <w:r w:rsidRPr="00AE34E8">
              <w:rPr>
                <w:rFonts w:ascii="Times New Roman" w:hAnsi="Times New Roman"/>
                <w:b/>
                <w:bCs/>
                <w:sz w:val="24"/>
                <w:szCs w:val="24"/>
                <w:lang w:eastAsia="en-US"/>
              </w:rPr>
              <w:t>0,015</w:t>
            </w:r>
          </w:p>
        </w:tc>
        <w:tc>
          <w:tcPr>
            <w:tcW w:w="966" w:type="dxa"/>
            <w:gridSpan w:val="3"/>
            <w:tcBorders>
              <w:top w:val="single" w:sz="4" w:space="0" w:color="auto"/>
              <w:left w:val="single" w:sz="4" w:space="0" w:color="auto"/>
              <w:bottom w:val="single" w:sz="4" w:space="0" w:color="auto"/>
              <w:right w:val="single" w:sz="4" w:space="0" w:color="auto"/>
            </w:tcBorders>
            <w:vAlign w:val="center"/>
            <w:hideMark/>
          </w:tcPr>
          <w:p w14:paraId="32C60F7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2,782</w:t>
            </w:r>
          </w:p>
        </w:tc>
        <w:tc>
          <w:tcPr>
            <w:tcW w:w="994" w:type="dxa"/>
            <w:tcBorders>
              <w:top w:val="single" w:sz="4" w:space="0" w:color="auto"/>
              <w:left w:val="single" w:sz="4" w:space="0" w:color="auto"/>
              <w:bottom w:val="single" w:sz="4" w:space="0" w:color="auto"/>
              <w:right w:val="single" w:sz="4" w:space="0" w:color="auto"/>
            </w:tcBorders>
            <w:vAlign w:val="center"/>
            <w:hideMark/>
          </w:tcPr>
          <w:p w14:paraId="734B6BD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1,142</w:t>
            </w:r>
          </w:p>
        </w:tc>
        <w:tc>
          <w:tcPr>
            <w:tcW w:w="1016" w:type="dxa"/>
            <w:tcBorders>
              <w:top w:val="single" w:sz="4" w:space="0" w:color="auto"/>
              <w:left w:val="single" w:sz="4" w:space="0" w:color="auto"/>
              <w:bottom w:val="single" w:sz="4" w:space="0" w:color="auto"/>
              <w:right w:val="single" w:sz="4" w:space="0" w:color="auto"/>
            </w:tcBorders>
            <w:vAlign w:val="center"/>
            <w:hideMark/>
          </w:tcPr>
          <w:p w14:paraId="2F7518B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2,896</w:t>
            </w:r>
          </w:p>
        </w:tc>
      </w:tr>
      <w:tr w:rsidR="00A9409C" w:rsidRPr="00145B66" w14:paraId="64D9DCB7" w14:textId="77777777" w:rsidTr="00094F6F">
        <w:trPr>
          <w:jc w:val="center"/>
        </w:trPr>
        <w:tc>
          <w:tcPr>
            <w:tcW w:w="2576" w:type="dxa"/>
            <w:tcBorders>
              <w:top w:val="single" w:sz="4" w:space="0" w:color="auto"/>
              <w:left w:val="single" w:sz="4" w:space="0" w:color="auto"/>
              <w:bottom w:val="single" w:sz="4" w:space="0" w:color="auto"/>
              <w:right w:val="single" w:sz="4" w:space="0" w:color="auto"/>
            </w:tcBorders>
            <w:hideMark/>
          </w:tcPr>
          <w:p w14:paraId="2929C891"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 xml:space="preserve">Пол </w:t>
            </w:r>
          </w:p>
        </w:tc>
        <w:tc>
          <w:tcPr>
            <w:tcW w:w="963" w:type="dxa"/>
            <w:gridSpan w:val="2"/>
            <w:tcBorders>
              <w:top w:val="single" w:sz="4" w:space="0" w:color="auto"/>
              <w:left w:val="single" w:sz="4" w:space="0" w:color="auto"/>
              <w:bottom w:val="single" w:sz="4" w:space="0" w:color="auto"/>
              <w:right w:val="single" w:sz="4" w:space="0" w:color="auto"/>
            </w:tcBorders>
            <w:vAlign w:val="center"/>
          </w:tcPr>
          <w:p w14:paraId="43002FC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1,781</w:t>
            </w:r>
          </w:p>
        </w:tc>
        <w:tc>
          <w:tcPr>
            <w:tcW w:w="829" w:type="dxa"/>
            <w:tcBorders>
              <w:top w:val="single" w:sz="4" w:space="0" w:color="auto"/>
              <w:left w:val="single" w:sz="4" w:space="0" w:color="auto"/>
              <w:bottom w:val="single" w:sz="4" w:space="0" w:color="auto"/>
              <w:right w:val="single" w:sz="4" w:space="0" w:color="auto"/>
            </w:tcBorders>
            <w:vAlign w:val="center"/>
          </w:tcPr>
          <w:p w14:paraId="7935BB9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0,425</w:t>
            </w:r>
          </w:p>
        </w:tc>
        <w:tc>
          <w:tcPr>
            <w:tcW w:w="854" w:type="dxa"/>
            <w:tcBorders>
              <w:top w:val="single" w:sz="4" w:space="0" w:color="auto"/>
              <w:left w:val="single" w:sz="4" w:space="0" w:color="auto"/>
              <w:bottom w:val="single" w:sz="4" w:space="0" w:color="auto"/>
              <w:right w:val="single" w:sz="4" w:space="0" w:color="auto"/>
            </w:tcBorders>
            <w:vAlign w:val="center"/>
          </w:tcPr>
          <w:p w14:paraId="1D6B331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8,315</w:t>
            </w:r>
          </w:p>
        </w:tc>
        <w:tc>
          <w:tcPr>
            <w:tcW w:w="587" w:type="dxa"/>
            <w:gridSpan w:val="4"/>
            <w:tcBorders>
              <w:top w:val="single" w:sz="4" w:space="0" w:color="auto"/>
              <w:left w:val="single" w:sz="4" w:space="0" w:color="auto"/>
              <w:bottom w:val="single" w:sz="4" w:space="0" w:color="auto"/>
              <w:right w:val="single" w:sz="4" w:space="0" w:color="auto"/>
            </w:tcBorders>
            <w:vAlign w:val="center"/>
          </w:tcPr>
          <w:p w14:paraId="349447C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54" w:type="dxa"/>
            <w:tcBorders>
              <w:top w:val="single" w:sz="4" w:space="0" w:color="auto"/>
              <w:left w:val="single" w:sz="4" w:space="0" w:color="auto"/>
              <w:bottom w:val="single" w:sz="4" w:space="0" w:color="auto"/>
              <w:right w:val="single" w:sz="4" w:space="0" w:color="auto"/>
            </w:tcBorders>
            <w:vAlign w:val="center"/>
          </w:tcPr>
          <w:p w14:paraId="3792AD9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0,231</w:t>
            </w:r>
          </w:p>
        </w:tc>
        <w:tc>
          <w:tcPr>
            <w:tcW w:w="966" w:type="dxa"/>
            <w:gridSpan w:val="3"/>
            <w:tcBorders>
              <w:top w:val="single" w:sz="4" w:space="0" w:color="auto"/>
              <w:left w:val="single" w:sz="4" w:space="0" w:color="auto"/>
              <w:bottom w:val="single" w:sz="4" w:space="0" w:color="auto"/>
              <w:right w:val="single" w:sz="4" w:space="0" w:color="auto"/>
            </w:tcBorders>
            <w:vAlign w:val="center"/>
          </w:tcPr>
          <w:p w14:paraId="111AE70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0,456</w:t>
            </w:r>
          </w:p>
        </w:tc>
        <w:tc>
          <w:tcPr>
            <w:tcW w:w="994" w:type="dxa"/>
            <w:tcBorders>
              <w:top w:val="single" w:sz="4" w:space="0" w:color="auto"/>
              <w:left w:val="single" w:sz="4" w:space="0" w:color="auto"/>
              <w:bottom w:val="single" w:sz="4" w:space="0" w:color="auto"/>
              <w:right w:val="single" w:sz="4" w:space="0" w:color="auto"/>
            </w:tcBorders>
            <w:vAlign w:val="center"/>
          </w:tcPr>
          <w:p w14:paraId="501CE71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0,025</w:t>
            </w:r>
          </w:p>
        </w:tc>
        <w:tc>
          <w:tcPr>
            <w:tcW w:w="1016" w:type="dxa"/>
            <w:tcBorders>
              <w:top w:val="single" w:sz="4" w:space="0" w:color="auto"/>
              <w:left w:val="single" w:sz="4" w:space="0" w:color="auto"/>
              <w:bottom w:val="single" w:sz="4" w:space="0" w:color="auto"/>
              <w:right w:val="single" w:sz="4" w:space="0" w:color="auto"/>
            </w:tcBorders>
            <w:vAlign w:val="center"/>
          </w:tcPr>
          <w:p w14:paraId="7FD9E2A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6,431</w:t>
            </w:r>
          </w:p>
        </w:tc>
      </w:tr>
      <w:tr w:rsidR="00A9409C" w:rsidRPr="00145B66" w14:paraId="1E89BA9A" w14:textId="77777777" w:rsidTr="00094F6F">
        <w:trPr>
          <w:jc w:val="center"/>
        </w:trPr>
        <w:tc>
          <w:tcPr>
            <w:tcW w:w="9639" w:type="dxa"/>
            <w:gridSpan w:val="15"/>
            <w:tcBorders>
              <w:top w:val="single" w:sz="4" w:space="0" w:color="auto"/>
              <w:left w:val="single" w:sz="4" w:space="0" w:color="auto"/>
              <w:bottom w:val="single" w:sz="4" w:space="0" w:color="auto"/>
              <w:right w:val="single" w:sz="4" w:space="0" w:color="auto"/>
            </w:tcBorders>
          </w:tcPr>
          <w:p w14:paraId="14F5389E"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Стадия рака</w:t>
            </w:r>
          </w:p>
        </w:tc>
      </w:tr>
      <w:tr w:rsidR="00A9409C" w:rsidRPr="00145B66" w14:paraId="0839BDEE"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auto"/>
            </w:tcBorders>
          </w:tcPr>
          <w:p w14:paraId="24C85813" w14:textId="77777777" w:rsidR="00A9409C" w:rsidRPr="00AE34E8" w:rsidRDefault="00A9409C" w:rsidP="00094F6F">
            <w:pPr>
              <w:tabs>
                <w:tab w:val="left" w:pos="0"/>
              </w:tabs>
              <w:spacing w:after="0" w:line="240" w:lineRule="auto"/>
              <w:jc w:val="both"/>
              <w:rPr>
                <w:rFonts w:ascii="Times New Roman" w:hAnsi="Times New Roman"/>
                <w:i/>
                <w:iCs/>
                <w:sz w:val="24"/>
                <w:szCs w:val="24"/>
                <w:lang w:val="en-US" w:eastAsia="en-US"/>
              </w:rPr>
            </w:pPr>
            <w:r w:rsidRPr="00AE34E8">
              <w:rPr>
                <w:rFonts w:ascii="Times New Roman" w:hAnsi="Times New Roman"/>
                <w:i/>
                <w:iCs/>
                <w:sz w:val="24"/>
                <w:szCs w:val="24"/>
                <w:lang w:val="en-US" w:eastAsia="en-US"/>
              </w:rPr>
              <w:t>I</w:t>
            </w:r>
          </w:p>
        </w:tc>
        <w:tc>
          <w:tcPr>
            <w:tcW w:w="949" w:type="dxa"/>
            <w:tcBorders>
              <w:top w:val="single" w:sz="4" w:space="0" w:color="auto"/>
              <w:left w:val="single" w:sz="4" w:space="0" w:color="auto"/>
              <w:bottom w:val="single" w:sz="4" w:space="0" w:color="auto"/>
              <w:right w:val="single" w:sz="4" w:space="0" w:color="auto"/>
            </w:tcBorders>
            <w:vAlign w:val="center"/>
          </w:tcPr>
          <w:p w14:paraId="34E7983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val="en-US" w:eastAsia="en-US"/>
              </w:rPr>
              <w:t>-4</w:t>
            </w:r>
            <w:r w:rsidRPr="00145B66">
              <w:rPr>
                <w:rFonts w:ascii="Times New Roman" w:hAnsi="Times New Roman"/>
                <w:sz w:val="24"/>
                <w:szCs w:val="24"/>
                <w:lang w:eastAsia="en-US"/>
              </w:rPr>
              <w:t>,215</w:t>
            </w:r>
          </w:p>
        </w:tc>
        <w:tc>
          <w:tcPr>
            <w:tcW w:w="829" w:type="dxa"/>
            <w:tcBorders>
              <w:top w:val="single" w:sz="4" w:space="0" w:color="auto"/>
              <w:left w:val="single" w:sz="4" w:space="0" w:color="auto"/>
              <w:bottom w:val="single" w:sz="4" w:space="0" w:color="auto"/>
              <w:right w:val="single" w:sz="4" w:space="0" w:color="auto"/>
            </w:tcBorders>
            <w:vAlign w:val="center"/>
          </w:tcPr>
          <w:p w14:paraId="33C80CA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2,618</w:t>
            </w:r>
          </w:p>
        </w:tc>
        <w:tc>
          <w:tcPr>
            <w:tcW w:w="854" w:type="dxa"/>
            <w:tcBorders>
              <w:top w:val="single" w:sz="4" w:space="0" w:color="auto"/>
              <w:left w:val="single" w:sz="4" w:space="0" w:color="auto"/>
              <w:bottom w:val="single" w:sz="4" w:space="0" w:color="auto"/>
              <w:right w:val="single" w:sz="4" w:space="0" w:color="auto"/>
            </w:tcBorders>
            <w:vAlign w:val="center"/>
          </w:tcPr>
          <w:p w14:paraId="1C99B71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8,415</w:t>
            </w:r>
          </w:p>
        </w:tc>
        <w:tc>
          <w:tcPr>
            <w:tcW w:w="587" w:type="dxa"/>
            <w:gridSpan w:val="4"/>
            <w:tcBorders>
              <w:top w:val="single" w:sz="4" w:space="0" w:color="auto"/>
              <w:left w:val="single" w:sz="4" w:space="0" w:color="auto"/>
              <w:bottom w:val="single" w:sz="4" w:space="0" w:color="auto"/>
              <w:right w:val="single" w:sz="4" w:space="0" w:color="auto"/>
            </w:tcBorders>
            <w:vAlign w:val="center"/>
          </w:tcPr>
          <w:p w14:paraId="50109F3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54" w:type="dxa"/>
            <w:tcBorders>
              <w:top w:val="single" w:sz="4" w:space="0" w:color="auto"/>
              <w:left w:val="single" w:sz="4" w:space="0" w:color="auto"/>
              <w:bottom w:val="single" w:sz="4" w:space="0" w:color="auto"/>
              <w:right w:val="single" w:sz="4" w:space="0" w:color="auto"/>
            </w:tcBorders>
            <w:vAlign w:val="center"/>
          </w:tcPr>
          <w:p w14:paraId="28B959A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0,415</w:t>
            </w:r>
          </w:p>
        </w:tc>
        <w:tc>
          <w:tcPr>
            <w:tcW w:w="966" w:type="dxa"/>
            <w:gridSpan w:val="3"/>
            <w:tcBorders>
              <w:top w:val="single" w:sz="4" w:space="0" w:color="auto"/>
              <w:left w:val="single" w:sz="4" w:space="0" w:color="auto"/>
              <w:bottom w:val="single" w:sz="4" w:space="0" w:color="auto"/>
              <w:right w:val="single" w:sz="4" w:space="0" w:color="auto"/>
            </w:tcBorders>
            <w:vAlign w:val="center"/>
          </w:tcPr>
          <w:p w14:paraId="69B2010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0,028</w:t>
            </w:r>
          </w:p>
        </w:tc>
        <w:tc>
          <w:tcPr>
            <w:tcW w:w="994" w:type="dxa"/>
            <w:tcBorders>
              <w:top w:val="single" w:sz="4" w:space="0" w:color="auto"/>
              <w:left w:val="single" w:sz="4" w:space="0" w:color="auto"/>
              <w:bottom w:val="single" w:sz="4" w:space="0" w:color="auto"/>
              <w:right w:val="single" w:sz="4" w:space="0" w:color="auto"/>
            </w:tcBorders>
            <w:vAlign w:val="center"/>
          </w:tcPr>
          <w:p w14:paraId="6CDDAEA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0,011</w:t>
            </w:r>
          </w:p>
        </w:tc>
        <w:tc>
          <w:tcPr>
            <w:tcW w:w="1016" w:type="dxa"/>
            <w:tcBorders>
              <w:top w:val="single" w:sz="4" w:space="0" w:color="auto"/>
              <w:left w:val="single" w:sz="4" w:space="0" w:color="auto"/>
              <w:bottom w:val="single" w:sz="4" w:space="0" w:color="auto"/>
              <w:right w:val="single" w:sz="4" w:space="0" w:color="auto"/>
            </w:tcBorders>
            <w:vAlign w:val="center"/>
          </w:tcPr>
          <w:p w14:paraId="0F81F8F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4,685</w:t>
            </w:r>
          </w:p>
        </w:tc>
      </w:tr>
      <w:tr w:rsidR="00A9409C" w:rsidRPr="00145B66" w14:paraId="70214C24"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auto"/>
            </w:tcBorders>
          </w:tcPr>
          <w:p w14:paraId="2A3819E5" w14:textId="77777777" w:rsidR="00A9409C" w:rsidRPr="00AE34E8" w:rsidRDefault="00A9409C" w:rsidP="00094F6F">
            <w:pPr>
              <w:tabs>
                <w:tab w:val="left" w:pos="0"/>
              </w:tabs>
              <w:spacing w:after="0" w:line="240" w:lineRule="auto"/>
              <w:jc w:val="both"/>
              <w:rPr>
                <w:rFonts w:ascii="Times New Roman" w:hAnsi="Times New Roman"/>
                <w:i/>
                <w:iCs/>
                <w:sz w:val="24"/>
                <w:szCs w:val="24"/>
                <w:lang w:val="en-US" w:eastAsia="en-US"/>
              </w:rPr>
            </w:pPr>
            <w:r w:rsidRPr="00AE34E8">
              <w:rPr>
                <w:rFonts w:ascii="Times New Roman" w:hAnsi="Times New Roman"/>
                <w:i/>
                <w:iCs/>
                <w:sz w:val="24"/>
                <w:szCs w:val="24"/>
                <w:lang w:val="en-US" w:eastAsia="en-US"/>
              </w:rPr>
              <w:t>II</w:t>
            </w:r>
          </w:p>
        </w:tc>
        <w:tc>
          <w:tcPr>
            <w:tcW w:w="949" w:type="dxa"/>
            <w:tcBorders>
              <w:top w:val="single" w:sz="4" w:space="0" w:color="auto"/>
              <w:left w:val="single" w:sz="4" w:space="0" w:color="auto"/>
              <w:bottom w:val="single" w:sz="4" w:space="0" w:color="auto"/>
              <w:right w:val="single" w:sz="4" w:space="0" w:color="auto"/>
            </w:tcBorders>
            <w:vAlign w:val="center"/>
          </w:tcPr>
          <w:p w14:paraId="4546362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3,411</w:t>
            </w:r>
          </w:p>
        </w:tc>
        <w:tc>
          <w:tcPr>
            <w:tcW w:w="829" w:type="dxa"/>
            <w:tcBorders>
              <w:top w:val="single" w:sz="4" w:space="0" w:color="auto"/>
              <w:left w:val="single" w:sz="4" w:space="0" w:color="auto"/>
              <w:bottom w:val="single" w:sz="4" w:space="0" w:color="auto"/>
              <w:right w:val="single" w:sz="4" w:space="0" w:color="auto"/>
            </w:tcBorders>
            <w:vAlign w:val="center"/>
          </w:tcPr>
          <w:p w14:paraId="3197D5A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1,681</w:t>
            </w:r>
          </w:p>
        </w:tc>
        <w:tc>
          <w:tcPr>
            <w:tcW w:w="854" w:type="dxa"/>
            <w:tcBorders>
              <w:top w:val="single" w:sz="4" w:space="0" w:color="auto"/>
              <w:left w:val="single" w:sz="4" w:space="0" w:color="auto"/>
              <w:bottom w:val="single" w:sz="4" w:space="0" w:color="auto"/>
              <w:right w:val="single" w:sz="4" w:space="0" w:color="auto"/>
            </w:tcBorders>
            <w:vAlign w:val="center"/>
          </w:tcPr>
          <w:p w14:paraId="28EC219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8,455</w:t>
            </w:r>
          </w:p>
        </w:tc>
        <w:tc>
          <w:tcPr>
            <w:tcW w:w="587" w:type="dxa"/>
            <w:gridSpan w:val="4"/>
            <w:tcBorders>
              <w:top w:val="single" w:sz="4" w:space="0" w:color="auto"/>
              <w:left w:val="single" w:sz="4" w:space="0" w:color="auto"/>
              <w:bottom w:val="single" w:sz="4" w:space="0" w:color="auto"/>
              <w:right w:val="single" w:sz="4" w:space="0" w:color="auto"/>
            </w:tcBorders>
            <w:vAlign w:val="center"/>
          </w:tcPr>
          <w:p w14:paraId="05D160F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54" w:type="dxa"/>
            <w:tcBorders>
              <w:top w:val="single" w:sz="4" w:space="0" w:color="auto"/>
              <w:left w:val="single" w:sz="4" w:space="0" w:color="auto"/>
              <w:bottom w:val="single" w:sz="4" w:space="0" w:color="auto"/>
              <w:right w:val="single" w:sz="4" w:space="0" w:color="auto"/>
            </w:tcBorders>
            <w:vAlign w:val="center"/>
          </w:tcPr>
          <w:p w14:paraId="4C82C08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1,647</w:t>
            </w:r>
          </w:p>
        </w:tc>
        <w:tc>
          <w:tcPr>
            <w:tcW w:w="966" w:type="dxa"/>
            <w:gridSpan w:val="3"/>
            <w:tcBorders>
              <w:top w:val="single" w:sz="4" w:space="0" w:color="auto"/>
              <w:left w:val="single" w:sz="4" w:space="0" w:color="auto"/>
              <w:bottom w:val="single" w:sz="4" w:space="0" w:color="auto"/>
              <w:right w:val="single" w:sz="4" w:space="0" w:color="auto"/>
            </w:tcBorders>
            <w:vAlign w:val="center"/>
          </w:tcPr>
          <w:p w14:paraId="4F209CC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0,128</w:t>
            </w:r>
          </w:p>
        </w:tc>
        <w:tc>
          <w:tcPr>
            <w:tcW w:w="994" w:type="dxa"/>
            <w:tcBorders>
              <w:top w:val="single" w:sz="4" w:space="0" w:color="auto"/>
              <w:left w:val="single" w:sz="4" w:space="0" w:color="auto"/>
              <w:bottom w:val="single" w:sz="4" w:space="0" w:color="auto"/>
              <w:right w:val="single" w:sz="4" w:space="0" w:color="auto"/>
            </w:tcBorders>
            <w:vAlign w:val="center"/>
          </w:tcPr>
          <w:p w14:paraId="312AB4A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0,015</w:t>
            </w:r>
          </w:p>
        </w:tc>
        <w:tc>
          <w:tcPr>
            <w:tcW w:w="1016" w:type="dxa"/>
            <w:tcBorders>
              <w:top w:val="single" w:sz="4" w:space="0" w:color="auto"/>
              <w:left w:val="single" w:sz="4" w:space="0" w:color="auto"/>
              <w:bottom w:val="single" w:sz="4" w:space="0" w:color="auto"/>
              <w:right w:val="single" w:sz="4" w:space="0" w:color="auto"/>
            </w:tcBorders>
            <w:vAlign w:val="center"/>
          </w:tcPr>
          <w:p w14:paraId="4E60BC3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4,313</w:t>
            </w:r>
          </w:p>
        </w:tc>
      </w:tr>
      <w:tr w:rsidR="00A9409C" w:rsidRPr="00145B66" w14:paraId="3246FFEF"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auto"/>
            </w:tcBorders>
          </w:tcPr>
          <w:p w14:paraId="4872E9D4" w14:textId="77777777" w:rsidR="00A9409C" w:rsidRPr="00AE34E8" w:rsidRDefault="00A9409C" w:rsidP="00094F6F">
            <w:pPr>
              <w:tabs>
                <w:tab w:val="left" w:pos="0"/>
              </w:tabs>
              <w:spacing w:after="0" w:line="240" w:lineRule="auto"/>
              <w:jc w:val="both"/>
              <w:rPr>
                <w:rFonts w:ascii="Times New Roman" w:hAnsi="Times New Roman"/>
                <w:i/>
                <w:iCs/>
                <w:sz w:val="24"/>
                <w:szCs w:val="24"/>
                <w:lang w:val="en-US" w:eastAsia="en-US"/>
              </w:rPr>
            </w:pPr>
            <w:r w:rsidRPr="00AE34E8">
              <w:rPr>
                <w:rFonts w:ascii="Times New Roman" w:hAnsi="Times New Roman"/>
                <w:i/>
                <w:iCs/>
                <w:sz w:val="24"/>
                <w:szCs w:val="24"/>
                <w:lang w:val="en-US" w:eastAsia="en-US"/>
              </w:rPr>
              <w:t>III</w:t>
            </w:r>
          </w:p>
        </w:tc>
        <w:tc>
          <w:tcPr>
            <w:tcW w:w="949" w:type="dxa"/>
            <w:tcBorders>
              <w:top w:val="single" w:sz="4" w:space="0" w:color="auto"/>
              <w:left w:val="single" w:sz="4" w:space="0" w:color="auto"/>
              <w:bottom w:val="single" w:sz="4" w:space="0" w:color="auto"/>
              <w:right w:val="single" w:sz="4" w:space="0" w:color="auto"/>
            </w:tcBorders>
            <w:vAlign w:val="center"/>
          </w:tcPr>
          <w:p w14:paraId="7B81417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2,546</w:t>
            </w:r>
          </w:p>
        </w:tc>
        <w:tc>
          <w:tcPr>
            <w:tcW w:w="829" w:type="dxa"/>
            <w:tcBorders>
              <w:top w:val="single" w:sz="4" w:space="0" w:color="auto"/>
              <w:left w:val="single" w:sz="4" w:space="0" w:color="auto"/>
              <w:bottom w:val="single" w:sz="4" w:space="0" w:color="auto"/>
              <w:right w:val="single" w:sz="4" w:space="0" w:color="auto"/>
            </w:tcBorders>
            <w:vAlign w:val="center"/>
          </w:tcPr>
          <w:p w14:paraId="28B8FE5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0,458</w:t>
            </w:r>
          </w:p>
        </w:tc>
        <w:tc>
          <w:tcPr>
            <w:tcW w:w="854" w:type="dxa"/>
            <w:tcBorders>
              <w:top w:val="single" w:sz="4" w:space="0" w:color="auto"/>
              <w:left w:val="single" w:sz="4" w:space="0" w:color="auto"/>
              <w:bottom w:val="single" w:sz="4" w:space="0" w:color="auto"/>
              <w:right w:val="single" w:sz="4" w:space="0" w:color="auto"/>
            </w:tcBorders>
            <w:vAlign w:val="center"/>
          </w:tcPr>
          <w:p w14:paraId="5C03467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8,621</w:t>
            </w:r>
          </w:p>
        </w:tc>
        <w:tc>
          <w:tcPr>
            <w:tcW w:w="587" w:type="dxa"/>
            <w:gridSpan w:val="4"/>
            <w:tcBorders>
              <w:top w:val="single" w:sz="4" w:space="0" w:color="auto"/>
              <w:left w:val="single" w:sz="4" w:space="0" w:color="auto"/>
              <w:bottom w:val="single" w:sz="4" w:space="0" w:color="auto"/>
              <w:right w:val="single" w:sz="4" w:space="0" w:color="auto"/>
            </w:tcBorders>
            <w:vAlign w:val="center"/>
          </w:tcPr>
          <w:p w14:paraId="04B3602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54" w:type="dxa"/>
            <w:tcBorders>
              <w:top w:val="single" w:sz="4" w:space="0" w:color="auto"/>
              <w:left w:val="single" w:sz="4" w:space="0" w:color="auto"/>
              <w:bottom w:val="single" w:sz="4" w:space="0" w:color="auto"/>
              <w:right w:val="single" w:sz="4" w:space="0" w:color="auto"/>
            </w:tcBorders>
            <w:vAlign w:val="center"/>
          </w:tcPr>
          <w:p w14:paraId="707BB976" w14:textId="77777777" w:rsidR="00A9409C" w:rsidRPr="00AE34E8" w:rsidRDefault="00A9409C" w:rsidP="00094F6F">
            <w:pPr>
              <w:tabs>
                <w:tab w:val="left" w:pos="0"/>
              </w:tabs>
              <w:spacing w:after="0" w:line="240" w:lineRule="auto"/>
              <w:jc w:val="center"/>
              <w:rPr>
                <w:rFonts w:ascii="Times New Roman" w:hAnsi="Times New Roman"/>
                <w:b/>
                <w:bCs/>
                <w:sz w:val="24"/>
                <w:szCs w:val="24"/>
                <w:lang w:val="kk-KZ" w:eastAsia="en-US"/>
              </w:rPr>
            </w:pPr>
            <w:r w:rsidRPr="00AE34E8">
              <w:rPr>
                <w:rFonts w:ascii="Times New Roman" w:hAnsi="Times New Roman"/>
                <w:b/>
                <w:bCs/>
                <w:sz w:val="24"/>
                <w:szCs w:val="24"/>
                <w:lang w:val="kk-KZ" w:eastAsia="en-US"/>
              </w:rPr>
              <w:t>0,025</w:t>
            </w:r>
          </w:p>
        </w:tc>
        <w:tc>
          <w:tcPr>
            <w:tcW w:w="966" w:type="dxa"/>
            <w:gridSpan w:val="3"/>
            <w:tcBorders>
              <w:top w:val="single" w:sz="4" w:space="0" w:color="auto"/>
              <w:left w:val="single" w:sz="4" w:space="0" w:color="auto"/>
              <w:bottom w:val="single" w:sz="4" w:space="0" w:color="auto"/>
              <w:right w:val="single" w:sz="4" w:space="0" w:color="auto"/>
            </w:tcBorders>
            <w:vAlign w:val="center"/>
          </w:tcPr>
          <w:p w14:paraId="5586DE26"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3,525</w:t>
            </w:r>
          </w:p>
        </w:tc>
        <w:tc>
          <w:tcPr>
            <w:tcW w:w="994" w:type="dxa"/>
            <w:tcBorders>
              <w:top w:val="single" w:sz="4" w:space="0" w:color="auto"/>
              <w:left w:val="single" w:sz="4" w:space="0" w:color="auto"/>
              <w:bottom w:val="single" w:sz="4" w:space="0" w:color="auto"/>
              <w:right w:val="single" w:sz="4" w:space="0" w:color="auto"/>
            </w:tcBorders>
            <w:vAlign w:val="center"/>
          </w:tcPr>
          <w:p w14:paraId="3205426E"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1,074</w:t>
            </w:r>
          </w:p>
        </w:tc>
        <w:tc>
          <w:tcPr>
            <w:tcW w:w="1016" w:type="dxa"/>
            <w:tcBorders>
              <w:top w:val="single" w:sz="4" w:space="0" w:color="auto"/>
              <w:left w:val="single" w:sz="4" w:space="0" w:color="auto"/>
              <w:bottom w:val="single" w:sz="4" w:space="0" w:color="auto"/>
              <w:right w:val="single" w:sz="4" w:space="0" w:color="auto"/>
            </w:tcBorders>
            <w:vAlign w:val="center"/>
          </w:tcPr>
          <w:p w14:paraId="0ED23BA6"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2,968</w:t>
            </w:r>
          </w:p>
        </w:tc>
      </w:tr>
      <w:tr w:rsidR="00A9409C" w:rsidRPr="00145B66" w14:paraId="5967AC0F" w14:textId="77777777" w:rsidTr="00094F6F">
        <w:trPr>
          <w:jc w:val="center"/>
        </w:trPr>
        <w:tc>
          <w:tcPr>
            <w:tcW w:w="9639" w:type="dxa"/>
            <w:gridSpan w:val="15"/>
            <w:tcBorders>
              <w:top w:val="single" w:sz="4" w:space="0" w:color="auto"/>
              <w:left w:val="single" w:sz="4" w:space="0" w:color="auto"/>
              <w:bottom w:val="single" w:sz="4" w:space="0" w:color="auto"/>
              <w:right w:val="single" w:sz="4" w:space="0" w:color="auto"/>
            </w:tcBorders>
          </w:tcPr>
          <w:p w14:paraId="68D5493E"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Гистологический тип рака</w:t>
            </w:r>
          </w:p>
        </w:tc>
      </w:tr>
      <w:tr w:rsidR="00A9409C" w:rsidRPr="00145B66" w14:paraId="466B3A33"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auto"/>
            </w:tcBorders>
          </w:tcPr>
          <w:p w14:paraId="7940A1CC" w14:textId="77777777" w:rsidR="00A9409C" w:rsidRPr="00AE34E8" w:rsidRDefault="00A9409C" w:rsidP="00094F6F">
            <w:pPr>
              <w:tabs>
                <w:tab w:val="left" w:pos="0"/>
              </w:tabs>
              <w:spacing w:after="0" w:line="240" w:lineRule="auto"/>
              <w:jc w:val="both"/>
              <w:rPr>
                <w:rFonts w:ascii="Times New Roman" w:hAnsi="Times New Roman"/>
                <w:i/>
                <w:iCs/>
                <w:sz w:val="24"/>
                <w:szCs w:val="24"/>
                <w:lang w:eastAsia="en-US"/>
              </w:rPr>
            </w:pPr>
            <w:r w:rsidRPr="00AE34E8">
              <w:rPr>
                <w:rFonts w:ascii="Times New Roman" w:hAnsi="Times New Roman"/>
                <w:i/>
                <w:iCs/>
                <w:sz w:val="24"/>
                <w:szCs w:val="24"/>
                <w:lang w:eastAsia="en-US"/>
              </w:rPr>
              <w:t>Аденокарцинома</w:t>
            </w:r>
          </w:p>
        </w:tc>
        <w:tc>
          <w:tcPr>
            <w:tcW w:w="949" w:type="dxa"/>
            <w:tcBorders>
              <w:top w:val="single" w:sz="4" w:space="0" w:color="auto"/>
              <w:left w:val="single" w:sz="4" w:space="0" w:color="auto"/>
              <w:bottom w:val="single" w:sz="4" w:space="0" w:color="auto"/>
              <w:right w:val="single" w:sz="4" w:space="0" w:color="auto"/>
            </w:tcBorders>
            <w:vAlign w:val="center"/>
          </w:tcPr>
          <w:p w14:paraId="3F8C13F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0,311</w:t>
            </w:r>
          </w:p>
        </w:tc>
        <w:tc>
          <w:tcPr>
            <w:tcW w:w="829" w:type="dxa"/>
            <w:tcBorders>
              <w:top w:val="single" w:sz="4" w:space="0" w:color="auto"/>
              <w:left w:val="single" w:sz="4" w:space="0" w:color="auto"/>
              <w:bottom w:val="single" w:sz="4" w:space="0" w:color="auto"/>
              <w:right w:val="single" w:sz="4" w:space="0" w:color="auto"/>
            </w:tcBorders>
            <w:vAlign w:val="center"/>
          </w:tcPr>
          <w:p w14:paraId="7BE679C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0,251</w:t>
            </w:r>
          </w:p>
        </w:tc>
        <w:tc>
          <w:tcPr>
            <w:tcW w:w="854" w:type="dxa"/>
            <w:tcBorders>
              <w:top w:val="single" w:sz="4" w:space="0" w:color="auto"/>
              <w:left w:val="single" w:sz="4" w:space="0" w:color="auto"/>
              <w:bottom w:val="single" w:sz="4" w:space="0" w:color="auto"/>
              <w:right w:val="single" w:sz="4" w:space="0" w:color="auto"/>
            </w:tcBorders>
            <w:vAlign w:val="center"/>
          </w:tcPr>
          <w:p w14:paraId="53DB27C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3,212</w:t>
            </w:r>
          </w:p>
        </w:tc>
        <w:tc>
          <w:tcPr>
            <w:tcW w:w="587" w:type="dxa"/>
            <w:gridSpan w:val="4"/>
            <w:tcBorders>
              <w:top w:val="single" w:sz="4" w:space="0" w:color="auto"/>
              <w:left w:val="single" w:sz="4" w:space="0" w:color="auto"/>
              <w:bottom w:val="single" w:sz="4" w:space="0" w:color="auto"/>
              <w:right w:val="single" w:sz="4" w:space="0" w:color="auto"/>
            </w:tcBorders>
            <w:vAlign w:val="center"/>
          </w:tcPr>
          <w:p w14:paraId="1991DEA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54" w:type="dxa"/>
            <w:tcBorders>
              <w:top w:val="single" w:sz="4" w:space="0" w:color="auto"/>
              <w:left w:val="single" w:sz="4" w:space="0" w:color="auto"/>
              <w:bottom w:val="single" w:sz="4" w:space="0" w:color="auto"/>
              <w:right w:val="single" w:sz="4" w:space="0" w:color="auto"/>
            </w:tcBorders>
            <w:vAlign w:val="center"/>
          </w:tcPr>
          <w:p w14:paraId="0C16781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0,084</w:t>
            </w:r>
          </w:p>
        </w:tc>
        <w:tc>
          <w:tcPr>
            <w:tcW w:w="966" w:type="dxa"/>
            <w:gridSpan w:val="3"/>
            <w:tcBorders>
              <w:top w:val="single" w:sz="4" w:space="0" w:color="auto"/>
              <w:left w:val="single" w:sz="4" w:space="0" w:color="auto"/>
              <w:bottom w:val="single" w:sz="4" w:space="0" w:color="auto"/>
              <w:right w:val="single" w:sz="4" w:space="0" w:color="auto"/>
            </w:tcBorders>
            <w:vAlign w:val="center"/>
          </w:tcPr>
          <w:p w14:paraId="5509EDA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0,111</w:t>
            </w:r>
          </w:p>
        </w:tc>
        <w:tc>
          <w:tcPr>
            <w:tcW w:w="994" w:type="dxa"/>
            <w:tcBorders>
              <w:top w:val="single" w:sz="4" w:space="0" w:color="auto"/>
              <w:left w:val="single" w:sz="4" w:space="0" w:color="auto"/>
              <w:bottom w:val="single" w:sz="4" w:space="0" w:color="auto"/>
              <w:right w:val="single" w:sz="4" w:space="0" w:color="auto"/>
            </w:tcBorders>
            <w:vAlign w:val="center"/>
          </w:tcPr>
          <w:p w14:paraId="78EE538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0,010</w:t>
            </w:r>
          </w:p>
        </w:tc>
        <w:tc>
          <w:tcPr>
            <w:tcW w:w="1016" w:type="dxa"/>
            <w:tcBorders>
              <w:top w:val="single" w:sz="4" w:space="0" w:color="auto"/>
              <w:left w:val="single" w:sz="4" w:space="0" w:color="auto"/>
              <w:bottom w:val="single" w:sz="4" w:space="0" w:color="auto"/>
              <w:right w:val="single" w:sz="4" w:space="0" w:color="auto"/>
            </w:tcBorders>
            <w:vAlign w:val="center"/>
          </w:tcPr>
          <w:p w14:paraId="6A07C05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1,456</w:t>
            </w:r>
          </w:p>
        </w:tc>
      </w:tr>
      <w:tr w:rsidR="00A9409C" w:rsidRPr="00145B66" w14:paraId="18D8B1B9" w14:textId="77777777" w:rsidTr="00094F6F">
        <w:trPr>
          <w:jc w:val="center"/>
        </w:trPr>
        <w:tc>
          <w:tcPr>
            <w:tcW w:w="2590" w:type="dxa"/>
            <w:gridSpan w:val="2"/>
            <w:tcBorders>
              <w:top w:val="single" w:sz="4" w:space="0" w:color="auto"/>
              <w:left w:val="single" w:sz="4" w:space="0" w:color="auto"/>
              <w:right w:val="single" w:sz="4" w:space="0" w:color="auto"/>
            </w:tcBorders>
            <w:hideMark/>
          </w:tcPr>
          <w:p w14:paraId="1AA499E3" w14:textId="77777777" w:rsidR="00A9409C" w:rsidRPr="00AE34E8" w:rsidRDefault="00A9409C" w:rsidP="00094F6F">
            <w:pPr>
              <w:tabs>
                <w:tab w:val="left" w:pos="0"/>
              </w:tabs>
              <w:spacing w:after="0" w:line="240" w:lineRule="auto"/>
              <w:jc w:val="both"/>
              <w:rPr>
                <w:rFonts w:ascii="Times New Roman" w:hAnsi="Times New Roman"/>
                <w:i/>
                <w:iCs/>
                <w:sz w:val="24"/>
                <w:szCs w:val="24"/>
                <w:lang w:eastAsia="en-US"/>
              </w:rPr>
            </w:pPr>
            <w:r w:rsidRPr="00AE34E8">
              <w:rPr>
                <w:rFonts w:ascii="Times New Roman" w:hAnsi="Times New Roman"/>
                <w:i/>
                <w:iCs/>
                <w:sz w:val="24"/>
                <w:szCs w:val="24"/>
                <w:lang w:eastAsia="en-US"/>
              </w:rPr>
              <w:t>Перстневидно-клеточная карцинома</w:t>
            </w:r>
          </w:p>
        </w:tc>
        <w:tc>
          <w:tcPr>
            <w:tcW w:w="949" w:type="dxa"/>
            <w:tcBorders>
              <w:top w:val="single" w:sz="4" w:space="0" w:color="auto"/>
              <w:left w:val="single" w:sz="4" w:space="0" w:color="auto"/>
              <w:right w:val="single" w:sz="4" w:space="0" w:color="auto"/>
            </w:tcBorders>
            <w:vAlign w:val="center"/>
          </w:tcPr>
          <w:p w14:paraId="37B0476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0,785</w:t>
            </w:r>
          </w:p>
        </w:tc>
        <w:tc>
          <w:tcPr>
            <w:tcW w:w="829" w:type="dxa"/>
            <w:tcBorders>
              <w:top w:val="single" w:sz="4" w:space="0" w:color="auto"/>
              <w:left w:val="single" w:sz="4" w:space="0" w:color="auto"/>
              <w:right w:val="single" w:sz="4" w:space="0" w:color="auto"/>
            </w:tcBorders>
            <w:vAlign w:val="center"/>
          </w:tcPr>
          <w:p w14:paraId="00AFD4C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0,162</w:t>
            </w:r>
          </w:p>
        </w:tc>
        <w:tc>
          <w:tcPr>
            <w:tcW w:w="854" w:type="dxa"/>
            <w:tcBorders>
              <w:top w:val="single" w:sz="4" w:space="0" w:color="auto"/>
              <w:left w:val="single" w:sz="4" w:space="0" w:color="auto"/>
              <w:right w:val="single" w:sz="4" w:space="0" w:color="auto"/>
            </w:tcBorders>
            <w:vAlign w:val="center"/>
          </w:tcPr>
          <w:p w14:paraId="7483472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2,384</w:t>
            </w:r>
          </w:p>
        </w:tc>
        <w:tc>
          <w:tcPr>
            <w:tcW w:w="587" w:type="dxa"/>
            <w:gridSpan w:val="4"/>
            <w:tcBorders>
              <w:top w:val="single" w:sz="4" w:space="0" w:color="auto"/>
              <w:left w:val="single" w:sz="4" w:space="0" w:color="auto"/>
              <w:right w:val="single" w:sz="4" w:space="0" w:color="auto"/>
            </w:tcBorders>
            <w:vAlign w:val="center"/>
          </w:tcPr>
          <w:p w14:paraId="6B4ED54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54" w:type="dxa"/>
            <w:tcBorders>
              <w:top w:val="single" w:sz="4" w:space="0" w:color="auto"/>
              <w:left w:val="single" w:sz="4" w:space="0" w:color="auto"/>
              <w:right w:val="single" w:sz="4" w:space="0" w:color="auto"/>
            </w:tcBorders>
            <w:vAlign w:val="center"/>
          </w:tcPr>
          <w:p w14:paraId="4A59E0A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0,541</w:t>
            </w:r>
          </w:p>
        </w:tc>
        <w:tc>
          <w:tcPr>
            <w:tcW w:w="966" w:type="dxa"/>
            <w:gridSpan w:val="3"/>
            <w:tcBorders>
              <w:top w:val="single" w:sz="4" w:space="0" w:color="auto"/>
              <w:left w:val="single" w:sz="4" w:space="0" w:color="auto"/>
              <w:right w:val="single" w:sz="4" w:space="0" w:color="auto"/>
            </w:tcBorders>
            <w:vAlign w:val="center"/>
          </w:tcPr>
          <w:p w14:paraId="750D813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0,125</w:t>
            </w:r>
          </w:p>
        </w:tc>
        <w:tc>
          <w:tcPr>
            <w:tcW w:w="994" w:type="dxa"/>
            <w:tcBorders>
              <w:top w:val="single" w:sz="4" w:space="0" w:color="auto"/>
              <w:left w:val="single" w:sz="4" w:space="0" w:color="auto"/>
              <w:right w:val="single" w:sz="4" w:space="0" w:color="auto"/>
            </w:tcBorders>
            <w:vAlign w:val="center"/>
          </w:tcPr>
          <w:p w14:paraId="2222636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0,368</w:t>
            </w:r>
          </w:p>
        </w:tc>
        <w:tc>
          <w:tcPr>
            <w:tcW w:w="1016" w:type="dxa"/>
            <w:tcBorders>
              <w:top w:val="single" w:sz="4" w:space="0" w:color="auto"/>
              <w:left w:val="single" w:sz="4" w:space="0" w:color="auto"/>
              <w:right w:val="single" w:sz="4" w:space="0" w:color="auto"/>
            </w:tcBorders>
            <w:vAlign w:val="center"/>
          </w:tcPr>
          <w:p w14:paraId="1C4B892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2,365</w:t>
            </w:r>
          </w:p>
        </w:tc>
      </w:tr>
      <w:tr w:rsidR="00A9409C" w:rsidRPr="00145B66" w14:paraId="72AA154C"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auto"/>
            </w:tcBorders>
            <w:hideMark/>
          </w:tcPr>
          <w:p w14:paraId="4C26CDEA" w14:textId="77777777" w:rsidR="00A9409C" w:rsidRPr="00AE34E8" w:rsidRDefault="00A9409C" w:rsidP="00094F6F">
            <w:pPr>
              <w:tabs>
                <w:tab w:val="left" w:pos="0"/>
              </w:tabs>
              <w:spacing w:after="0" w:line="240" w:lineRule="auto"/>
              <w:jc w:val="both"/>
              <w:rPr>
                <w:rFonts w:ascii="Times New Roman" w:hAnsi="Times New Roman"/>
                <w:i/>
                <w:iCs/>
                <w:sz w:val="24"/>
                <w:szCs w:val="24"/>
                <w:lang w:eastAsia="en-US"/>
              </w:rPr>
            </w:pPr>
            <w:r w:rsidRPr="00AE34E8">
              <w:rPr>
                <w:rFonts w:ascii="Times New Roman" w:hAnsi="Times New Roman"/>
                <w:i/>
                <w:iCs/>
                <w:sz w:val="24"/>
                <w:szCs w:val="24"/>
                <w:lang w:eastAsia="en-US"/>
              </w:rPr>
              <w:t>Недифференцированная карцинома</w:t>
            </w:r>
          </w:p>
        </w:tc>
        <w:tc>
          <w:tcPr>
            <w:tcW w:w="949" w:type="dxa"/>
            <w:tcBorders>
              <w:top w:val="single" w:sz="4" w:space="0" w:color="auto"/>
              <w:left w:val="single" w:sz="4" w:space="0" w:color="auto"/>
              <w:bottom w:val="single" w:sz="4" w:space="0" w:color="auto"/>
              <w:right w:val="single" w:sz="4" w:space="0" w:color="auto"/>
            </w:tcBorders>
            <w:vAlign w:val="center"/>
          </w:tcPr>
          <w:p w14:paraId="07B65D5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-0,865</w:t>
            </w:r>
          </w:p>
        </w:tc>
        <w:tc>
          <w:tcPr>
            <w:tcW w:w="829" w:type="dxa"/>
            <w:tcBorders>
              <w:top w:val="single" w:sz="4" w:space="0" w:color="auto"/>
              <w:left w:val="single" w:sz="4" w:space="0" w:color="auto"/>
              <w:bottom w:val="single" w:sz="4" w:space="0" w:color="auto"/>
              <w:right w:val="single" w:sz="4" w:space="0" w:color="auto"/>
            </w:tcBorders>
            <w:vAlign w:val="center"/>
          </w:tcPr>
          <w:p w14:paraId="7A2738C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0,233</w:t>
            </w:r>
          </w:p>
        </w:tc>
        <w:tc>
          <w:tcPr>
            <w:tcW w:w="854" w:type="dxa"/>
            <w:tcBorders>
              <w:top w:val="single" w:sz="4" w:space="0" w:color="auto"/>
              <w:left w:val="single" w:sz="4" w:space="0" w:color="auto"/>
              <w:bottom w:val="single" w:sz="4" w:space="0" w:color="auto"/>
              <w:right w:val="single" w:sz="4" w:space="0" w:color="auto"/>
            </w:tcBorders>
            <w:vAlign w:val="center"/>
          </w:tcPr>
          <w:p w14:paraId="4DB92AC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4,651</w:t>
            </w:r>
          </w:p>
        </w:tc>
        <w:tc>
          <w:tcPr>
            <w:tcW w:w="587" w:type="dxa"/>
            <w:gridSpan w:val="4"/>
            <w:tcBorders>
              <w:top w:val="single" w:sz="4" w:space="0" w:color="auto"/>
              <w:left w:val="single" w:sz="4" w:space="0" w:color="auto"/>
              <w:bottom w:val="single" w:sz="4" w:space="0" w:color="auto"/>
              <w:right w:val="single" w:sz="4" w:space="0" w:color="auto"/>
            </w:tcBorders>
            <w:vAlign w:val="center"/>
          </w:tcPr>
          <w:p w14:paraId="53AA755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54" w:type="dxa"/>
            <w:tcBorders>
              <w:top w:val="single" w:sz="4" w:space="0" w:color="auto"/>
              <w:left w:val="single" w:sz="4" w:space="0" w:color="auto"/>
              <w:bottom w:val="single" w:sz="4" w:space="0" w:color="auto"/>
              <w:right w:val="single" w:sz="4" w:space="0" w:color="auto"/>
            </w:tcBorders>
            <w:vAlign w:val="center"/>
          </w:tcPr>
          <w:p w14:paraId="4D64B07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0,751</w:t>
            </w:r>
          </w:p>
        </w:tc>
        <w:tc>
          <w:tcPr>
            <w:tcW w:w="966" w:type="dxa"/>
            <w:gridSpan w:val="3"/>
            <w:tcBorders>
              <w:top w:val="single" w:sz="4" w:space="0" w:color="auto"/>
              <w:left w:val="single" w:sz="4" w:space="0" w:color="auto"/>
              <w:bottom w:val="single" w:sz="4" w:space="0" w:color="auto"/>
              <w:right w:val="single" w:sz="4" w:space="0" w:color="auto"/>
            </w:tcBorders>
            <w:vAlign w:val="center"/>
          </w:tcPr>
          <w:p w14:paraId="2AD3D7D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2,151</w:t>
            </w:r>
          </w:p>
        </w:tc>
        <w:tc>
          <w:tcPr>
            <w:tcW w:w="994" w:type="dxa"/>
            <w:tcBorders>
              <w:top w:val="single" w:sz="4" w:space="0" w:color="auto"/>
              <w:left w:val="single" w:sz="4" w:space="0" w:color="auto"/>
              <w:bottom w:val="single" w:sz="4" w:space="0" w:color="auto"/>
              <w:right w:val="single" w:sz="4" w:space="0" w:color="auto"/>
            </w:tcBorders>
            <w:vAlign w:val="center"/>
          </w:tcPr>
          <w:p w14:paraId="1C0B6B6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0,115</w:t>
            </w:r>
          </w:p>
        </w:tc>
        <w:tc>
          <w:tcPr>
            <w:tcW w:w="1016" w:type="dxa"/>
            <w:tcBorders>
              <w:top w:val="single" w:sz="4" w:space="0" w:color="auto"/>
              <w:left w:val="single" w:sz="4" w:space="0" w:color="auto"/>
              <w:bottom w:val="single" w:sz="4" w:space="0" w:color="auto"/>
              <w:right w:val="single" w:sz="4" w:space="0" w:color="auto"/>
            </w:tcBorders>
            <w:vAlign w:val="center"/>
          </w:tcPr>
          <w:p w14:paraId="7D243FA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11,651</w:t>
            </w:r>
          </w:p>
        </w:tc>
      </w:tr>
      <w:tr w:rsidR="00A9409C" w:rsidRPr="00145B66" w14:paraId="52C313F8" w14:textId="77777777" w:rsidTr="00094F6F">
        <w:trPr>
          <w:jc w:val="center"/>
        </w:trPr>
        <w:tc>
          <w:tcPr>
            <w:tcW w:w="9639" w:type="dxa"/>
            <w:gridSpan w:val="15"/>
            <w:tcBorders>
              <w:top w:val="single" w:sz="4" w:space="0" w:color="auto"/>
              <w:left w:val="single" w:sz="4" w:space="0" w:color="auto"/>
              <w:bottom w:val="single" w:sz="4" w:space="0" w:color="auto"/>
              <w:right w:val="single" w:sz="4" w:space="0" w:color="auto"/>
            </w:tcBorders>
          </w:tcPr>
          <w:p w14:paraId="01FFF0BC"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Степень дифференцировки</w:t>
            </w:r>
          </w:p>
        </w:tc>
      </w:tr>
      <w:tr w:rsidR="00A9409C" w:rsidRPr="00145B66" w14:paraId="28D0C167"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auto"/>
            </w:tcBorders>
          </w:tcPr>
          <w:p w14:paraId="20E1E95D" w14:textId="77777777" w:rsidR="00A9409C" w:rsidRPr="00AE34E8" w:rsidRDefault="00A9409C" w:rsidP="00094F6F">
            <w:pPr>
              <w:spacing w:after="0" w:line="240" w:lineRule="auto"/>
              <w:jc w:val="both"/>
              <w:rPr>
                <w:rFonts w:ascii="Times New Roman" w:hAnsi="Times New Roman"/>
                <w:bCs/>
                <w:i/>
                <w:iCs/>
                <w:sz w:val="24"/>
                <w:szCs w:val="24"/>
                <w:lang w:eastAsia="en-US"/>
              </w:rPr>
            </w:pPr>
            <w:r w:rsidRPr="00AE34E8">
              <w:rPr>
                <w:rFonts w:ascii="Times New Roman" w:hAnsi="Times New Roman"/>
                <w:bCs/>
                <w:i/>
                <w:iCs/>
                <w:sz w:val="24"/>
                <w:szCs w:val="24"/>
                <w:lang w:eastAsia="en-US"/>
              </w:rPr>
              <w:t xml:space="preserve">Низкая </w:t>
            </w:r>
          </w:p>
        </w:tc>
        <w:tc>
          <w:tcPr>
            <w:tcW w:w="949" w:type="dxa"/>
            <w:tcBorders>
              <w:top w:val="single" w:sz="4" w:space="0" w:color="auto"/>
              <w:left w:val="single" w:sz="4" w:space="0" w:color="auto"/>
              <w:bottom w:val="single" w:sz="4" w:space="0" w:color="auto"/>
              <w:right w:val="single" w:sz="4" w:space="0" w:color="auto"/>
            </w:tcBorders>
            <w:vAlign w:val="center"/>
          </w:tcPr>
          <w:p w14:paraId="15C25E3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0,425</w:t>
            </w:r>
          </w:p>
        </w:tc>
        <w:tc>
          <w:tcPr>
            <w:tcW w:w="829" w:type="dxa"/>
            <w:tcBorders>
              <w:top w:val="single" w:sz="4" w:space="0" w:color="auto"/>
              <w:left w:val="single" w:sz="4" w:space="0" w:color="auto"/>
              <w:bottom w:val="single" w:sz="4" w:space="0" w:color="auto"/>
              <w:right w:val="single" w:sz="4" w:space="0" w:color="auto"/>
            </w:tcBorders>
            <w:vAlign w:val="center"/>
          </w:tcPr>
          <w:p w14:paraId="5CA53E1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0,298</w:t>
            </w:r>
          </w:p>
        </w:tc>
        <w:tc>
          <w:tcPr>
            <w:tcW w:w="868" w:type="dxa"/>
            <w:gridSpan w:val="2"/>
            <w:tcBorders>
              <w:top w:val="single" w:sz="4" w:space="0" w:color="auto"/>
              <w:left w:val="single" w:sz="4" w:space="0" w:color="auto"/>
              <w:bottom w:val="single" w:sz="4" w:space="0" w:color="auto"/>
              <w:right w:val="single" w:sz="4" w:space="0" w:color="auto"/>
            </w:tcBorders>
            <w:vAlign w:val="center"/>
          </w:tcPr>
          <w:p w14:paraId="4A4CF27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1,625</w:t>
            </w:r>
          </w:p>
        </w:tc>
        <w:tc>
          <w:tcPr>
            <w:tcW w:w="573" w:type="dxa"/>
            <w:gridSpan w:val="3"/>
            <w:tcBorders>
              <w:top w:val="single" w:sz="4" w:space="0" w:color="auto"/>
              <w:left w:val="single" w:sz="4" w:space="0" w:color="auto"/>
              <w:bottom w:val="single" w:sz="4" w:space="0" w:color="auto"/>
              <w:right w:val="single" w:sz="4" w:space="0" w:color="auto"/>
            </w:tcBorders>
            <w:vAlign w:val="center"/>
          </w:tcPr>
          <w:p w14:paraId="04FDC85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68" w:type="dxa"/>
            <w:gridSpan w:val="2"/>
            <w:tcBorders>
              <w:top w:val="single" w:sz="4" w:space="0" w:color="auto"/>
              <w:left w:val="single" w:sz="4" w:space="0" w:color="auto"/>
              <w:bottom w:val="single" w:sz="4" w:space="0" w:color="auto"/>
              <w:right w:val="single" w:sz="4" w:space="0" w:color="auto"/>
            </w:tcBorders>
            <w:vAlign w:val="center"/>
          </w:tcPr>
          <w:p w14:paraId="16FAC18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0,265</w:t>
            </w:r>
          </w:p>
        </w:tc>
        <w:tc>
          <w:tcPr>
            <w:tcW w:w="952" w:type="dxa"/>
            <w:gridSpan w:val="2"/>
            <w:tcBorders>
              <w:top w:val="single" w:sz="4" w:space="0" w:color="auto"/>
              <w:left w:val="single" w:sz="4" w:space="0" w:color="auto"/>
              <w:bottom w:val="single" w:sz="4" w:space="0" w:color="auto"/>
              <w:right w:val="single" w:sz="4" w:space="0" w:color="auto"/>
            </w:tcBorders>
            <w:vAlign w:val="center"/>
          </w:tcPr>
          <w:p w14:paraId="2CDEA29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0,892</w:t>
            </w:r>
          </w:p>
        </w:tc>
        <w:tc>
          <w:tcPr>
            <w:tcW w:w="994" w:type="dxa"/>
            <w:tcBorders>
              <w:top w:val="single" w:sz="4" w:space="0" w:color="auto"/>
              <w:left w:val="single" w:sz="4" w:space="0" w:color="auto"/>
              <w:bottom w:val="single" w:sz="4" w:space="0" w:color="auto"/>
              <w:right w:val="single" w:sz="4" w:space="0" w:color="auto"/>
            </w:tcBorders>
            <w:vAlign w:val="center"/>
          </w:tcPr>
          <w:p w14:paraId="7411740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0,629</w:t>
            </w:r>
          </w:p>
        </w:tc>
        <w:tc>
          <w:tcPr>
            <w:tcW w:w="1016" w:type="dxa"/>
            <w:tcBorders>
              <w:top w:val="single" w:sz="4" w:space="0" w:color="auto"/>
              <w:left w:val="single" w:sz="4" w:space="0" w:color="auto"/>
              <w:bottom w:val="single" w:sz="4" w:space="0" w:color="auto"/>
              <w:right w:val="single" w:sz="4" w:space="0" w:color="auto"/>
            </w:tcBorders>
            <w:vAlign w:val="center"/>
          </w:tcPr>
          <w:p w14:paraId="5C9DB25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5,629</w:t>
            </w:r>
          </w:p>
        </w:tc>
      </w:tr>
      <w:tr w:rsidR="00A9409C" w:rsidRPr="00145B66" w14:paraId="46135055"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auto"/>
            </w:tcBorders>
          </w:tcPr>
          <w:p w14:paraId="6B984C8E" w14:textId="77777777" w:rsidR="00A9409C" w:rsidRPr="00AE34E8" w:rsidRDefault="00A9409C" w:rsidP="00094F6F">
            <w:pPr>
              <w:spacing w:after="0" w:line="240" w:lineRule="auto"/>
              <w:jc w:val="both"/>
              <w:rPr>
                <w:rFonts w:ascii="Times New Roman" w:hAnsi="Times New Roman"/>
                <w:bCs/>
                <w:i/>
                <w:iCs/>
                <w:sz w:val="24"/>
                <w:szCs w:val="24"/>
                <w:lang w:eastAsia="en-US"/>
              </w:rPr>
            </w:pPr>
            <w:r w:rsidRPr="00AE34E8">
              <w:rPr>
                <w:rFonts w:ascii="Times New Roman" w:hAnsi="Times New Roman"/>
                <w:bCs/>
                <w:i/>
                <w:iCs/>
                <w:sz w:val="24"/>
                <w:szCs w:val="24"/>
                <w:lang w:eastAsia="en-US"/>
              </w:rPr>
              <w:t xml:space="preserve">Высокая </w:t>
            </w:r>
          </w:p>
        </w:tc>
        <w:tc>
          <w:tcPr>
            <w:tcW w:w="949" w:type="dxa"/>
            <w:tcBorders>
              <w:top w:val="single" w:sz="4" w:space="0" w:color="auto"/>
              <w:left w:val="single" w:sz="4" w:space="0" w:color="auto"/>
              <w:bottom w:val="single" w:sz="4" w:space="0" w:color="auto"/>
              <w:right w:val="single" w:sz="4" w:space="0" w:color="auto"/>
            </w:tcBorders>
            <w:vAlign w:val="center"/>
          </w:tcPr>
          <w:p w14:paraId="4CBDD00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3,841</w:t>
            </w:r>
          </w:p>
        </w:tc>
        <w:tc>
          <w:tcPr>
            <w:tcW w:w="829" w:type="dxa"/>
            <w:tcBorders>
              <w:top w:val="single" w:sz="4" w:space="0" w:color="auto"/>
              <w:left w:val="single" w:sz="4" w:space="0" w:color="auto"/>
              <w:bottom w:val="single" w:sz="4" w:space="0" w:color="auto"/>
              <w:right w:val="single" w:sz="4" w:space="0" w:color="auto"/>
            </w:tcBorders>
            <w:vAlign w:val="center"/>
          </w:tcPr>
          <w:p w14:paraId="28E1B04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0,753</w:t>
            </w:r>
          </w:p>
        </w:tc>
        <w:tc>
          <w:tcPr>
            <w:tcW w:w="868" w:type="dxa"/>
            <w:gridSpan w:val="2"/>
            <w:tcBorders>
              <w:top w:val="single" w:sz="4" w:space="0" w:color="auto"/>
              <w:left w:val="single" w:sz="4" w:space="0" w:color="auto"/>
              <w:bottom w:val="single" w:sz="4" w:space="0" w:color="auto"/>
              <w:right w:val="single" w:sz="4" w:space="0" w:color="auto"/>
            </w:tcBorders>
            <w:vAlign w:val="center"/>
          </w:tcPr>
          <w:p w14:paraId="7534353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4,641</w:t>
            </w:r>
          </w:p>
        </w:tc>
        <w:tc>
          <w:tcPr>
            <w:tcW w:w="573" w:type="dxa"/>
            <w:gridSpan w:val="3"/>
            <w:tcBorders>
              <w:top w:val="single" w:sz="4" w:space="0" w:color="auto"/>
              <w:left w:val="single" w:sz="4" w:space="0" w:color="auto"/>
              <w:bottom w:val="single" w:sz="4" w:space="0" w:color="auto"/>
              <w:right w:val="single" w:sz="4" w:space="0" w:color="auto"/>
            </w:tcBorders>
            <w:vAlign w:val="center"/>
          </w:tcPr>
          <w:p w14:paraId="6EEA32E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68" w:type="dxa"/>
            <w:gridSpan w:val="2"/>
            <w:tcBorders>
              <w:top w:val="single" w:sz="4" w:space="0" w:color="auto"/>
              <w:left w:val="single" w:sz="4" w:space="0" w:color="auto"/>
              <w:bottom w:val="single" w:sz="4" w:space="0" w:color="auto"/>
              <w:right w:val="single" w:sz="4" w:space="0" w:color="auto"/>
            </w:tcBorders>
            <w:vAlign w:val="center"/>
          </w:tcPr>
          <w:p w14:paraId="29AFC37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0,735</w:t>
            </w:r>
          </w:p>
        </w:tc>
        <w:tc>
          <w:tcPr>
            <w:tcW w:w="952" w:type="dxa"/>
            <w:gridSpan w:val="2"/>
            <w:tcBorders>
              <w:top w:val="single" w:sz="4" w:space="0" w:color="auto"/>
              <w:left w:val="single" w:sz="4" w:space="0" w:color="auto"/>
              <w:bottom w:val="single" w:sz="4" w:space="0" w:color="auto"/>
              <w:right w:val="single" w:sz="4" w:space="0" w:color="auto"/>
            </w:tcBorders>
            <w:vAlign w:val="center"/>
          </w:tcPr>
          <w:p w14:paraId="56EAE70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0,861</w:t>
            </w:r>
          </w:p>
        </w:tc>
        <w:tc>
          <w:tcPr>
            <w:tcW w:w="994" w:type="dxa"/>
            <w:tcBorders>
              <w:top w:val="single" w:sz="4" w:space="0" w:color="auto"/>
              <w:left w:val="single" w:sz="4" w:space="0" w:color="auto"/>
              <w:bottom w:val="single" w:sz="4" w:space="0" w:color="auto"/>
              <w:right w:val="single" w:sz="4" w:space="0" w:color="auto"/>
            </w:tcBorders>
            <w:vAlign w:val="center"/>
          </w:tcPr>
          <w:p w14:paraId="0CADCAD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0,711</w:t>
            </w:r>
          </w:p>
        </w:tc>
        <w:tc>
          <w:tcPr>
            <w:tcW w:w="1016" w:type="dxa"/>
            <w:tcBorders>
              <w:top w:val="single" w:sz="4" w:space="0" w:color="auto"/>
              <w:left w:val="single" w:sz="4" w:space="0" w:color="auto"/>
              <w:bottom w:val="single" w:sz="4" w:space="0" w:color="auto"/>
              <w:right w:val="single" w:sz="4" w:space="0" w:color="auto"/>
            </w:tcBorders>
            <w:vAlign w:val="center"/>
          </w:tcPr>
          <w:p w14:paraId="024C598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4,561</w:t>
            </w:r>
          </w:p>
        </w:tc>
      </w:tr>
      <w:tr w:rsidR="00A9409C" w:rsidRPr="00145B66" w14:paraId="3611939B" w14:textId="77777777" w:rsidTr="00094F6F">
        <w:trPr>
          <w:jc w:val="center"/>
        </w:trPr>
        <w:tc>
          <w:tcPr>
            <w:tcW w:w="9639" w:type="dxa"/>
            <w:gridSpan w:val="15"/>
            <w:tcBorders>
              <w:top w:val="single" w:sz="4" w:space="0" w:color="auto"/>
              <w:left w:val="single" w:sz="4" w:space="0" w:color="auto"/>
              <w:bottom w:val="single" w:sz="4" w:space="0" w:color="auto"/>
              <w:right w:val="single" w:sz="4" w:space="0" w:color="auto"/>
            </w:tcBorders>
          </w:tcPr>
          <w:p w14:paraId="6DFDA0E0"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Локализация рака</w:t>
            </w:r>
          </w:p>
        </w:tc>
      </w:tr>
      <w:tr w:rsidR="00A9409C" w:rsidRPr="00145B66" w14:paraId="4C99CA5D"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auto"/>
            </w:tcBorders>
          </w:tcPr>
          <w:p w14:paraId="5B58803E" w14:textId="77777777" w:rsidR="00A9409C" w:rsidRPr="00AE34E8" w:rsidRDefault="00A9409C" w:rsidP="00094F6F">
            <w:pPr>
              <w:spacing w:after="0" w:line="240" w:lineRule="auto"/>
              <w:jc w:val="both"/>
              <w:rPr>
                <w:rFonts w:ascii="Times New Roman" w:hAnsi="Times New Roman"/>
                <w:bCs/>
                <w:i/>
                <w:iCs/>
                <w:sz w:val="24"/>
                <w:szCs w:val="24"/>
                <w:lang w:eastAsia="en-US"/>
              </w:rPr>
            </w:pPr>
            <w:r w:rsidRPr="00AE34E8">
              <w:rPr>
                <w:rFonts w:ascii="Times New Roman" w:hAnsi="Times New Roman"/>
                <w:bCs/>
                <w:i/>
                <w:iCs/>
                <w:sz w:val="24"/>
                <w:szCs w:val="24"/>
                <w:lang w:eastAsia="en-US"/>
              </w:rPr>
              <w:t>Восходящая ободочная кишка</w:t>
            </w:r>
          </w:p>
        </w:tc>
        <w:tc>
          <w:tcPr>
            <w:tcW w:w="949" w:type="dxa"/>
            <w:tcBorders>
              <w:top w:val="single" w:sz="4" w:space="0" w:color="auto"/>
              <w:left w:val="single" w:sz="4" w:space="0" w:color="auto"/>
              <w:bottom w:val="single" w:sz="4" w:space="0" w:color="auto"/>
              <w:right w:val="single" w:sz="4" w:space="0" w:color="auto"/>
            </w:tcBorders>
            <w:vAlign w:val="center"/>
          </w:tcPr>
          <w:p w14:paraId="6D3CA9A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3,131</w:t>
            </w:r>
          </w:p>
        </w:tc>
        <w:tc>
          <w:tcPr>
            <w:tcW w:w="829" w:type="dxa"/>
            <w:tcBorders>
              <w:top w:val="single" w:sz="4" w:space="0" w:color="auto"/>
              <w:left w:val="single" w:sz="4" w:space="0" w:color="auto"/>
              <w:bottom w:val="single" w:sz="4" w:space="0" w:color="auto"/>
              <w:right w:val="single" w:sz="4" w:space="0" w:color="auto"/>
            </w:tcBorders>
            <w:vAlign w:val="center"/>
          </w:tcPr>
          <w:p w14:paraId="4B466C4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0,841</w:t>
            </w:r>
          </w:p>
        </w:tc>
        <w:tc>
          <w:tcPr>
            <w:tcW w:w="868" w:type="dxa"/>
            <w:gridSpan w:val="2"/>
            <w:tcBorders>
              <w:top w:val="single" w:sz="4" w:space="0" w:color="auto"/>
              <w:left w:val="single" w:sz="4" w:space="0" w:color="auto"/>
              <w:bottom w:val="single" w:sz="4" w:space="0" w:color="auto"/>
              <w:right w:val="single" w:sz="4" w:space="0" w:color="auto"/>
            </w:tcBorders>
            <w:vAlign w:val="center"/>
          </w:tcPr>
          <w:p w14:paraId="67B4A13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1,321</w:t>
            </w:r>
          </w:p>
        </w:tc>
        <w:tc>
          <w:tcPr>
            <w:tcW w:w="559" w:type="dxa"/>
            <w:gridSpan w:val="2"/>
            <w:tcBorders>
              <w:top w:val="single" w:sz="4" w:space="0" w:color="auto"/>
              <w:left w:val="single" w:sz="4" w:space="0" w:color="auto"/>
              <w:bottom w:val="single" w:sz="4" w:space="0" w:color="auto"/>
              <w:right w:val="single" w:sz="4" w:space="0" w:color="auto"/>
            </w:tcBorders>
            <w:vAlign w:val="center"/>
          </w:tcPr>
          <w:p w14:paraId="179937B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82" w:type="dxa"/>
            <w:gridSpan w:val="3"/>
            <w:tcBorders>
              <w:top w:val="single" w:sz="4" w:space="0" w:color="auto"/>
              <w:left w:val="single" w:sz="4" w:space="0" w:color="auto"/>
              <w:bottom w:val="single" w:sz="4" w:space="0" w:color="auto"/>
              <w:right w:val="single" w:sz="4" w:space="0" w:color="auto"/>
            </w:tcBorders>
            <w:vAlign w:val="center"/>
          </w:tcPr>
          <w:p w14:paraId="6BFA0EB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0,512</w:t>
            </w:r>
          </w:p>
        </w:tc>
        <w:tc>
          <w:tcPr>
            <w:tcW w:w="952" w:type="dxa"/>
            <w:gridSpan w:val="2"/>
            <w:tcBorders>
              <w:top w:val="single" w:sz="4" w:space="0" w:color="auto"/>
              <w:left w:val="single" w:sz="4" w:space="0" w:color="auto"/>
              <w:bottom w:val="single" w:sz="4" w:space="0" w:color="auto"/>
              <w:right w:val="single" w:sz="4" w:space="0" w:color="auto"/>
            </w:tcBorders>
            <w:vAlign w:val="center"/>
          </w:tcPr>
          <w:p w14:paraId="731349A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1,421</w:t>
            </w:r>
          </w:p>
        </w:tc>
        <w:tc>
          <w:tcPr>
            <w:tcW w:w="994" w:type="dxa"/>
            <w:tcBorders>
              <w:top w:val="single" w:sz="4" w:space="0" w:color="auto"/>
              <w:left w:val="single" w:sz="4" w:space="0" w:color="auto"/>
              <w:bottom w:val="single" w:sz="4" w:space="0" w:color="auto"/>
              <w:right w:val="single" w:sz="4" w:space="0" w:color="auto"/>
            </w:tcBorders>
            <w:vAlign w:val="center"/>
          </w:tcPr>
          <w:p w14:paraId="45FDC7D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0,948</w:t>
            </w:r>
          </w:p>
        </w:tc>
        <w:tc>
          <w:tcPr>
            <w:tcW w:w="1016" w:type="dxa"/>
            <w:tcBorders>
              <w:top w:val="single" w:sz="4" w:space="0" w:color="auto"/>
              <w:left w:val="single" w:sz="4" w:space="0" w:color="auto"/>
              <w:bottom w:val="single" w:sz="4" w:space="0" w:color="auto"/>
              <w:right w:val="single" w:sz="4" w:space="0" w:color="auto"/>
            </w:tcBorders>
            <w:vAlign w:val="center"/>
          </w:tcPr>
          <w:p w14:paraId="33E7544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4,532</w:t>
            </w:r>
          </w:p>
        </w:tc>
      </w:tr>
      <w:tr w:rsidR="00A9409C" w:rsidRPr="00145B66" w14:paraId="72C095A0" w14:textId="77777777" w:rsidTr="00094F6F">
        <w:trPr>
          <w:jc w:val="center"/>
        </w:trPr>
        <w:tc>
          <w:tcPr>
            <w:tcW w:w="2590" w:type="dxa"/>
            <w:gridSpan w:val="2"/>
            <w:tcBorders>
              <w:top w:val="single" w:sz="4" w:space="0" w:color="auto"/>
              <w:left w:val="single" w:sz="4" w:space="0" w:color="auto"/>
              <w:right w:val="single" w:sz="4" w:space="0" w:color="auto"/>
            </w:tcBorders>
          </w:tcPr>
          <w:p w14:paraId="42F53B0F" w14:textId="77777777" w:rsidR="00A9409C" w:rsidRPr="00AE34E8" w:rsidRDefault="00A9409C" w:rsidP="00094F6F">
            <w:pPr>
              <w:spacing w:after="0" w:line="240" w:lineRule="auto"/>
              <w:jc w:val="both"/>
              <w:rPr>
                <w:rFonts w:ascii="Times New Roman" w:hAnsi="Times New Roman"/>
                <w:bCs/>
                <w:i/>
                <w:iCs/>
                <w:sz w:val="24"/>
                <w:szCs w:val="24"/>
                <w:lang w:eastAsia="en-US"/>
              </w:rPr>
            </w:pPr>
            <w:r w:rsidRPr="00AE34E8">
              <w:rPr>
                <w:rFonts w:ascii="Times New Roman" w:hAnsi="Times New Roman"/>
                <w:bCs/>
                <w:i/>
                <w:iCs/>
                <w:sz w:val="24"/>
                <w:szCs w:val="24"/>
                <w:lang w:eastAsia="en-US"/>
              </w:rPr>
              <w:t>Поперечно-ободочная кишка</w:t>
            </w:r>
          </w:p>
        </w:tc>
        <w:tc>
          <w:tcPr>
            <w:tcW w:w="949" w:type="dxa"/>
            <w:tcBorders>
              <w:top w:val="single" w:sz="4" w:space="0" w:color="auto"/>
              <w:left w:val="single" w:sz="4" w:space="0" w:color="auto"/>
              <w:right w:val="single" w:sz="4" w:space="0" w:color="auto"/>
            </w:tcBorders>
            <w:vAlign w:val="center"/>
          </w:tcPr>
          <w:p w14:paraId="54E7902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1,431</w:t>
            </w:r>
          </w:p>
        </w:tc>
        <w:tc>
          <w:tcPr>
            <w:tcW w:w="829" w:type="dxa"/>
            <w:tcBorders>
              <w:top w:val="single" w:sz="4" w:space="0" w:color="auto"/>
              <w:left w:val="single" w:sz="4" w:space="0" w:color="auto"/>
              <w:right w:val="single" w:sz="4" w:space="0" w:color="auto"/>
            </w:tcBorders>
            <w:vAlign w:val="center"/>
          </w:tcPr>
          <w:p w14:paraId="529222F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0,641</w:t>
            </w:r>
          </w:p>
        </w:tc>
        <w:tc>
          <w:tcPr>
            <w:tcW w:w="868" w:type="dxa"/>
            <w:gridSpan w:val="2"/>
            <w:tcBorders>
              <w:top w:val="single" w:sz="4" w:space="0" w:color="auto"/>
              <w:left w:val="single" w:sz="4" w:space="0" w:color="auto"/>
              <w:right w:val="single" w:sz="4" w:space="0" w:color="auto"/>
            </w:tcBorders>
            <w:vAlign w:val="center"/>
          </w:tcPr>
          <w:p w14:paraId="4B549F7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0,835</w:t>
            </w:r>
          </w:p>
        </w:tc>
        <w:tc>
          <w:tcPr>
            <w:tcW w:w="559" w:type="dxa"/>
            <w:gridSpan w:val="2"/>
            <w:tcBorders>
              <w:top w:val="single" w:sz="4" w:space="0" w:color="auto"/>
              <w:left w:val="single" w:sz="4" w:space="0" w:color="auto"/>
              <w:right w:val="single" w:sz="4" w:space="0" w:color="auto"/>
            </w:tcBorders>
            <w:vAlign w:val="center"/>
          </w:tcPr>
          <w:p w14:paraId="08779A5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82" w:type="dxa"/>
            <w:gridSpan w:val="3"/>
            <w:tcBorders>
              <w:top w:val="single" w:sz="4" w:space="0" w:color="auto"/>
              <w:left w:val="single" w:sz="4" w:space="0" w:color="auto"/>
              <w:right w:val="single" w:sz="4" w:space="0" w:color="auto"/>
            </w:tcBorders>
            <w:vAlign w:val="center"/>
          </w:tcPr>
          <w:p w14:paraId="6F68AED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0,456</w:t>
            </w:r>
          </w:p>
        </w:tc>
        <w:tc>
          <w:tcPr>
            <w:tcW w:w="952" w:type="dxa"/>
            <w:gridSpan w:val="2"/>
            <w:tcBorders>
              <w:top w:val="single" w:sz="4" w:space="0" w:color="auto"/>
              <w:left w:val="single" w:sz="4" w:space="0" w:color="auto"/>
              <w:right w:val="single" w:sz="4" w:space="0" w:color="auto"/>
            </w:tcBorders>
            <w:vAlign w:val="center"/>
          </w:tcPr>
          <w:p w14:paraId="1E08EAB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0,732</w:t>
            </w:r>
          </w:p>
        </w:tc>
        <w:tc>
          <w:tcPr>
            <w:tcW w:w="994" w:type="dxa"/>
            <w:tcBorders>
              <w:top w:val="single" w:sz="4" w:space="0" w:color="auto"/>
              <w:left w:val="single" w:sz="4" w:space="0" w:color="auto"/>
              <w:right w:val="single" w:sz="4" w:space="0" w:color="auto"/>
            </w:tcBorders>
            <w:vAlign w:val="center"/>
          </w:tcPr>
          <w:p w14:paraId="572047C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0,045</w:t>
            </w:r>
          </w:p>
        </w:tc>
        <w:tc>
          <w:tcPr>
            <w:tcW w:w="1016" w:type="dxa"/>
            <w:tcBorders>
              <w:top w:val="single" w:sz="4" w:space="0" w:color="auto"/>
              <w:left w:val="single" w:sz="4" w:space="0" w:color="auto"/>
              <w:right w:val="single" w:sz="4" w:space="0" w:color="auto"/>
            </w:tcBorders>
            <w:vAlign w:val="center"/>
          </w:tcPr>
          <w:p w14:paraId="0C6DFE4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8,431</w:t>
            </w:r>
          </w:p>
        </w:tc>
      </w:tr>
      <w:tr w:rsidR="00A9409C" w:rsidRPr="00145B66" w14:paraId="5871B475" w14:textId="77777777" w:rsidTr="00094F6F">
        <w:trPr>
          <w:jc w:val="center"/>
        </w:trPr>
        <w:tc>
          <w:tcPr>
            <w:tcW w:w="2590" w:type="dxa"/>
            <w:gridSpan w:val="2"/>
            <w:tcBorders>
              <w:top w:val="single" w:sz="4" w:space="0" w:color="auto"/>
              <w:left w:val="single" w:sz="4" w:space="0" w:color="auto"/>
              <w:right w:val="single" w:sz="4" w:space="0" w:color="auto"/>
            </w:tcBorders>
            <w:hideMark/>
          </w:tcPr>
          <w:p w14:paraId="6138FEEE" w14:textId="77777777" w:rsidR="00A9409C" w:rsidRPr="00AE34E8" w:rsidRDefault="00A9409C" w:rsidP="00094F6F">
            <w:pPr>
              <w:tabs>
                <w:tab w:val="left" w:pos="0"/>
              </w:tabs>
              <w:spacing w:after="0" w:line="240" w:lineRule="auto"/>
              <w:jc w:val="both"/>
              <w:rPr>
                <w:rFonts w:ascii="Times New Roman" w:hAnsi="Times New Roman"/>
                <w:i/>
                <w:iCs/>
                <w:sz w:val="24"/>
                <w:szCs w:val="24"/>
                <w:lang w:eastAsia="en-US"/>
              </w:rPr>
            </w:pPr>
            <w:r w:rsidRPr="00AE34E8">
              <w:rPr>
                <w:rFonts w:ascii="Times New Roman" w:hAnsi="Times New Roman"/>
                <w:i/>
                <w:iCs/>
                <w:sz w:val="24"/>
                <w:szCs w:val="24"/>
                <w:lang w:eastAsia="en-US"/>
              </w:rPr>
              <w:t>Нисходящая ободочная кишка</w:t>
            </w:r>
          </w:p>
        </w:tc>
        <w:tc>
          <w:tcPr>
            <w:tcW w:w="949" w:type="dxa"/>
            <w:tcBorders>
              <w:top w:val="single" w:sz="4" w:space="0" w:color="auto"/>
              <w:left w:val="single" w:sz="4" w:space="0" w:color="auto"/>
              <w:right w:val="single" w:sz="4" w:space="0" w:color="auto"/>
            </w:tcBorders>
            <w:vAlign w:val="center"/>
          </w:tcPr>
          <w:p w14:paraId="6298C83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3,425</w:t>
            </w:r>
          </w:p>
        </w:tc>
        <w:tc>
          <w:tcPr>
            <w:tcW w:w="829" w:type="dxa"/>
            <w:tcBorders>
              <w:top w:val="single" w:sz="4" w:space="0" w:color="auto"/>
              <w:left w:val="single" w:sz="4" w:space="0" w:color="auto"/>
              <w:right w:val="single" w:sz="4" w:space="0" w:color="auto"/>
            </w:tcBorders>
            <w:vAlign w:val="center"/>
          </w:tcPr>
          <w:p w14:paraId="1A45414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0,846</w:t>
            </w:r>
          </w:p>
        </w:tc>
        <w:tc>
          <w:tcPr>
            <w:tcW w:w="868" w:type="dxa"/>
            <w:gridSpan w:val="2"/>
            <w:tcBorders>
              <w:top w:val="single" w:sz="4" w:space="0" w:color="auto"/>
              <w:left w:val="single" w:sz="4" w:space="0" w:color="auto"/>
              <w:right w:val="single" w:sz="4" w:space="0" w:color="auto"/>
            </w:tcBorders>
            <w:vAlign w:val="center"/>
          </w:tcPr>
          <w:p w14:paraId="6DE5A76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7,321</w:t>
            </w:r>
          </w:p>
        </w:tc>
        <w:tc>
          <w:tcPr>
            <w:tcW w:w="559" w:type="dxa"/>
            <w:gridSpan w:val="2"/>
            <w:tcBorders>
              <w:top w:val="single" w:sz="4" w:space="0" w:color="auto"/>
              <w:left w:val="single" w:sz="4" w:space="0" w:color="auto"/>
              <w:right w:val="single" w:sz="4" w:space="0" w:color="auto"/>
            </w:tcBorders>
            <w:vAlign w:val="center"/>
          </w:tcPr>
          <w:p w14:paraId="1E53916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82" w:type="dxa"/>
            <w:gridSpan w:val="3"/>
            <w:tcBorders>
              <w:top w:val="single" w:sz="4" w:space="0" w:color="auto"/>
              <w:left w:val="single" w:sz="4" w:space="0" w:color="auto"/>
              <w:right w:val="single" w:sz="4" w:space="0" w:color="auto"/>
            </w:tcBorders>
            <w:vAlign w:val="center"/>
          </w:tcPr>
          <w:p w14:paraId="06FEE43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0,751</w:t>
            </w:r>
          </w:p>
        </w:tc>
        <w:tc>
          <w:tcPr>
            <w:tcW w:w="952" w:type="dxa"/>
            <w:gridSpan w:val="2"/>
            <w:tcBorders>
              <w:top w:val="single" w:sz="4" w:space="0" w:color="auto"/>
              <w:left w:val="single" w:sz="4" w:space="0" w:color="auto"/>
              <w:right w:val="single" w:sz="4" w:space="0" w:color="auto"/>
            </w:tcBorders>
            <w:vAlign w:val="center"/>
          </w:tcPr>
          <w:p w14:paraId="7B8678E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0,311</w:t>
            </w:r>
          </w:p>
        </w:tc>
        <w:tc>
          <w:tcPr>
            <w:tcW w:w="994" w:type="dxa"/>
            <w:tcBorders>
              <w:top w:val="single" w:sz="4" w:space="0" w:color="auto"/>
              <w:left w:val="single" w:sz="4" w:space="0" w:color="auto"/>
              <w:right w:val="single" w:sz="4" w:space="0" w:color="auto"/>
            </w:tcBorders>
            <w:vAlign w:val="center"/>
          </w:tcPr>
          <w:p w14:paraId="70D9557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0,028</w:t>
            </w:r>
          </w:p>
        </w:tc>
        <w:tc>
          <w:tcPr>
            <w:tcW w:w="1016" w:type="dxa"/>
            <w:tcBorders>
              <w:top w:val="single" w:sz="4" w:space="0" w:color="auto"/>
              <w:left w:val="single" w:sz="4" w:space="0" w:color="auto"/>
              <w:right w:val="single" w:sz="4" w:space="0" w:color="auto"/>
            </w:tcBorders>
            <w:vAlign w:val="center"/>
          </w:tcPr>
          <w:p w14:paraId="5CAF9EF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4,864</w:t>
            </w:r>
          </w:p>
        </w:tc>
      </w:tr>
      <w:tr w:rsidR="00A9409C" w:rsidRPr="00145B66" w14:paraId="2086ED32" w14:textId="77777777" w:rsidTr="00094F6F">
        <w:trPr>
          <w:jc w:val="center"/>
        </w:trPr>
        <w:tc>
          <w:tcPr>
            <w:tcW w:w="2590" w:type="dxa"/>
            <w:gridSpan w:val="2"/>
            <w:tcBorders>
              <w:left w:val="single" w:sz="4" w:space="0" w:color="auto"/>
              <w:bottom w:val="single" w:sz="4" w:space="0" w:color="auto"/>
              <w:right w:val="single" w:sz="4" w:space="0" w:color="auto"/>
            </w:tcBorders>
          </w:tcPr>
          <w:p w14:paraId="1D24C0BA" w14:textId="77777777" w:rsidR="00A9409C" w:rsidRPr="00AE34E8" w:rsidRDefault="00A9409C" w:rsidP="00094F6F">
            <w:pPr>
              <w:tabs>
                <w:tab w:val="left" w:pos="0"/>
              </w:tabs>
              <w:spacing w:after="0" w:line="240" w:lineRule="auto"/>
              <w:jc w:val="both"/>
              <w:rPr>
                <w:rFonts w:ascii="Times New Roman" w:hAnsi="Times New Roman"/>
                <w:i/>
                <w:iCs/>
                <w:sz w:val="24"/>
                <w:szCs w:val="24"/>
                <w:lang w:eastAsia="en-US"/>
              </w:rPr>
            </w:pPr>
            <w:r w:rsidRPr="00AE34E8">
              <w:rPr>
                <w:rFonts w:ascii="Times New Roman" w:hAnsi="Times New Roman"/>
                <w:i/>
                <w:iCs/>
                <w:sz w:val="24"/>
                <w:szCs w:val="24"/>
                <w:lang w:eastAsia="en-US"/>
              </w:rPr>
              <w:t>Сигмовидная кишка</w:t>
            </w:r>
          </w:p>
        </w:tc>
        <w:tc>
          <w:tcPr>
            <w:tcW w:w="949" w:type="dxa"/>
            <w:tcBorders>
              <w:left w:val="single" w:sz="4" w:space="0" w:color="auto"/>
              <w:bottom w:val="single" w:sz="4" w:space="0" w:color="auto"/>
              <w:right w:val="single" w:sz="4" w:space="0" w:color="auto"/>
            </w:tcBorders>
            <w:vAlign w:val="center"/>
          </w:tcPr>
          <w:p w14:paraId="2602595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3,511</w:t>
            </w:r>
          </w:p>
        </w:tc>
        <w:tc>
          <w:tcPr>
            <w:tcW w:w="829" w:type="dxa"/>
            <w:tcBorders>
              <w:left w:val="single" w:sz="4" w:space="0" w:color="auto"/>
              <w:bottom w:val="single" w:sz="4" w:space="0" w:color="auto"/>
              <w:right w:val="single" w:sz="4" w:space="0" w:color="auto"/>
            </w:tcBorders>
            <w:vAlign w:val="center"/>
          </w:tcPr>
          <w:p w14:paraId="432A3A2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0,751</w:t>
            </w:r>
          </w:p>
        </w:tc>
        <w:tc>
          <w:tcPr>
            <w:tcW w:w="868" w:type="dxa"/>
            <w:gridSpan w:val="2"/>
            <w:tcBorders>
              <w:left w:val="single" w:sz="4" w:space="0" w:color="auto"/>
              <w:bottom w:val="single" w:sz="4" w:space="0" w:color="auto"/>
              <w:right w:val="single" w:sz="4" w:space="0" w:color="auto"/>
            </w:tcBorders>
            <w:vAlign w:val="center"/>
          </w:tcPr>
          <w:p w14:paraId="46065C1D" w14:textId="77777777" w:rsidR="00A9409C" w:rsidRPr="00145B66" w:rsidRDefault="00A9409C" w:rsidP="00094F6F">
            <w:pPr>
              <w:tabs>
                <w:tab w:val="left" w:pos="0"/>
              </w:tabs>
              <w:spacing w:after="0" w:line="240" w:lineRule="auto"/>
              <w:ind w:right="-52"/>
              <w:jc w:val="center"/>
              <w:rPr>
                <w:rFonts w:ascii="Times New Roman" w:hAnsi="Times New Roman"/>
                <w:sz w:val="24"/>
                <w:szCs w:val="24"/>
                <w:lang w:eastAsia="en-US"/>
              </w:rPr>
            </w:pPr>
            <w:r w:rsidRPr="00145B66">
              <w:rPr>
                <w:rFonts w:ascii="Times New Roman" w:hAnsi="Times New Roman"/>
                <w:sz w:val="24"/>
                <w:szCs w:val="24"/>
                <w:lang w:eastAsia="en-US"/>
              </w:rPr>
              <w:t>11,451</w:t>
            </w:r>
          </w:p>
        </w:tc>
        <w:tc>
          <w:tcPr>
            <w:tcW w:w="559" w:type="dxa"/>
            <w:gridSpan w:val="2"/>
            <w:tcBorders>
              <w:left w:val="single" w:sz="4" w:space="0" w:color="auto"/>
              <w:bottom w:val="single" w:sz="4" w:space="0" w:color="auto"/>
              <w:right w:val="single" w:sz="4" w:space="0" w:color="auto"/>
            </w:tcBorders>
            <w:vAlign w:val="center"/>
          </w:tcPr>
          <w:p w14:paraId="7D088BD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82" w:type="dxa"/>
            <w:gridSpan w:val="3"/>
            <w:tcBorders>
              <w:left w:val="single" w:sz="4" w:space="0" w:color="auto"/>
              <w:bottom w:val="single" w:sz="4" w:space="0" w:color="auto"/>
              <w:right w:val="single" w:sz="4" w:space="0" w:color="auto"/>
            </w:tcBorders>
            <w:vAlign w:val="center"/>
          </w:tcPr>
          <w:p w14:paraId="4BEA9A7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0,513</w:t>
            </w:r>
          </w:p>
        </w:tc>
        <w:tc>
          <w:tcPr>
            <w:tcW w:w="952" w:type="dxa"/>
            <w:gridSpan w:val="2"/>
            <w:tcBorders>
              <w:left w:val="single" w:sz="4" w:space="0" w:color="auto"/>
              <w:bottom w:val="single" w:sz="4" w:space="0" w:color="auto"/>
              <w:right w:val="single" w:sz="4" w:space="0" w:color="auto"/>
            </w:tcBorders>
            <w:vAlign w:val="center"/>
          </w:tcPr>
          <w:p w14:paraId="02359B5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0,238</w:t>
            </w:r>
          </w:p>
        </w:tc>
        <w:tc>
          <w:tcPr>
            <w:tcW w:w="994" w:type="dxa"/>
            <w:tcBorders>
              <w:left w:val="single" w:sz="4" w:space="0" w:color="auto"/>
              <w:bottom w:val="single" w:sz="4" w:space="0" w:color="auto"/>
              <w:right w:val="single" w:sz="4" w:space="0" w:color="auto"/>
            </w:tcBorders>
            <w:vAlign w:val="center"/>
          </w:tcPr>
          <w:p w14:paraId="5D94D14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0,045</w:t>
            </w:r>
          </w:p>
        </w:tc>
        <w:tc>
          <w:tcPr>
            <w:tcW w:w="1016" w:type="dxa"/>
            <w:tcBorders>
              <w:left w:val="single" w:sz="4" w:space="0" w:color="auto"/>
              <w:bottom w:val="single" w:sz="4" w:space="0" w:color="auto"/>
              <w:right w:val="single" w:sz="4" w:space="0" w:color="auto"/>
            </w:tcBorders>
            <w:vAlign w:val="center"/>
          </w:tcPr>
          <w:p w14:paraId="312CD8D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5,641</w:t>
            </w:r>
          </w:p>
        </w:tc>
      </w:tr>
      <w:tr w:rsidR="00A9409C" w:rsidRPr="00145B66" w14:paraId="6F3C329D" w14:textId="77777777" w:rsidTr="00094F6F">
        <w:trPr>
          <w:jc w:val="center"/>
        </w:trPr>
        <w:tc>
          <w:tcPr>
            <w:tcW w:w="9639" w:type="dxa"/>
            <w:gridSpan w:val="15"/>
            <w:tcBorders>
              <w:top w:val="single" w:sz="4" w:space="0" w:color="auto"/>
              <w:left w:val="single" w:sz="4" w:space="0" w:color="auto"/>
              <w:bottom w:val="single" w:sz="4" w:space="0" w:color="auto"/>
              <w:right w:val="single" w:sz="4" w:space="0" w:color="auto"/>
            </w:tcBorders>
          </w:tcPr>
          <w:p w14:paraId="73466922"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Вид операции</w:t>
            </w:r>
          </w:p>
        </w:tc>
      </w:tr>
      <w:tr w:rsidR="00A9409C" w:rsidRPr="00145B66" w14:paraId="530CF6D0"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auto"/>
            </w:tcBorders>
          </w:tcPr>
          <w:p w14:paraId="736E9536" w14:textId="77777777" w:rsidR="00A9409C" w:rsidRPr="00010BAF" w:rsidRDefault="00A9409C" w:rsidP="00094F6F">
            <w:pPr>
              <w:spacing w:after="0" w:line="240" w:lineRule="auto"/>
              <w:rPr>
                <w:rFonts w:ascii="Times New Roman" w:hAnsi="Times New Roman"/>
                <w:i/>
                <w:iCs/>
                <w:sz w:val="24"/>
                <w:szCs w:val="24"/>
                <w:lang w:eastAsia="en-US"/>
              </w:rPr>
            </w:pPr>
            <w:r w:rsidRPr="00010BAF">
              <w:rPr>
                <w:rFonts w:ascii="Times New Roman" w:hAnsi="Times New Roman"/>
                <w:i/>
                <w:iCs/>
                <w:sz w:val="24"/>
                <w:szCs w:val="24"/>
                <w:lang w:eastAsia="en-US"/>
              </w:rPr>
              <w:t>Правосторонняя гемиколэктомия</w:t>
            </w:r>
          </w:p>
        </w:tc>
        <w:tc>
          <w:tcPr>
            <w:tcW w:w="949" w:type="dxa"/>
            <w:tcBorders>
              <w:top w:val="single" w:sz="4" w:space="0" w:color="auto"/>
              <w:left w:val="single" w:sz="4" w:space="0" w:color="auto"/>
              <w:bottom w:val="single" w:sz="4" w:space="0" w:color="auto"/>
              <w:right w:val="single" w:sz="4" w:space="0" w:color="auto"/>
            </w:tcBorders>
            <w:vAlign w:val="center"/>
          </w:tcPr>
          <w:p w14:paraId="745F334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0,451</w:t>
            </w:r>
          </w:p>
        </w:tc>
        <w:tc>
          <w:tcPr>
            <w:tcW w:w="829" w:type="dxa"/>
            <w:tcBorders>
              <w:top w:val="single" w:sz="4" w:space="0" w:color="auto"/>
              <w:left w:val="single" w:sz="4" w:space="0" w:color="auto"/>
              <w:bottom w:val="single" w:sz="4" w:space="0" w:color="auto"/>
              <w:right w:val="single" w:sz="4" w:space="0" w:color="auto"/>
            </w:tcBorders>
            <w:vAlign w:val="center"/>
          </w:tcPr>
          <w:p w14:paraId="033EEB9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0,732</w:t>
            </w:r>
          </w:p>
        </w:tc>
        <w:tc>
          <w:tcPr>
            <w:tcW w:w="868" w:type="dxa"/>
            <w:gridSpan w:val="2"/>
            <w:tcBorders>
              <w:top w:val="single" w:sz="4" w:space="0" w:color="auto"/>
              <w:left w:val="single" w:sz="4" w:space="0" w:color="auto"/>
              <w:bottom w:val="single" w:sz="4" w:space="0" w:color="auto"/>
              <w:right w:val="single" w:sz="4" w:space="0" w:color="auto"/>
            </w:tcBorders>
            <w:vAlign w:val="center"/>
          </w:tcPr>
          <w:p w14:paraId="1FE177C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4,530</w:t>
            </w:r>
          </w:p>
        </w:tc>
        <w:tc>
          <w:tcPr>
            <w:tcW w:w="559" w:type="dxa"/>
            <w:gridSpan w:val="2"/>
            <w:tcBorders>
              <w:top w:val="single" w:sz="4" w:space="0" w:color="auto"/>
              <w:left w:val="single" w:sz="4" w:space="0" w:color="auto"/>
              <w:bottom w:val="single" w:sz="4" w:space="0" w:color="auto"/>
              <w:right w:val="single" w:sz="4" w:space="0" w:color="auto"/>
            </w:tcBorders>
            <w:vAlign w:val="center"/>
          </w:tcPr>
          <w:p w14:paraId="27BD827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96" w:type="dxa"/>
            <w:gridSpan w:val="4"/>
            <w:tcBorders>
              <w:top w:val="single" w:sz="4" w:space="0" w:color="auto"/>
              <w:left w:val="single" w:sz="4" w:space="0" w:color="auto"/>
              <w:bottom w:val="single" w:sz="4" w:space="0" w:color="auto"/>
              <w:right w:val="single" w:sz="4" w:space="0" w:color="auto"/>
            </w:tcBorders>
            <w:vAlign w:val="center"/>
          </w:tcPr>
          <w:p w14:paraId="2C42BFE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0,783</w:t>
            </w:r>
          </w:p>
        </w:tc>
        <w:tc>
          <w:tcPr>
            <w:tcW w:w="938" w:type="dxa"/>
            <w:tcBorders>
              <w:top w:val="single" w:sz="4" w:space="0" w:color="auto"/>
              <w:left w:val="single" w:sz="4" w:space="0" w:color="auto"/>
              <w:bottom w:val="single" w:sz="4" w:space="0" w:color="auto"/>
              <w:right w:val="single" w:sz="4" w:space="0" w:color="auto"/>
            </w:tcBorders>
            <w:vAlign w:val="center"/>
          </w:tcPr>
          <w:p w14:paraId="17CA103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0,641</w:t>
            </w:r>
          </w:p>
        </w:tc>
        <w:tc>
          <w:tcPr>
            <w:tcW w:w="994" w:type="dxa"/>
            <w:tcBorders>
              <w:top w:val="single" w:sz="4" w:space="0" w:color="auto"/>
              <w:left w:val="single" w:sz="4" w:space="0" w:color="auto"/>
              <w:bottom w:val="single" w:sz="4" w:space="0" w:color="auto"/>
              <w:right w:val="single" w:sz="4" w:space="0" w:color="auto"/>
            </w:tcBorders>
            <w:vAlign w:val="center"/>
          </w:tcPr>
          <w:p w14:paraId="3DDCC00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0,311</w:t>
            </w:r>
          </w:p>
        </w:tc>
        <w:tc>
          <w:tcPr>
            <w:tcW w:w="1016" w:type="dxa"/>
            <w:tcBorders>
              <w:top w:val="single" w:sz="4" w:space="0" w:color="auto"/>
              <w:left w:val="single" w:sz="4" w:space="0" w:color="auto"/>
              <w:bottom w:val="single" w:sz="4" w:space="0" w:color="auto"/>
              <w:right w:val="single" w:sz="4" w:space="0" w:color="auto"/>
            </w:tcBorders>
            <w:vAlign w:val="center"/>
          </w:tcPr>
          <w:p w14:paraId="58BFD9A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6,781</w:t>
            </w:r>
          </w:p>
        </w:tc>
      </w:tr>
      <w:tr w:rsidR="00A9409C" w:rsidRPr="00145B66" w14:paraId="6E454A86"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auto"/>
            </w:tcBorders>
          </w:tcPr>
          <w:p w14:paraId="33657709" w14:textId="77777777" w:rsidR="00A9409C" w:rsidRPr="00010BAF" w:rsidRDefault="00A9409C" w:rsidP="00094F6F">
            <w:pPr>
              <w:spacing w:after="0" w:line="240" w:lineRule="auto"/>
              <w:rPr>
                <w:rFonts w:ascii="Times New Roman" w:hAnsi="Times New Roman"/>
                <w:i/>
                <w:iCs/>
                <w:sz w:val="24"/>
                <w:szCs w:val="24"/>
                <w:lang w:eastAsia="en-US"/>
              </w:rPr>
            </w:pPr>
            <w:r w:rsidRPr="00010BAF">
              <w:rPr>
                <w:rFonts w:ascii="Times New Roman" w:hAnsi="Times New Roman"/>
                <w:i/>
                <w:iCs/>
                <w:sz w:val="24"/>
                <w:szCs w:val="24"/>
                <w:lang w:eastAsia="en-US"/>
              </w:rPr>
              <w:t>Резекция поперечно- ободочной кишки</w:t>
            </w:r>
          </w:p>
        </w:tc>
        <w:tc>
          <w:tcPr>
            <w:tcW w:w="949" w:type="dxa"/>
            <w:tcBorders>
              <w:top w:val="single" w:sz="4" w:space="0" w:color="auto"/>
              <w:left w:val="single" w:sz="4" w:space="0" w:color="auto"/>
              <w:bottom w:val="single" w:sz="4" w:space="0" w:color="auto"/>
              <w:right w:val="single" w:sz="4" w:space="0" w:color="auto"/>
            </w:tcBorders>
            <w:vAlign w:val="center"/>
          </w:tcPr>
          <w:p w14:paraId="5694563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0,235</w:t>
            </w:r>
          </w:p>
        </w:tc>
        <w:tc>
          <w:tcPr>
            <w:tcW w:w="829" w:type="dxa"/>
            <w:tcBorders>
              <w:top w:val="single" w:sz="4" w:space="0" w:color="auto"/>
              <w:left w:val="single" w:sz="4" w:space="0" w:color="auto"/>
              <w:bottom w:val="single" w:sz="4" w:space="0" w:color="auto"/>
              <w:right w:val="single" w:sz="4" w:space="0" w:color="auto"/>
            </w:tcBorders>
            <w:vAlign w:val="center"/>
          </w:tcPr>
          <w:p w14:paraId="13BC031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0,631</w:t>
            </w:r>
          </w:p>
        </w:tc>
        <w:tc>
          <w:tcPr>
            <w:tcW w:w="868" w:type="dxa"/>
            <w:gridSpan w:val="2"/>
            <w:tcBorders>
              <w:top w:val="single" w:sz="4" w:space="0" w:color="auto"/>
              <w:left w:val="single" w:sz="4" w:space="0" w:color="auto"/>
              <w:bottom w:val="single" w:sz="4" w:space="0" w:color="auto"/>
              <w:right w:val="single" w:sz="4" w:space="0" w:color="auto"/>
            </w:tcBorders>
            <w:vAlign w:val="center"/>
          </w:tcPr>
          <w:p w14:paraId="2ECFB9B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0,432</w:t>
            </w:r>
          </w:p>
        </w:tc>
        <w:tc>
          <w:tcPr>
            <w:tcW w:w="559" w:type="dxa"/>
            <w:gridSpan w:val="2"/>
            <w:tcBorders>
              <w:top w:val="single" w:sz="4" w:space="0" w:color="auto"/>
              <w:left w:val="single" w:sz="4" w:space="0" w:color="auto"/>
              <w:bottom w:val="single" w:sz="4" w:space="0" w:color="auto"/>
              <w:right w:val="single" w:sz="4" w:space="0" w:color="auto"/>
            </w:tcBorders>
            <w:vAlign w:val="center"/>
          </w:tcPr>
          <w:p w14:paraId="7215517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96" w:type="dxa"/>
            <w:gridSpan w:val="4"/>
            <w:tcBorders>
              <w:top w:val="single" w:sz="4" w:space="0" w:color="auto"/>
              <w:left w:val="single" w:sz="4" w:space="0" w:color="auto"/>
              <w:bottom w:val="single" w:sz="4" w:space="0" w:color="auto"/>
              <w:right w:val="single" w:sz="4" w:space="0" w:color="auto"/>
            </w:tcBorders>
            <w:vAlign w:val="center"/>
          </w:tcPr>
          <w:p w14:paraId="36E318D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1,542</w:t>
            </w:r>
          </w:p>
        </w:tc>
        <w:tc>
          <w:tcPr>
            <w:tcW w:w="938" w:type="dxa"/>
            <w:tcBorders>
              <w:top w:val="single" w:sz="4" w:space="0" w:color="auto"/>
              <w:left w:val="single" w:sz="4" w:space="0" w:color="auto"/>
              <w:bottom w:val="single" w:sz="4" w:space="0" w:color="auto"/>
              <w:right w:val="single" w:sz="4" w:space="0" w:color="auto"/>
            </w:tcBorders>
            <w:vAlign w:val="center"/>
          </w:tcPr>
          <w:p w14:paraId="413D15C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0,612</w:t>
            </w:r>
          </w:p>
        </w:tc>
        <w:tc>
          <w:tcPr>
            <w:tcW w:w="994" w:type="dxa"/>
            <w:tcBorders>
              <w:top w:val="single" w:sz="4" w:space="0" w:color="auto"/>
              <w:left w:val="single" w:sz="4" w:space="0" w:color="auto"/>
              <w:bottom w:val="single" w:sz="4" w:space="0" w:color="auto"/>
              <w:right w:val="single" w:sz="4" w:space="0" w:color="auto"/>
            </w:tcBorders>
            <w:vAlign w:val="center"/>
          </w:tcPr>
          <w:p w14:paraId="5F7917B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0,432</w:t>
            </w:r>
          </w:p>
        </w:tc>
        <w:tc>
          <w:tcPr>
            <w:tcW w:w="1016" w:type="dxa"/>
            <w:tcBorders>
              <w:top w:val="single" w:sz="4" w:space="0" w:color="auto"/>
              <w:left w:val="single" w:sz="4" w:space="0" w:color="auto"/>
              <w:bottom w:val="single" w:sz="4" w:space="0" w:color="auto"/>
              <w:right w:val="single" w:sz="4" w:space="0" w:color="auto"/>
            </w:tcBorders>
            <w:vAlign w:val="center"/>
          </w:tcPr>
          <w:p w14:paraId="438F5F3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3,542</w:t>
            </w:r>
          </w:p>
        </w:tc>
      </w:tr>
      <w:tr w:rsidR="00A9409C" w:rsidRPr="00145B66" w14:paraId="277C4CDB" w14:textId="77777777" w:rsidTr="00094F6F">
        <w:trPr>
          <w:jc w:val="center"/>
        </w:trPr>
        <w:tc>
          <w:tcPr>
            <w:tcW w:w="2590" w:type="dxa"/>
            <w:gridSpan w:val="2"/>
            <w:tcBorders>
              <w:top w:val="single" w:sz="4" w:space="0" w:color="auto"/>
              <w:left w:val="single" w:sz="4" w:space="0" w:color="auto"/>
              <w:right w:val="single" w:sz="4" w:space="0" w:color="auto"/>
            </w:tcBorders>
            <w:hideMark/>
          </w:tcPr>
          <w:p w14:paraId="7348ECB0" w14:textId="77777777" w:rsidR="00A9409C" w:rsidRPr="00010BAF" w:rsidRDefault="00A9409C" w:rsidP="00094F6F">
            <w:pPr>
              <w:spacing w:after="0" w:line="240" w:lineRule="auto"/>
              <w:rPr>
                <w:rFonts w:ascii="Times New Roman" w:hAnsi="Times New Roman"/>
                <w:i/>
                <w:iCs/>
                <w:sz w:val="24"/>
                <w:szCs w:val="24"/>
                <w:lang w:eastAsia="en-US"/>
              </w:rPr>
            </w:pPr>
            <w:r w:rsidRPr="00010BAF">
              <w:rPr>
                <w:rFonts w:ascii="Times New Roman" w:hAnsi="Times New Roman"/>
                <w:i/>
                <w:iCs/>
                <w:sz w:val="24"/>
                <w:szCs w:val="24"/>
                <w:lang w:eastAsia="en-US"/>
              </w:rPr>
              <w:t>Левосторонняя гемиколэктомия</w:t>
            </w:r>
          </w:p>
        </w:tc>
        <w:tc>
          <w:tcPr>
            <w:tcW w:w="949" w:type="dxa"/>
            <w:tcBorders>
              <w:top w:val="single" w:sz="4" w:space="0" w:color="auto"/>
              <w:left w:val="single" w:sz="4" w:space="0" w:color="auto"/>
              <w:right w:val="single" w:sz="4" w:space="0" w:color="auto"/>
            </w:tcBorders>
            <w:vAlign w:val="center"/>
          </w:tcPr>
          <w:p w14:paraId="4FAD1F7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1,432</w:t>
            </w:r>
          </w:p>
        </w:tc>
        <w:tc>
          <w:tcPr>
            <w:tcW w:w="829" w:type="dxa"/>
            <w:tcBorders>
              <w:top w:val="single" w:sz="4" w:space="0" w:color="auto"/>
              <w:left w:val="single" w:sz="4" w:space="0" w:color="auto"/>
              <w:right w:val="single" w:sz="4" w:space="0" w:color="auto"/>
            </w:tcBorders>
            <w:vAlign w:val="center"/>
          </w:tcPr>
          <w:p w14:paraId="3F9BDD2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0,843</w:t>
            </w:r>
          </w:p>
        </w:tc>
        <w:tc>
          <w:tcPr>
            <w:tcW w:w="868" w:type="dxa"/>
            <w:gridSpan w:val="2"/>
            <w:tcBorders>
              <w:top w:val="single" w:sz="4" w:space="0" w:color="auto"/>
              <w:left w:val="single" w:sz="4" w:space="0" w:color="auto"/>
              <w:right w:val="single" w:sz="4" w:space="0" w:color="auto"/>
            </w:tcBorders>
            <w:vAlign w:val="center"/>
          </w:tcPr>
          <w:p w14:paraId="597F4C3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3,546</w:t>
            </w:r>
          </w:p>
        </w:tc>
        <w:tc>
          <w:tcPr>
            <w:tcW w:w="559" w:type="dxa"/>
            <w:gridSpan w:val="2"/>
            <w:tcBorders>
              <w:top w:val="single" w:sz="4" w:space="0" w:color="auto"/>
              <w:left w:val="single" w:sz="4" w:space="0" w:color="auto"/>
              <w:right w:val="single" w:sz="4" w:space="0" w:color="auto"/>
            </w:tcBorders>
            <w:vAlign w:val="center"/>
          </w:tcPr>
          <w:p w14:paraId="039B1B1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96" w:type="dxa"/>
            <w:gridSpan w:val="4"/>
            <w:tcBorders>
              <w:top w:val="single" w:sz="4" w:space="0" w:color="auto"/>
              <w:left w:val="single" w:sz="4" w:space="0" w:color="auto"/>
              <w:right w:val="single" w:sz="4" w:space="0" w:color="auto"/>
            </w:tcBorders>
            <w:vAlign w:val="center"/>
          </w:tcPr>
          <w:p w14:paraId="706C188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0,128</w:t>
            </w:r>
          </w:p>
        </w:tc>
        <w:tc>
          <w:tcPr>
            <w:tcW w:w="938" w:type="dxa"/>
            <w:tcBorders>
              <w:top w:val="single" w:sz="4" w:space="0" w:color="auto"/>
              <w:left w:val="single" w:sz="4" w:space="0" w:color="auto"/>
              <w:right w:val="single" w:sz="4" w:space="0" w:color="auto"/>
            </w:tcBorders>
            <w:vAlign w:val="center"/>
          </w:tcPr>
          <w:p w14:paraId="7DF5C99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1,310</w:t>
            </w:r>
          </w:p>
        </w:tc>
        <w:tc>
          <w:tcPr>
            <w:tcW w:w="994" w:type="dxa"/>
            <w:tcBorders>
              <w:top w:val="single" w:sz="4" w:space="0" w:color="auto"/>
              <w:left w:val="single" w:sz="4" w:space="0" w:color="auto"/>
              <w:right w:val="single" w:sz="4" w:space="0" w:color="auto"/>
            </w:tcBorders>
            <w:vAlign w:val="center"/>
          </w:tcPr>
          <w:p w14:paraId="5943518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0,946</w:t>
            </w:r>
          </w:p>
        </w:tc>
        <w:tc>
          <w:tcPr>
            <w:tcW w:w="1016" w:type="dxa"/>
            <w:tcBorders>
              <w:top w:val="single" w:sz="4" w:space="0" w:color="auto"/>
              <w:left w:val="single" w:sz="4" w:space="0" w:color="auto"/>
              <w:right w:val="single" w:sz="4" w:space="0" w:color="auto"/>
            </w:tcBorders>
            <w:vAlign w:val="center"/>
          </w:tcPr>
          <w:p w14:paraId="069BF11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4,542</w:t>
            </w:r>
          </w:p>
        </w:tc>
      </w:tr>
      <w:tr w:rsidR="00A9409C" w:rsidRPr="00145B66" w14:paraId="385641EC" w14:textId="77777777" w:rsidTr="00094F6F">
        <w:trPr>
          <w:jc w:val="center"/>
        </w:trPr>
        <w:tc>
          <w:tcPr>
            <w:tcW w:w="9639" w:type="dxa"/>
            <w:gridSpan w:val="15"/>
            <w:tcBorders>
              <w:top w:val="single" w:sz="4" w:space="0" w:color="auto"/>
              <w:left w:val="single" w:sz="4" w:space="0" w:color="auto"/>
              <w:bottom w:val="single" w:sz="4" w:space="0" w:color="auto"/>
              <w:right w:val="single" w:sz="4" w:space="0" w:color="auto"/>
            </w:tcBorders>
          </w:tcPr>
          <w:p w14:paraId="669D3710" w14:textId="77777777" w:rsidR="00A9409C" w:rsidRPr="00145B66" w:rsidRDefault="00A9409C" w:rsidP="00094F6F">
            <w:pPr>
              <w:tabs>
                <w:tab w:val="left" w:pos="0"/>
              </w:tabs>
              <w:spacing w:after="0" w:line="240" w:lineRule="auto"/>
              <w:jc w:val="both"/>
              <w:rPr>
                <w:rFonts w:ascii="Times New Roman" w:hAnsi="Times New Roman"/>
                <w:sz w:val="24"/>
                <w:szCs w:val="24"/>
                <w:lang w:val="en-US" w:eastAsia="en-US"/>
              </w:rPr>
            </w:pPr>
            <w:r w:rsidRPr="00145B66">
              <w:rPr>
                <w:rFonts w:ascii="Times New Roman" w:hAnsi="Times New Roman"/>
                <w:sz w:val="24"/>
                <w:szCs w:val="24"/>
                <w:lang w:eastAsia="en-US"/>
              </w:rPr>
              <w:t>Вид осложнений</w:t>
            </w:r>
          </w:p>
        </w:tc>
      </w:tr>
      <w:tr w:rsidR="00A9409C" w:rsidRPr="00145B66" w14:paraId="4E9101D2"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BFBFBF"/>
            </w:tcBorders>
          </w:tcPr>
          <w:p w14:paraId="602BBDCB" w14:textId="77777777" w:rsidR="00A9409C" w:rsidRPr="00145B66" w:rsidRDefault="00A9409C" w:rsidP="00094F6F">
            <w:pPr>
              <w:spacing w:after="0" w:line="240" w:lineRule="auto"/>
              <w:jc w:val="both"/>
              <w:rPr>
                <w:rFonts w:ascii="Times New Roman" w:hAnsi="Times New Roman"/>
                <w:bCs/>
                <w:sz w:val="24"/>
                <w:szCs w:val="24"/>
                <w:lang w:val="en-US" w:eastAsia="en-US"/>
              </w:rPr>
            </w:pPr>
            <w:r w:rsidRPr="00145B66">
              <w:rPr>
                <w:rFonts w:ascii="Times New Roman" w:hAnsi="Times New Roman"/>
                <w:bCs/>
                <w:sz w:val="24"/>
                <w:szCs w:val="24"/>
                <w:lang w:eastAsia="en-US"/>
              </w:rPr>
              <w:t>Хирургические осложнения</w:t>
            </w:r>
          </w:p>
        </w:tc>
        <w:tc>
          <w:tcPr>
            <w:tcW w:w="949" w:type="dxa"/>
            <w:tcBorders>
              <w:top w:val="single" w:sz="4" w:space="0" w:color="auto"/>
              <w:left w:val="single" w:sz="4" w:space="0" w:color="auto"/>
              <w:bottom w:val="single" w:sz="4" w:space="0" w:color="auto"/>
              <w:right w:val="single" w:sz="4" w:space="0" w:color="auto"/>
            </w:tcBorders>
            <w:vAlign w:val="center"/>
          </w:tcPr>
          <w:p w14:paraId="091D0465"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Pr>
                <w:rFonts w:ascii="Times New Roman" w:hAnsi="Times New Roman"/>
                <w:sz w:val="24"/>
                <w:szCs w:val="24"/>
                <w:lang w:eastAsia="en-US"/>
              </w:rPr>
              <w:t>−</w:t>
            </w:r>
            <w:r w:rsidRPr="00145B66">
              <w:rPr>
                <w:rFonts w:ascii="Times New Roman" w:hAnsi="Times New Roman"/>
                <w:sz w:val="24"/>
                <w:szCs w:val="24"/>
                <w:lang w:val="en-US" w:eastAsia="en-US"/>
              </w:rPr>
              <w:t>0</w:t>
            </w:r>
            <w:r w:rsidRPr="00145B66">
              <w:rPr>
                <w:rFonts w:ascii="Times New Roman" w:hAnsi="Times New Roman"/>
                <w:sz w:val="24"/>
                <w:szCs w:val="24"/>
                <w:lang w:eastAsia="en-US"/>
              </w:rPr>
              <w:t>,180</w:t>
            </w:r>
          </w:p>
        </w:tc>
        <w:tc>
          <w:tcPr>
            <w:tcW w:w="829" w:type="dxa"/>
            <w:tcBorders>
              <w:top w:val="single" w:sz="4" w:space="0" w:color="auto"/>
              <w:left w:val="single" w:sz="4" w:space="0" w:color="auto"/>
              <w:bottom w:val="single" w:sz="4" w:space="0" w:color="auto"/>
              <w:right w:val="single" w:sz="4" w:space="0" w:color="auto"/>
            </w:tcBorders>
            <w:vAlign w:val="center"/>
          </w:tcPr>
          <w:p w14:paraId="393E3C88"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0,327</w:t>
            </w:r>
          </w:p>
        </w:tc>
        <w:tc>
          <w:tcPr>
            <w:tcW w:w="896" w:type="dxa"/>
            <w:gridSpan w:val="3"/>
            <w:tcBorders>
              <w:top w:val="single" w:sz="4" w:space="0" w:color="auto"/>
              <w:left w:val="single" w:sz="4" w:space="0" w:color="auto"/>
              <w:bottom w:val="single" w:sz="4" w:space="0" w:color="auto"/>
              <w:right w:val="single" w:sz="4" w:space="0" w:color="auto"/>
            </w:tcBorders>
            <w:vAlign w:val="center"/>
          </w:tcPr>
          <w:p w14:paraId="23A4FCD5"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0,304</w:t>
            </w:r>
          </w:p>
        </w:tc>
        <w:tc>
          <w:tcPr>
            <w:tcW w:w="531" w:type="dxa"/>
            <w:tcBorders>
              <w:top w:val="single" w:sz="4" w:space="0" w:color="auto"/>
              <w:left w:val="single" w:sz="4" w:space="0" w:color="auto"/>
              <w:bottom w:val="single" w:sz="4" w:space="0" w:color="auto"/>
              <w:right w:val="single" w:sz="4" w:space="0" w:color="auto"/>
            </w:tcBorders>
            <w:vAlign w:val="center"/>
          </w:tcPr>
          <w:p w14:paraId="0B843F8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96" w:type="dxa"/>
            <w:gridSpan w:val="4"/>
            <w:tcBorders>
              <w:top w:val="single" w:sz="4" w:space="0" w:color="auto"/>
              <w:left w:val="single" w:sz="4" w:space="0" w:color="auto"/>
              <w:bottom w:val="single" w:sz="4" w:space="0" w:color="auto"/>
              <w:right w:val="single" w:sz="4" w:space="0" w:color="auto"/>
            </w:tcBorders>
            <w:vAlign w:val="center"/>
          </w:tcPr>
          <w:p w14:paraId="6B864189"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0,582</w:t>
            </w:r>
          </w:p>
        </w:tc>
        <w:tc>
          <w:tcPr>
            <w:tcW w:w="938" w:type="dxa"/>
            <w:tcBorders>
              <w:top w:val="single" w:sz="4" w:space="0" w:color="auto"/>
              <w:left w:val="single" w:sz="4" w:space="0" w:color="auto"/>
              <w:bottom w:val="single" w:sz="4" w:space="0" w:color="auto"/>
              <w:right w:val="single" w:sz="4" w:space="0" w:color="auto"/>
            </w:tcBorders>
            <w:vAlign w:val="center"/>
          </w:tcPr>
          <w:p w14:paraId="188D0BA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val="en-US" w:eastAsia="en-US"/>
              </w:rPr>
              <w:t>0,835</w:t>
            </w:r>
          </w:p>
        </w:tc>
        <w:tc>
          <w:tcPr>
            <w:tcW w:w="994" w:type="dxa"/>
            <w:tcBorders>
              <w:top w:val="single" w:sz="4" w:space="0" w:color="auto"/>
              <w:left w:val="single" w:sz="4" w:space="0" w:color="auto"/>
              <w:bottom w:val="single" w:sz="4" w:space="0" w:color="auto"/>
              <w:right w:val="single" w:sz="4" w:space="0" w:color="auto"/>
            </w:tcBorders>
            <w:vAlign w:val="center"/>
          </w:tcPr>
          <w:p w14:paraId="7604A1EA"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0,440</w:t>
            </w:r>
          </w:p>
        </w:tc>
        <w:tc>
          <w:tcPr>
            <w:tcW w:w="1016" w:type="dxa"/>
            <w:tcBorders>
              <w:top w:val="single" w:sz="4" w:space="0" w:color="auto"/>
              <w:left w:val="single" w:sz="4" w:space="0" w:color="auto"/>
              <w:bottom w:val="single" w:sz="4" w:space="0" w:color="auto"/>
              <w:right w:val="single" w:sz="4" w:space="0" w:color="auto"/>
            </w:tcBorders>
            <w:vAlign w:val="center"/>
          </w:tcPr>
          <w:p w14:paraId="2AC47A35"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1,584</w:t>
            </w:r>
          </w:p>
        </w:tc>
      </w:tr>
      <w:tr w:rsidR="00A9409C" w:rsidRPr="00145B66" w14:paraId="06037373"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BFBFBF"/>
            </w:tcBorders>
          </w:tcPr>
          <w:p w14:paraId="2BFFA277" w14:textId="77777777" w:rsidR="00A9409C" w:rsidRPr="00145B66" w:rsidRDefault="00A9409C" w:rsidP="00094F6F">
            <w:pPr>
              <w:spacing w:after="0" w:line="240" w:lineRule="auto"/>
              <w:jc w:val="both"/>
              <w:rPr>
                <w:rFonts w:ascii="Times New Roman" w:hAnsi="Times New Roman"/>
                <w:bCs/>
                <w:sz w:val="24"/>
                <w:szCs w:val="24"/>
                <w:lang w:eastAsia="en-US"/>
              </w:rPr>
            </w:pPr>
            <w:r w:rsidRPr="00145B66">
              <w:rPr>
                <w:rFonts w:ascii="Times New Roman" w:hAnsi="Times New Roman"/>
                <w:bCs/>
                <w:sz w:val="24"/>
                <w:szCs w:val="24"/>
                <w:lang w:eastAsia="en-US"/>
              </w:rPr>
              <w:t>Функциональные осложнения</w:t>
            </w:r>
          </w:p>
        </w:tc>
        <w:tc>
          <w:tcPr>
            <w:tcW w:w="949" w:type="dxa"/>
            <w:tcBorders>
              <w:top w:val="single" w:sz="4" w:space="0" w:color="auto"/>
              <w:left w:val="single" w:sz="4" w:space="0" w:color="auto"/>
              <w:bottom w:val="single" w:sz="4" w:space="0" w:color="auto"/>
              <w:right w:val="single" w:sz="4" w:space="0" w:color="auto"/>
            </w:tcBorders>
            <w:vAlign w:val="center"/>
          </w:tcPr>
          <w:p w14:paraId="09088C85"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0,848</w:t>
            </w:r>
          </w:p>
        </w:tc>
        <w:tc>
          <w:tcPr>
            <w:tcW w:w="829" w:type="dxa"/>
            <w:tcBorders>
              <w:top w:val="single" w:sz="4" w:space="0" w:color="auto"/>
              <w:left w:val="single" w:sz="4" w:space="0" w:color="auto"/>
              <w:bottom w:val="single" w:sz="4" w:space="0" w:color="auto"/>
              <w:right w:val="single" w:sz="4" w:space="0" w:color="auto"/>
            </w:tcBorders>
            <w:vAlign w:val="center"/>
          </w:tcPr>
          <w:p w14:paraId="28038344"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eastAsia="en-US"/>
              </w:rPr>
              <w:t>0,</w:t>
            </w:r>
            <w:r w:rsidRPr="00145B66">
              <w:rPr>
                <w:rFonts w:ascii="Times New Roman" w:hAnsi="Times New Roman"/>
                <w:sz w:val="24"/>
                <w:szCs w:val="24"/>
                <w:lang w:val="en-US" w:eastAsia="en-US"/>
              </w:rPr>
              <w:t>272</w:t>
            </w:r>
          </w:p>
        </w:tc>
        <w:tc>
          <w:tcPr>
            <w:tcW w:w="896" w:type="dxa"/>
            <w:gridSpan w:val="3"/>
            <w:tcBorders>
              <w:top w:val="single" w:sz="4" w:space="0" w:color="auto"/>
              <w:left w:val="single" w:sz="4" w:space="0" w:color="auto"/>
              <w:bottom w:val="single" w:sz="4" w:space="0" w:color="auto"/>
              <w:right w:val="single" w:sz="4" w:space="0" w:color="auto"/>
            </w:tcBorders>
            <w:vAlign w:val="center"/>
          </w:tcPr>
          <w:p w14:paraId="29CF7CFB"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9,707</w:t>
            </w:r>
          </w:p>
        </w:tc>
        <w:tc>
          <w:tcPr>
            <w:tcW w:w="531" w:type="dxa"/>
            <w:tcBorders>
              <w:top w:val="single" w:sz="4" w:space="0" w:color="auto"/>
              <w:left w:val="single" w:sz="4" w:space="0" w:color="auto"/>
              <w:bottom w:val="single" w:sz="4" w:space="0" w:color="auto"/>
              <w:right w:val="single" w:sz="4" w:space="0" w:color="auto"/>
            </w:tcBorders>
            <w:vAlign w:val="center"/>
          </w:tcPr>
          <w:p w14:paraId="17FA624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96" w:type="dxa"/>
            <w:gridSpan w:val="4"/>
            <w:tcBorders>
              <w:top w:val="single" w:sz="4" w:space="0" w:color="auto"/>
              <w:left w:val="single" w:sz="4" w:space="0" w:color="auto"/>
              <w:bottom w:val="single" w:sz="4" w:space="0" w:color="auto"/>
              <w:right w:val="single" w:sz="4" w:space="0" w:color="auto"/>
            </w:tcBorders>
            <w:vAlign w:val="center"/>
          </w:tcPr>
          <w:p w14:paraId="7B99275D" w14:textId="77777777" w:rsidR="00A9409C" w:rsidRPr="00010BAF" w:rsidRDefault="00A9409C" w:rsidP="00094F6F">
            <w:pPr>
              <w:tabs>
                <w:tab w:val="left" w:pos="0"/>
              </w:tabs>
              <w:spacing w:after="0" w:line="240" w:lineRule="auto"/>
              <w:jc w:val="center"/>
              <w:rPr>
                <w:rFonts w:ascii="Times New Roman" w:hAnsi="Times New Roman"/>
                <w:b/>
                <w:bCs/>
                <w:sz w:val="24"/>
                <w:szCs w:val="24"/>
                <w:lang w:val="en-US" w:eastAsia="en-US"/>
              </w:rPr>
            </w:pPr>
            <w:r w:rsidRPr="00010BAF">
              <w:rPr>
                <w:rFonts w:ascii="Times New Roman" w:hAnsi="Times New Roman"/>
                <w:b/>
                <w:bCs/>
                <w:sz w:val="24"/>
                <w:szCs w:val="24"/>
                <w:lang w:eastAsia="en-US"/>
              </w:rPr>
              <w:t>0,00</w:t>
            </w:r>
            <w:r w:rsidRPr="00010BAF">
              <w:rPr>
                <w:rFonts w:ascii="Times New Roman" w:hAnsi="Times New Roman"/>
                <w:b/>
                <w:bCs/>
                <w:sz w:val="24"/>
                <w:szCs w:val="24"/>
                <w:lang w:val="en-US" w:eastAsia="en-US"/>
              </w:rPr>
              <w:t>2</w:t>
            </w:r>
          </w:p>
        </w:tc>
        <w:tc>
          <w:tcPr>
            <w:tcW w:w="938" w:type="dxa"/>
            <w:tcBorders>
              <w:top w:val="single" w:sz="4" w:space="0" w:color="auto"/>
              <w:left w:val="single" w:sz="4" w:space="0" w:color="auto"/>
              <w:bottom w:val="single" w:sz="4" w:space="0" w:color="auto"/>
              <w:right w:val="single" w:sz="4" w:space="0" w:color="auto"/>
            </w:tcBorders>
            <w:vAlign w:val="center"/>
          </w:tcPr>
          <w:p w14:paraId="3D88185E"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0,428</w:t>
            </w:r>
          </w:p>
        </w:tc>
        <w:tc>
          <w:tcPr>
            <w:tcW w:w="994" w:type="dxa"/>
            <w:tcBorders>
              <w:top w:val="single" w:sz="4" w:space="0" w:color="auto"/>
              <w:left w:val="single" w:sz="4" w:space="0" w:color="auto"/>
              <w:bottom w:val="single" w:sz="4" w:space="0" w:color="auto"/>
              <w:right w:val="single" w:sz="4" w:space="0" w:color="auto"/>
            </w:tcBorders>
            <w:vAlign w:val="center"/>
          </w:tcPr>
          <w:p w14:paraId="291B921C"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0,251</w:t>
            </w:r>
          </w:p>
        </w:tc>
        <w:tc>
          <w:tcPr>
            <w:tcW w:w="1016" w:type="dxa"/>
            <w:tcBorders>
              <w:top w:val="single" w:sz="4" w:space="0" w:color="auto"/>
              <w:left w:val="single" w:sz="4" w:space="0" w:color="auto"/>
              <w:bottom w:val="single" w:sz="4" w:space="0" w:color="auto"/>
              <w:right w:val="single" w:sz="4" w:space="0" w:color="auto"/>
            </w:tcBorders>
            <w:vAlign w:val="center"/>
          </w:tcPr>
          <w:p w14:paraId="21C10C59"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0,730</w:t>
            </w:r>
          </w:p>
        </w:tc>
      </w:tr>
      <w:tr w:rsidR="00A9409C" w:rsidRPr="00145B66" w14:paraId="4E3E512A"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auto"/>
            </w:tcBorders>
            <w:hideMark/>
          </w:tcPr>
          <w:p w14:paraId="4D70B055"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Сопутствующая патология</w:t>
            </w:r>
          </w:p>
        </w:tc>
        <w:tc>
          <w:tcPr>
            <w:tcW w:w="949" w:type="dxa"/>
            <w:tcBorders>
              <w:top w:val="single" w:sz="4" w:space="0" w:color="auto"/>
              <w:left w:val="single" w:sz="4" w:space="0" w:color="auto"/>
              <w:bottom w:val="single" w:sz="4" w:space="0" w:color="auto"/>
              <w:right w:val="single" w:sz="4" w:space="0" w:color="auto"/>
            </w:tcBorders>
            <w:vAlign w:val="center"/>
          </w:tcPr>
          <w:p w14:paraId="7729978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0,124</w:t>
            </w:r>
          </w:p>
        </w:tc>
        <w:tc>
          <w:tcPr>
            <w:tcW w:w="829" w:type="dxa"/>
            <w:tcBorders>
              <w:top w:val="single" w:sz="4" w:space="0" w:color="auto"/>
              <w:left w:val="single" w:sz="4" w:space="0" w:color="auto"/>
              <w:bottom w:val="single" w:sz="4" w:space="0" w:color="auto"/>
              <w:right w:val="single" w:sz="4" w:space="0" w:color="auto"/>
            </w:tcBorders>
            <w:vAlign w:val="center"/>
          </w:tcPr>
          <w:p w14:paraId="11A5F58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0,115</w:t>
            </w:r>
          </w:p>
        </w:tc>
        <w:tc>
          <w:tcPr>
            <w:tcW w:w="896" w:type="dxa"/>
            <w:gridSpan w:val="3"/>
            <w:tcBorders>
              <w:top w:val="single" w:sz="4" w:space="0" w:color="auto"/>
              <w:left w:val="single" w:sz="4" w:space="0" w:color="auto"/>
              <w:bottom w:val="single" w:sz="4" w:space="0" w:color="auto"/>
              <w:right w:val="single" w:sz="4" w:space="0" w:color="auto"/>
            </w:tcBorders>
            <w:vAlign w:val="center"/>
          </w:tcPr>
          <w:p w14:paraId="26C9D30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2,144</w:t>
            </w:r>
          </w:p>
        </w:tc>
        <w:tc>
          <w:tcPr>
            <w:tcW w:w="531" w:type="dxa"/>
            <w:tcBorders>
              <w:top w:val="single" w:sz="4" w:space="0" w:color="auto"/>
              <w:left w:val="single" w:sz="4" w:space="0" w:color="auto"/>
              <w:bottom w:val="single" w:sz="4" w:space="0" w:color="auto"/>
              <w:right w:val="single" w:sz="4" w:space="0" w:color="auto"/>
            </w:tcBorders>
            <w:vAlign w:val="center"/>
          </w:tcPr>
          <w:p w14:paraId="27B08A5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96" w:type="dxa"/>
            <w:gridSpan w:val="4"/>
            <w:tcBorders>
              <w:top w:val="single" w:sz="4" w:space="0" w:color="auto"/>
              <w:left w:val="single" w:sz="4" w:space="0" w:color="auto"/>
              <w:bottom w:val="single" w:sz="4" w:space="0" w:color="auto"/>
              <w:right w:val="single" w:sz="4" w:space="0" w:color="auto"/>
            </w:tcBorders>
            <w:vAlign w:val="center"/>
          </w:tcPr>
          <w:p w14:paraId="3AB8995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1,628</w:t>
            </w:r>
          </w:p>
        </w:tc>
        <w:tc>
          <w:tcPr>
            <w:tcW w:w="938" w:type="dxa"/>
            <w:tcBorders>
              <w:top w:val="single" w:sz="4" w:space="0" w:color="auto"/>
              <w:left w:val="single" w:sz="4" w:space="0" w:color="auto"/>
              <w:bottom w:val="single" w:sz="4" w:space="0" w:color="auto"/>
              <w:right w:val="single" w:sz="4" w:space="0" w:color="auto"/>
            </w:tcBorders>
            <w:vAlign w:val="center"/>
          </w:tcPr>
          <w:p w14:paraId="56DFF8C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0,251</w:t>
            </w:r>
          </w:p>
        </w:tc>
        <w:tc>
          <w:tcPr>
            <w:tcW w:w="994" w:type="dxa"/>
            <w:tcBorders>
              <w:top w:val="single" w:sz="4" w:space="0" w:color="auto"/>
              <w:left w:val="single" w:sz="4" w:space="0" w:color="auto"/>
              <w:bottom w:val="single" w:sz="4" w:space="0" w:color="auto"/>
              <w:right w:val="single" w:sz="4" w:space="0" w:color="auto"/>
            </w:tcBorders>
            <w:vAlign w:val="center"/>
          </w:tcPr>
          <w:p w14:paraId="6958818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0,015</w:t>
            </w:r>
          </w:p>
        </w:tc>
        <w:tc>
          <w:tcPr>
            <w:tcW w:w="1016" w:type="dxa"/>
            <w:tcBorders>
              <w:top w:val="single" w:sz="4" w:space="0" w:color="auto"/>
              <w:left w:val="single" w:sz="4" w:space="0" w:color="auto"/>
              <w:bottom w:val="single" w:sz="4" w:space="0" w:color="auto"/>
              <w:right w:val="single" w:sz="4" w:space="0" w:color="auto"/>
            </w:tcBorders>
            <w:vAlign w:val="center"/>
          </w:tcPr>
          <w:p w14:paraId="036ED71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6,425</w:t>
            </w:r>
          </w:p>
        </w:tc>
      </w:tr>
      <w:tr w:rsidR="00A9409C" w:rsidRPr="00145B66" w14:paraId="2EEABC69" w14:textId="77777777" w:rsidTr="00094F6F">
        <w:trPr>
          <w:jc w:val="center"/>
        </w:trPr>
        <w:tc>
          <w:tcPr>
            <w:tcW w:w="2590" w:type="dxa"/>
            <w:gridSpan w:val="2"/>
            <w:tcBorders>
              <w:top w:val="single" w:sz="4" w:space="0" w:color="auto"/>
              <w:left w:val="single" w:sz="4" w:space="0" w:color="auto"/>
              <w:bottom w:val="single" w:sz="4" w:space="0" w:color="auto"/>
              <w:right w:val="single" w:sz="4" w:space="0" w:color="auto"/>
            </w:tcBorders>
            <w:hideMark/>
          </w:tcPr>
          <w:p w14:paraId="47BCA0DC" w14:textId="77777777" w:rsidR="00A9409C" w:rsidRPr="00145B66" w:rsidRDefault="00A9409C" w:rsidP="00094F6F">
            <w:pPr>
              <w:tabs>
                <w:tab w:val="left" w:pos="0"/>
              </w:tabs>
              <w:spacing w:after="0" w:line="240" w:lineRule="auto"/>
              <w:jc w:val="both"/>
              <w:rPr>
                <w:rFonts w:ascii="Times New Roman" w:hAnsi="Times New Roman"/>
                <w:sz w:val="24"/>
                <w:szCs w:val="24"/>
                <w:lang w:eastAsia="en-US"/>
              </w:rPr>
            </w:pPr>
            <w:r w:rsidRPr="00145B66">
              <w:rPr>
                <w:rFonts w:ascii="Times New Roman" w:hAnsi="Times New Roman"/>
                <w:sz w:val="24"/>
                <w:szCs w:val="24"/>
                <w:lang w:eastAsia="en-US"/>
              </w:rPr>
              <w:t>Адьювантная химиотерапия</w:t>
            </w:r>
          </w:p>
        </w:tc>
        <w:tc>
          <w:tcPr>
            <w:tcW w:w="949" w:type="dxa"/>
            <w:tcBorders>
              <w:top w:val="single" w:sz="4" w:space="0" w:color="auto"/>
              <w:left w:val="single" w:sz="4" w:space="0" w:color="auto"/>
              <w:bottom w:val="single" w:sz="4" w:space="0" w:color="auto"/>
              <w:right w:val="single" w:sz="4" w:space="0" w:color="auto"/>
            </w:tcBorders>
            <w:vAlign w:val="center"/>
          </w:tcPr>
          <w:p w14:paraId="2A73E14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3,312</w:t>
            </w:r>
          </w:p>
        </w:tc>
        <w:tc>
          <w:tcPr>
            <w:tcW w:w="829" w:type="dxa"/>
            <w:tcBorders>
              <w:top w:val="single" w:sz="4" w:space="0" w:color="auto"/>
              <w:left w:val="single" w:sz="4" w:space="0" w:color="auto"/>
              <w:bottom w:val="single" w:sz="4" w:space="0" w:color="auto"/>
              <w:right w:val="single" w:sz="4" w:space="0" w:color="auto"/>
            </w:tcBorders>
            <w:vAlign w:val="center"/>
          </w:tcPr>
          <w:p w14:paraId="3A9633F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1,546</w:t>
            </w:r>
          </w:p>
        </w:tc>
        <w:tc>
          <w:tcPr>
            <w:tcW w:w="896" w:type="dxa"/>
            <w:gridSpan w:val="3"/>
            <w:tcBorders>
              <w:top w:val="single" w:sz="4" w:space="0" w:color="auto"/>
              <w:left w:val="single" w:sz="4" w:space="0" w:color="auto"/>
              <w:bottom w:val="single" w:sz="4" w:space="0" w:color="auto"/>
              <w:right w:val="single" w:sz="4" w:space="0" w:color="auto"/>
            </w:tcBorders>
            <w:vAlign w:val="center"/>
          </w:tcPr>
          <w:p w14:paraId="2F54560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8,413</w:t>
            </w:r>
          </w:p>
        </w:tc>
        <w:tc>
          <w:tcPr>
            <w:tcW w:w="531" w:type="dxa"/>
            <w:tcBorders>
              <w:top w:val="single" w:sz="4" w:space="0" w:color="auto"/>
              <w:left w:val="single" w:sz="4" w:space="0" w:color="auto"/>
              <w:bottom w:val="single" w:sz="4" w:space="0" w:color="auto"/>
              <w:right w:val="single" w:sz="4" w:space="0" w:color="auto"/>
            </w:tcBorders>
            <w:vAlign w:val="center"/>
          </w:tcPr>
          <w:p w14:paraId="51755FC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96" w:type="dxa"/>
            <w:gridSpan w:val="4"/>
            <w:tcBorders>
              <w:top w:val="single" w:sz="4" w:space="0" w:color="auto"/>
              <w:left w:val="single" w:sz="4" w:space="0" w:color="auto"/>
              <w:bottom w:val="single" w:sz="4" w:space="0" w:color="auto"/>
              <w:right w:val="single" w:sz="4" w:space="0" w:color="auto"/>
            </w:tcBorders>
            <w:vAlign w:val="center"/>
          </w:tcPr>
          <w:p w14:paraId="1EE90EB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0,715</w:t>
            </w:r>
          </w:p>
        </w:tc>
        <w:tc>
          <w:tcPr>
            <w:tcW w:w="938" w:type="dxa"/>
            <w:tcBorders>
              <w:top w:val="single" w:sz="4" w:space="0" w:color="auto"/>
              <w:left w:val="single" w:sz="4" w:space="0" w:color="auto"/>
              <w:bottom w:val="single" w:sz="4" w:space="0" w:color="auto"/>
              <w:right w:val="single" w:sz="4" w:space="0" w:color="auto"/>
            </w:tcBorders>
            <w:vAlign w:val="center"/>
          </w:tcPr>
          <w:p w14:paraId="6DE67B1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0,632</w:t>
            </w:r>
          </w:p>
        </w:tc>
        <w:tc>
          <w:tcPr>
            <w:tcW w:w="994" w:type="dxa"/>
            <w:tcBorders>
              <w:top w:val="single" w:sz="4" w:space="0" w:color="auto"/>
              <w:left w:val="single" w:sz="4" w:space="0" w:color="auto"/>
              <w:bottom w:val="single" w:sz="4" w:space="0" w:color="auto"/>
              <w:right w:val="single" w:sz="4" w:space="0" w:color="auto"/>
            </w:tcBorders>
            <w:vAlign w:val="center"/>
          </w:tcPr>
          <w:p w14:paraId="3E0DF24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0,411</w:t>
            </w:r>
          </w:p>
        </w:tc>
        <w:tc>
          <w:tcPr>
            <w:tcW w:w="1016" w:type="dxa"/>
            <w:tcBorders>
              <w:top w:val="single" w:sz="4" w:space="0" w:color="auto"/>
              <w:left w:val="single" w:sz="4" w:space="0" w:color="auto"/>
              <w:bottom w:val="single" w:sz="4" w:space="0" w:color="auto"/>
              <w:right w:val="single" w:sz="4" w:space="0" w:color="auto"/>
            </w:tcBorders>
            <w:vAlign w:val="center"/>
          </w:tcPr>
          <w:p w14:paraId="3815946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4,561</w:t>
            </w:r>
          </w:p>
        </w:tc>
      </w:tr>
    </w:tbl>
    <w:p w14:paraId="7E4ADA30" w14:textId="77777777" w:rsidR="00A9409C" w:rsidRDefault="00A9409C" w:rsidP="00A9409C">
      <w:pPr>
        <w:tabs>
          <w:tab w:val="left" w:pos="0"/>
        </w:tabs>
        <w:spacing w:after="0" w:line="240" w:lineRule="auto"/>
        <w:jc w:val="both"/>
        <w:rPr>
          <w:rFonts w:ascii="Times New Roman" w:hAnsi="Times New Roman"/>
          <w:sz w:val="28"/>
          <w:szCs w:val="28"/>
        </w:rPr>
      </w:pPr>
    </w:p>
    <w:p w14:paraId="18A15FAC" w14:textId="77777777" w:rsidR="00A9409C" w:rsidRDefault="00A9409C" w:rsidP="00A9409C">
      <w:pPr>
        <w:tabs>
          <w:tab w:val="left" w:pos="0"/>
        </w:tabs>
        <w:spacing w:after="0" w:line="240" w:lineRule="auto"/>
        <w:jc w:val="both"/>
        <w:rPr>
          <w:rFonts w:ascii="Times New Roman" w:hAnsi="Times New Roman"/>
          <w:sz w:val="28"/>
          <w:szCs w:val="28"/>
        </w:rPr>
      </w:pPr>
    </w:p>
    <w:p w14:paraId="01E00342" w14:textId="77777777" w:rsidR="00A9409C" w:rsidRDefault="00A9409C" w:rsidP="00A9409C">
      <w:pPr>
        <w:tabs>
          <w:tab w:val="left" w:pos="0"/>
        </w:tabs>
        <w:spacing w:after="0" w:line="240" w:lineRule="auto"/>
        <w:jc w:val="both"/>
        <w:rPr>
          <w:rFonts w:ascii="Times New Roman" w:hAnsi="Times New Roman"/>
          <w:sz w:val="28"/>
          <w:szCs w:val="28"/>
        </w:rPr>
      </w:pPr>
      <w:r>
        <w:rPr>
          <w:rFonts w:ascii="Times New Roman" w:hAnsi="Times New Roman"/>
          <w:sz w:val="28"/>
          <w:szCs w:val="28"/>
        </w:rPr>
        <w:lastRenderedPageBreak/>
        <w:t>Таблица 26</w:t>
      </w:r>
      <w:r w:rsidRPr="00145B66">
        <w:rPr>
          <w:rFonts w:ascii="Times New Roman" w:hAnsi="Times New Roman"/>
          <w:sz w:val="28"/>
          <w:szCs w:val="28"/>
        </w:rPr>
        <w:t xml:space="preserve"> </w:t>
      </w:r>
      <w:r>
        <w:rPr>
          <w:rFonts w:ascii="Times New Roman" w:hAnsi="Times New Roman"/>
          <w:sz w:val="28"/>
          <w:szCs w:val="28"/>
        </w:rPr>
        <w:t>–</w:t>
      </w:r>
      <w:r w:rsidRPr="00145B66">
        <w:rPr>
          <w:rFonts w:ascii="Times New Roman" w:hAnsi="Times New Roman"/>
          <w:sz w:val="28"/>
          <w:szCs w:val="28"/>
        </w:rPr>
        <w:t xml:space="preserve"> Однофакторная модель Кокса пропорциональных рисков развития неблагоприятного исхода (рецидива) у больных в течение 3 лет после хирургического лечения рака ободочной кишки </w:t>
      </w:r>
    </w:p>
    <w:p w14:paraId="09E9B02E" w14:textId="77777777" w:rsidR="00A9409C" w:rsidRDefault="00A9409C" w:rsidP="00A9409C">
      <w:pPr>
        <w:tabs>
          <w:tab w:val="left" w:pos="0"/>
        </w:tabs>
        <w:spacing w:after="0" w:line="240" w:lineRule="auto"/>
        <w:jc w:val="both"/>
        <w:rPr>
          <w:rFonts w:ascii="Times New Roman" w:hAnsi="Times New Roman"/>
          <w:sz w:val="28"/>
          <w:szCs w:val="28"/>
        </w:rPr>
      </w:pPr>
    </w:p>
    <w:tbl>
      <w:tblPr>
        <w:tblW w:w="9611" w:type="dxa"/>
        <w:jc w:val="center"/>
        <w:tblLayout w:type="fixed"/>
        <w:tblLook w:val="04A0" w:firstRow="1" w:lastRow="0" w:firstColumn="1" w:lastColumn="0" w:noHBand="0" w:noVBand="1"/>
      </w:tblPr>
      <w:tblGrid>
        <w:gridCol w:w="2520"/>
        <w:gridCol w:w="938"/>
        <w:gridCol w:w="14"/>
        <w:gridCol w:w="826"/>
        <w:gridCol w:w="14"/>
        <w:gridCol w:w="826"/>
        <w:gridCol w:w="601"/>
        <w:gridCol w:w="784"/>
        <w:gridCol w:w="14"/>
        <w:gridCol w:w="966"/>
        <w:gridCol w:w="14"/>
        <w:gridCol w:w="1022"/>
        <w:gridCol w:w="1072"/>
      </w:tblGrid>
      <w:tr w:rsidR="00A9409C" w:rsidRPr="00145B66" w14:paraId="5B308A30" w14:textId="77777777" w:rsidTr="00094F6F">
        <w:trPr>
          <w:trHeight w:val="340"/>
          <w:jc w:val="center"/>
        </w:trPr>
        <w:tc>
          <w:tcPr>
            <w:tcW w:w="2520" w:type="dxa"/>
            <w:vMerge w:val="restart"/>
            <w:tcBorders>
              <w:top w:val="single" w:sz="4" w:space="0" w:color="auto"/>
              <w:left w:val="single" w:sz="4" w:space="0" w:color="auto"/>
              <w:bottom w:val="single" w:sz="4" w:space="0" w:color="auto"/>
              <w:right w:val="single" w:sz="4" w:space="0" w:color="auto"/>
            </w:tcBorders>
            <w:vAlign w:val="center"/>
            <w:hideMark/>
          </w:tcPr>
          <w:p w14:paraId="651886D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Факторы</w:t>
            </w:r>
          </w:p>
        </w:tc>
        <w:tc>
          <w:tcPr>
            <w:tcW w:w="952"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8F9C46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В</w:t>
            </w:r>
          </w:p>
        </w:tc>
        <w:tc>
          <w:tcPr>
            <w:tcW w:w="826" w:type="dxa"/>
            <w:vMerge w:val="restart"/>
            <w:tcBorders>
              <w:top w:val="single" w:sz="4" w:space="0" w:color="auto"/>
              <w:left w:val="single" w:sz="4" w:space="0" w:color="auto"/>
              <w:bottom w:val="single" w:sz="4" w:space="0" w:color="auto"/>
              <w:right w:val="single" w:sz="4" w:space="0" w:color="auto"/>
            </w:tcBorders>
            <w:vAlign w:val="center"/>
            <w:hideMark/>
          </w:tcPr>
          <w:p w14:paraId="20F194D1"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SE</w:t>
            </w:r>
          </w:p>
        </w:tc>
        <w:tc>
          <w:tcPr>
            <w:tcW w:w="840"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EE6DC48"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en-US" w:eastAsia="en-US"/>
              </w:rPr>
              <w:t>Wald</w:t>
            </w:r>
          </w:p>
        </w:tc>
        <w:tc>
          <w:tcPr>
            <w:tcW w:w="601" w:type="dxa"/>
            <w:vMerge w:val="restart"/>
            <w:tcBorders>
              <w:top w:val="single" w:sz="4" w:space="0" w:color="auto"/>
              <w:left w:val="single" w:sz="4" w:space="0" w:color="auto"/>
              <w:bottom w:val="single" w:sz="4" w:space="0" w:color="auto"/>
              <w:right w:val="single" w:sz="4" w:space="0" w:color="auto"/>
            </w:tcBorders>
            <w:vAlign w:val="center"/>
            <w:hideMark/>
          </w:tcPr>
          <w:p w14:paraId="299DA580"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proofErr w:type="spellStart"/>
            <w:r w:rsidRPr="00145B66">
              <w:rPr>
                <w:rFonts w:ascii="Times New Roman" w:hAnsi="Times New Roman"/>
                <w:sz w:val="24"/>
                <w:szCs w:val="24"/>
                <w:lang w:val="en-US" w:eastAsia="en-US"/>
              </w:rPr>
              <w:t>df</w:t>
            </w:r>
            <w:proofErr w:type="spellEnd"/>
          </w:p>
        </w:tc>
        <w:tc>
          <w:tcPr>
            <w:tcW w:w="798"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1FE2F65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roofErr w:type="gramStart"/>
            <w:r w:rsidRPr="00145B66">
              <w:rPr>
                <w:rFonts w:ascii="Times New Roman" w:hAnsi="Times New Roman"/>
                <w:sz w:val="24"/>
                <w:szCs w:val="24"/>
                <w:lang w:eastAsia="en-US"/>
              </w:rPr>
              <w:t>р</w:t>
            </w:r>
            <w:proofErr w:type="gramEnd"/>
          </w:p>
        </w:tc>
        <w:tc>
          <w:tcPr>
            <w:tcW w:w="966" w:type="dxa"/>
            <w:vMerge w:val="restart"/>
            <w:tcBorders>
              <w:top w:val="single" w:sz="4" w:space="0" w:color="auto"/>
              <w:left w:val="single" w:sz="4" w:space="0" w:color="auto"/>
              <w:bottom w:val="single" w:sz="4" w:space="0" w:color="auto"/>
              <w:right w:val="single" w:sz="4" w:space="0" w:color="auto"/>
            </w:tcBorders>
            <w:vAlign w:val="center"/>
            <w:hideMark/>
          </w:tcPr>
          <w:p w14:paraId="61115573"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proofErr w:type="spellStart"/>
            <w:r w:rsidRPr="00145B66">
              <w:rPr>
                <w:rFonts w:ascii="Times New Roman" w:hAnsi="Times New Roman"/>
                <w:sz w:val="24"/>
                <w:szCs w:val="24"/>
                <w:lang w:val="en-US" w:eastAsia="en-US"/>
              </w:rPr>
              <w:t>Exp</w:t>
            </w:r>
            <w:proofErr w:type="spellEnd"/>
            <w:r w:rsidRPr="00145B66">
              <w:rPr>
                <w:rFonts w:ascii="Times New Roman" w:hAnsi="Times New Roman"/>
                <w:sz w:val="24"/>
                <w:szCs w:val="24"/>
                <w:lang w:eastAsia="en-US"/>
              </w:rPr>
              <w:t>(</w:t>
            </w:r>
            <w:r w:rsidRPr="00145B66">
              <w:rPr>
                <w:rFonts w:ascii="Times New Roman" w:hAnsi="Times New Roman"/>
                <w:sz w:val="24"/>
                <w:szCs w:val="24"/>
                <w:lang w:val="en-US" w:eastAsia="en-US"/>
              </w:rPr>
              <w:t>B</w:t>
            </w:r>
            <w:r w:rsidRPr="00145B66">
              <w:rPr>
                <w:rFonts w:ascii="Times New Roman" w:hAnsi="Times New Roman"/>
                <w:sz w:val="24"/>
                <w:szCs w:val="24"/>
                <w:lang w:eastAsia="en-US"/>
              </w:rPr>
              <w:t>)</w:t>
            </w:r>
          </w:p>
        </w:tc>
        <w:tc>
          <w:tcPr>
            <w:tcW w:w="2108" w:type="dxa"/>
            <w:gridSpan w:val="3"/>
            <w:tcBorders>
              <w:top w:val="single" w:sz="4" w:space="0" w:color="auto"/>
              <w:left w:val="single" w:sz="4" w:space="0" w:color="auto"/>
              <w:bottom w:val="single" w:sz="4" w:space="0" w:color="auto"/>
              <w:right w:val="single" w:sz="4" w:space="0" w:color="auto"/>
            </w:tcBorders>
            <w:vAlign w:val="center"/>
            <w:hideMark/>
          </w:tcPr>
          <w:p w14:paraId="7108018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95% ДИ</w:t>
            </w:r>
          </w:p>
        </w:tc>
      </w:tr>
      <w:tr w:rsidR="00A9409C" w:rsidRPr="00145B66" w14:paraId="67DD8C5A" w14:textId="77777777" w:rsidTr="00094F6F">
        <w:trPr>
          <w:trHeight w:val="340"/>
          <w:jc w:val="center"/>
        </w:trPr>
        <w:tc>
          <w:tcPr>
            <w:tcW w:w="2520" w:type="dxa"/>
            <w:vMerge/>
            <w:tcBorders>
              <w:top w:val="single" w:sz="4" w:space="0" w:color="auto"/>
              <w:left w:val="single" w:sz="4" w:space="0" w:color="auto"/>
              <w:bottom w:val="single" w:sz="4" w:space="0" w:color="auto"/>
              <w:right w:val="single" w:sz="4" w:space="0" w:color="auto"/>
            </w:tcBorders>
            <w:vAlign w:val="center"/>
            <w:hideMark/>
          </w:tcPr>
          <w:p w14:paraId="703238F6" w14:textId="77777777" w:rsidR="00A9409C" w:rsidRPr="00145B66" w:rsidRDefault="00A9409C" w:rsidP="00094F6F">
            <w:pPr>
              <w:spacing w:after="0" w:line="240" w:lineRule="auto"/>
              <w:rPr>
                <w:rFonts w:ascii="Times New Roman" w:hAnsi="Times New Roman"/>
                <w:sz w:val="24"/>
                <w:szCs w:val="24"/>
                <w:lang w:eastAsia="en-US"/>
              </w:rPr>
            </w:pPr>
          </w:p>
        </w:tc>
        <w:tc>
          <w:tcPr>
            <w:tcW w:w="952" w:type="dxa"/>
            <w:gridSpan w:val="2"/>
            <w:vMerge/>
            <w:tcBorders>
              <w:top w:val="single" w:sz="4" w:space="0" w:color="auto"/>
              <w:left w:val="single" w:sz="4" w:space="0" w:color="auto"/>
              <w:bottom w:val="single" w:sz="4" w:space="0" w:color="auto"/>
              <w:right w:val="single" w:sz="4" w:space="0" w:color="auto"/>
            </w:tcBorders>
            <w:vAlign w:val="center"/>
            <w:hideMark/>
          </w:tcPr>
          <w:p w14:paraId="51C03A4A" w14:textId="77777777" w:rsidR="00A9409C" w:rsidRPr="00145B66" w:rsidRDefault="00A9409C" w:rsidP="00094F6F">
            <w:pPr>
              <w:spacing w:after="0" w:line="240" w:lineRule="auto"/>
              <w:jc w:val="center"/>
              <w:rPr>
                <w:rFonts w:ascii="Times New Roman" w:hAnsi="Times New Roman"/>
                <w:sz w:val="24"/>
                <w:szCs w:val="24"/>
                <w:lang w:eastAsia="en-US"/>
              </w:rPr>
            </w:pPr>
          </w:p>
        </w:tc>
        <w:tc>
          <w:tcPr>
            <w:tcW w:w="826" w:type="dxa"/>
            <w:vMerge/>
            <w:tcBorders>
              <w:top w:val="single" w:sz="4" w:space="0" w:color="auto"/>
              <w:left w:val="single" w:sz="4" w:space="0" w:color="auto"/>
              <w:bottom w:val="single" w:sz="4" w:space="0" w:color="auto"/>
              <w:right w:val="single" w:sz="4" w:space="0" w:color="auto"/>
            </w:tcBorders>
            <w:vAlign w:val="center"/>
            <w:hideMark/>
          </w:tcPr>
          <w:p w14:paraId="56890BB6" w14:textId="77777777" w:rsidR="00A9409C" w:rsidRPr="00145B66" w:rsidRDefault="00A9409C" w:rsidP="00094F6F">
            <w:pPr>
              <w:spacing w:after="0" w:line="240" w:lineRule="auto"/>
              <w:jc w:val="center"/>
              <w:rPr>
                <w:rFonts w:ascii="Times New Roman" w:hAnsi="Times New Roman"/>
                <w:sz w:val="24"/>
                <w:szCs w:val="24"/>
                <w:lang w:val="en-US" w:eastAsia="en-US"/>
              </w:rPr>
            </w:pPr>
          </w:p>
        </w:tc>
        <w:tc>
          <w:tcPr>
            <w:tcW w:w="840" w:type="dxa"/>
            <w:gridSpan w:val="2"/>
            <w:vMerge/>
            <w:tcBorders>
              <w:top w:val="single" w:sz="4" w:space="0" w:color="auto"/>
              <w:left w:val="single" w:sz="4" w:space="0" w:color="auto"/>
              <w:bottom w:val="single" w:sz="4" w:space="0" w:color="auto"/>
              <w:right w:val="single" w:sz="4" w:space="0" w:color="auto"/>
            </w:tcBorders>
            <w:vAlign w:val="center"/>
            <w:hideMark/>
          </w:tcPr>
          <w:p w14:paraId="6293355C" w14:textId="77777777" w:rsidR="00A9409C" w:rsidRPr="00145B66" w:rsidRDefault="00A9409C" w:rsidP="00094F6F">
            <w:pPr>
              <w:spacing w:after="0" w:line="240" w:lineRule="auto"/>
              <w:jc w:val="center"/>
              <w:rPr>
                <w:rFonts w:ascii="Times New Roman" w:hAnsi="Times New Roman"/>
                <w:sz w:val="24"/>
                <w:szCs w:val="24"/>
                <w:lang w:val="kk-KZ" w:eastAsia="en-US"/>
              </w:rPr>
            </w:pPr>
          </w:p>
        </w:tc>
        <w:tc>
          <w:tcPr>
            <w:tcW w:w="601" w:type="dxa"/>
            <w:vMerge/>
            <w:tcBorders>
              <w:top w:val="single" w:sz="4" w:space="0" w:color="auto"/>
              <w:left w:val="single" w:sz="4" w:space="0" w:color="auto"/>
              <w:bottom w:val="single" w:sz="4" w:space="0" w:color="auto"/>
              <w:right w:val="single" w:sz="4" w:space="0" w:color="auto"/>
            </w:tcBorders>
            <w:vAlign w:val="center"/>
            <w:hideMark/>
          </w:tcPr>
          <w:p w14:paraId="4472E802" w14:textId="77777777" w:rsidR="00A9409C" w:rsidRPr="00145B66" w:rsidRDefault="00A9409C" w:rsidP="00094F6F">
            <w:pPr>
              <w:spacing w:after="0" w:line="240" w:lineRule="auto"/>
              <w:jc w:val="center"/>
              <w:rPr>
                <w:rFonts w:ascii="Times New Roman" w:hAnsi="Times New Roman"/>
                <w:sz w:val="24"/>
                <w:szCs w:val="24"/>
                <w:lang w:val="en-US" w:eastAsia="en-US"/>
              </w:rPr>
            </w:pPr>
          </w:p>
        </w:tc>
        <w:tc>
          <w:tcPr>
            <w:tcW w:w="798" w:type="dxa"/>
            <w:gridSpan w:val="2"/>
            <w:vMerge/>
            <w:tcBorders>
              <w:top w:val="single" w:sz="4" w:space="0" w:color="auto"/>
              <w:left w:val="single" w:sz="4" w:space="0" w:color="auto"/>
              <w:bottom w:val="single" w:sz="4" w:space="0" w:color="auto"/>
              <w:right w:val="single" w:sz="4" w:space="0" w:color="auto"/>
            </w:tcBorders>
            <w:vAlign w:val="center"/>
            <w:hideMark/>
          </w:tcPr>
          <w:p w14:paraId="073B698D" w14:textId="77777777" w:rsidR="00A9409C" w:rsidRPr="00145B66" w:rsidRDefault="00A9409C" w:rsidP="00094F6F">
            <w:pPr>
              <w:spacing w:after="0" w:line="240" w:lineRule="auto"/>
              <w:jc w:val="center"/>
              <w:rPr>
                <w:rFonts w:ascii="Times New Roman" w:hAnsi="Times New Roman"/>
                <w:sz w:val="24"/>
                <w:szCs w:val="24"/>
                <w:lang w:eastAsia="en-US"/>
              </w:rPr>
            </w:pPr>
          </w:p>
        </w:tc>
        <w:tc>
          <w:tcPr>
            <w:tcW w:w="966" w:type="dxa"/>
            <w:vMerge/>
            <w:tcBorders>
              <w:top w:val="single" w:sz="4" w:space="0" w:color="auto"/>
              <w:left w:val="single" w:sz="4" w:space="0" w:color="auto"/>
              <w:bottom w:val="single" w:sz="4" w:space="0" w:color="auto"/>
              <w:right w:val="single" w:sz="4" w:space="0" w:color="auto"/>
            </w:tcBorders>
            <w:vAlign w:val="center"/>
            <w:hideMark/>
          </w:tcPr>
          <w:p w14:paraId="0D4CEB04" w14:textId="77777777" w:rsidR="00A9409C" w:rsidRPr="00145B66" w:rsidRDefault="00A9409C" w:rsidP="00094F6F">
            <w:pPr>
              <w:spacing w:after="0" w:line="240" w:lineRule="auto"/>
              <w:jc w:val="center"/>
              <w:rPr>
                <w:rFonts w:ascii="Times New Roman" w:hAnsi="Times New Roman"/>
                <w:sz w:val="24"/>
                <w:szCs w:val="24"/>
                <w:lang w:val="en-US" w:eastAsia="en-US"/>
              </w:rPr>
            </w:pPr>
          </w:p>
        </w:tc>
        <w:tc>
          <w:tcPr>
            <w:tcW w:w="1036" w:type="dxa"/>
            <w:gridSpan w:val="2"/>
            <w:tcBorders>
              <w:top w:val="single" w:sz="4" w:space="0" w:color="auto"/>
              <w:left w:val="single" w:sz="4" w:space="0" w:color="auto"/>
              <w:bottom w:val="single" w:sz="4" w:space="0" w:color="auto"/>
              <w:right w:val="single" w:sz="4" w:space="0" w:color="auto"/>
            </w:tcBorders>
            <w:vAlign w:val="center"/>
            <w:hideMark/>
          </w:tcPr>
          <w:p w14:paraId="5AE0B30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roofErr w:type="gramStart"/>
            <w:r w:rsidRPr="00145B66">
              <w:rPr>
                <w:rFonts w:ascii="Times New Roman" w:hAnsi="Times New Roman"/>
                <w:sz w:val="24"/>
                <w:szCs w:val="24"/>
                <w:lang w:eastAsia="en-US"/>
              </w:rPr>
              <w:t>нижняя</w:t>
            </w:r>
            <w:proofErr w:type="gramEnd"/>
          </w:p>
        </w:tc>
        <w:tc>
          <w:tcPr>
            <w:tcW w:w="1072" w:type="dxa"/>
            <w:tcBorders>
              <w:top w:val="single" w:sz="4" w:space="0" w:color="auto"/>
              <w:left w:val="single" w:sz="4" w:space="0" w:color="auto"/>
              <w:bottom w:val="single" w:sz="4" w:space="0" w:color="auto"/>
              <w:right w:val="single" w:sz="4" w:space="0" w:color="auto"/>
            </w:tcBorders>
            <w:vAlign w:val="center"/>
            <w:hideMark/>
          </w:tcPr>
          <w:p w14:paraId="7941AED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roofErr w:type="gramStart"/>
            <w:r w:rsidRPr="00145B66">
              <w:rPr>
                <w:rFonts w:ascii="Times New Roman" w:hAnsi="Times New Roman"/>
                <w:sz w:val="24"/>
                <w:szCs w:val="24"/>
                <w:lang w:eastAsia="en-US"/>
              </w:rPr>
              <w:t>верхняя</w:t>
            </w:r>
            <w:proofErr w:type="gramEnd"/>
          </w:p>
        </w:tc>
      </w:tr>
      <w:tr w:rsidR="00A9409C" w:rsidRPr="00145B66" w14:paraId="0095B1DC"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hideMark/>
          </w:tcPr>
          <w:p w14:paraId="395E4A83"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Возраст</w:t>
            </w:r>
          </w:p>
        </w:tc>
        <w:tc>
          <w:tcPr>
            <w:tcW w:w="952" w:type="dxa"/>
            <w:gridSpan w:val="2"/>
            <w:tcBorders>
              <w:top w:val="single" w:sz="4" w:space="0" w:color="auto"/>
              <w:left w:val="single" w:sz="4" w:space="0" w:color="auto"/>
              <w:bottom w:val="single" w:sz="4" w:space="0" w:color="auto"/>
              <w:right w:val="single" w:sz="4" w:space="0" w:color="auto"/>
            </w:tcBorders>
            <w:vAlign w:val="center"/>
            <w:hideMark/>
          </w:tcPr>
          <w:p w14:paraId="715D5A0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1,524</w:t>
            </w:r>
          </w:p>
        </w:tc>
        <w:tc>
          <w:tcPr>
            <w:tcW w:w="826" w:type="dxa"/>
            <w:tcBorders>
              <w:top w:val="single" w:sz="4" w:space="0" w:color="auto"/>
              <w:left w:val="single" w:sz="4" w:space="0" w:color="auto"/>
              <w:bottom w:val="single" w:sz="4" w:space="0" w:color="auto"/>
              <w:right w:val="single" w:sz="4" w:space="0" w:color="auto"/>
            </w:tcBorders>
            <w:vAlign w:val="center"/>
            <w:hideMark/>
          </w:tcPr>
          <w:p w14:paraId="2554BC7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0,485</w:t>
            </w:r>
          </w:p>
        </w:tc>
        <w:tc>
          <w:tcPr>
            <w:tcW w:w="840" w:type="dxa"/>
            <w:gridSpan w:val="2"/>
            <w:tcBorders>
              <w:top w:val="single" w:sz="4" w:space="0" w:color="auto"/>
              <w:left w:val="single" w:sz="4" w:space="0" w:color="auto"/>
              <w:bottom w:val="single" w:sz="4" w:space="0" w:color="auto"/>
              <w:right w:val="single" w:sz="4" w:space="0" w:color="auto"/>
            </w:tcBorders>
            <w:vAlign w:val="center"/>
            <w:hideMark/>
          </w:tcPr>
          <w:p w14:paraId="3ECE813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1,625</w:t>
            </w:r>
          </w:p>
        </w:tc>
        <w:tc>
          <w:tcPr>
            <w:tcW w:w="601" w:type="dxa"/>
            <w:tcBorders>
              <w:top w:val="single" w:sz="4" w:space="0" w:color="auto"/>
              <w:left w:val="single" w:sz="4" w:space="0" w:color="auto"/>
              <w:bottom w:val="single" w:sz="4" w:space="0" w:color="auto"/>
              <w:right w:val="single" w:sz="4" w:space="0" w:color="auto"/>
            </w:tcBorders>
            <w:vAlign w:val="center"/>
            <w:hideMark/>
          </w:tcPr>
          <w:p w14:paraId="1340C57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bottom w:val="single" w:sz="4" w:space="0" w:color="auto"/>
              <w:right w:val="single" w:sz="4" w:space="0" w:color="auto"/>
            </w:tcBorders>
            <w:vAlign w:val="center"/>
            <w:hideMark/>
          </w:tcPr>
          <w:p w14:paraId="36E565C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0,689</w:t>
            </w:r>
          </w:p>
        </w:tc>
        <w:tc>
          <w:tcPr>
            <w:tcW w:w="966" w:type="dxa"/>
            <w:tcBorders>
              <w:top w:val="single" w:sz="4" w:space="0" w:color="auto"/>
              <w:left w:val="single" w:sz="4" w:space="0" w:color="auto"/>
              <w:bottom w:val="single" w:sz="4" w:space="0" w:color="auto"/>
              <w:right w:val="single" w:sz="4" w:space="0" w:color="auto"/>
            </w:tcBorders>
            <w:vAlign w:val="center"/>
            <w:hideMark/>
          </w:tcPr>
          <w:p w14:paraId="197EC94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0,954</w:t>
            </w:r>
          </w:p>
        </w:tc>
        <w:tc>
          <w:tcPr>
            <w:tcW w:w="1036" w:type="dxa"/>
            <w:gridSpan w:val="2"/>
            <w:tcBorders>
              <w:top w:val="single" w:sz="4" w:space="0" w:color="auto"/>
              <w:left w:val="single" w:sz="4" w:space="0" w:color="auto"/>
              <w:bottom w:val="single" w:sz="4" w:space="0" w:color="auto"/>
              <w:right w:val="single" w:sz="4" w:space="0" w:color="auto"/>
            </w:tcBorders>
            <w:vAlign w:val="center"/>
            <w:hideMark/>
          </w:tcPr>
          <w:p w14:paraId="2FFB986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0,147</w:t>
            </w:r>
          </w:p>
        </w:tc>
        <w:tc>
          <w:tcPr>
            <w:tcW w:w="1072" w:type="dxa"/>
            <w:tcBorders>
              <w:top w:val="single" w:sz="4" w:space="0" w:color="auto"/>
              <w:left w:val="single" w:sz="4" w:space="0" w:color="auto"/>
              <w:bottom w:val="single" w:sz="4" w:space="0" w:color="auto"/>
              <w:right w:val="single" w:sz="4" w:space="0" w:color="auto"/>
            </w:tcBorders>
            <w:vAlign w:val="center"/>
            <w:hideMark/>
          </w:tcPr>
          <w:p w14:paraId="6212A6C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12,526</w:t>
            </w:r>
          </w:p>
        </w:tc>
      </w:tr>
      <w:tr w:rsidR="00A9409C" w:rsidRPr="00145B66" w14:paraId="51887B76"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hideMark/>
          </w:tcPr>
          <w:p w14:paraId="09D4FEEC"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Пол</w:t>
            </w:r>
          </w:p>
        </w:tc>
        <w:tc>
          <w:tcPr>
            <w:tcW w:w="952" w:type="dxa"/>
            <w:gridSpan w:val="2"/>
            <w:tcBorders>
              <w:top w:val="single" w:sz="4" w:space="0" w:color="auto"/>
              <w:left w:val="single" w:sz="4" w:space="0" w:color="auto"/>
              <w:bottom w:val="single" w:sz="4" w:space="0" w:color="auto"/>
              <w:right w:val="single" w:sz="4" w:space="0" w:color="auto"/>
            </w:tcBorders>
            <w:vAlign w:val="center"/>
          </w:tcPr>
          <w:p w14:paraId="4B44477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0,936</w:t>
            </w:r>
          </w:p>
        </w:tc>
        <w:tc>
          <w:tcPr>
            <w:tcW w:w="826" w:type="dxa"/>
            <w:tcBorders>
              <w:top w:val="single" w:sz="4" w:space="0" w:color="auto"/>
              <w:left w:val="single" w:sz="4" w:space="0" w:color="auto"/>
              <w:bottom w:val="single" w:sz="4" w:space="0" w:color="auto"/>
              <w:right w:val="single" w:sz="4" w:space="0" w:color="auto"/>
            </w:tcBorders>
            <w:vAlign w:val="center"/>
          </w:tcPr>
          <w:p w14:paraId="1576EAF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0,125</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0E20435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5,265</w:t>
            </w:r>
          </w:p>
        </w:tc>
        <w:tc>
          <w:tcPr>
            <w:tcW w:w="601" w:type="dxa"/>
            <w:tcBorders>
              <w:top w:val="single" w:sz="4" w:space="0" w:color="auto"/>
              <w:left w:val="single" w:sz="4" w:space="0" w:color="auto"/>
              <w:bottom w:val="single" w:sz="4" w:space="0" w:color="auto"/>
              <w:right w:val="single" w:sz="4" w:space="0" w:color="auto"/>
            </w:tcBorders>
            <w:vAlign w:val="center"/>
          </w:tcPr>
          <w:p w14:paraId="06C4635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bottom w:val="single" w:sz="4" w:space="0" w:color="auto"/>
              <w:right w:val="single" w:sz="4" w:space="0" w:color="auto"/>
            </w:tcBorders>
            <w:vAlign w:val="center"/>
          </w:tcPr>
          <w:p w14:paraId="3724727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0,825</w:t>
            </w:r>
          </w:p>
        </w:tc>
        <w:tc>
          <w:tcPr>
            <w:tcW w:w="966" w:type="dxa"/>
            <w:tcBorders>
              <w:top w:val="single" w:sz="4" w:space="0" w:color="auto"/>
              <w:left w:val="single" w:sz="4" w:space="0" w:color="auto"/>
              <w:bottom w:val="single" w:sz="4" w:space="0" w:color="auto"/>
              <w:right w:val="single" w:sz="4" w:space="0" w:color="auto"/>
            </w:tcBorders>
            <w:vAlign w:val="center"/>
          </w:tcPr>
          <w:p w14:paraId="0C4872B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0,153</w:t>
            </w:r>
          </w:p>
        </w:tc>
        <w:tc>
          <w:tcPr>
            <w:tcW w:w="1036" w:type="dxa"/>
            <w:gridSpan w:val="2"/>
            <w:tcBorders>
              <w:top w:val="single" w:sz="4" w:space="0" w:color="auto"/>
              <w:left w:val="single" w:sz="4" w:space="0" w:color="auto"/>
              <w:bottom w:val="single" w:sz="4" w:space="0" w:color="auto"/>
              <w:right w:val="single" w:sz="4" w:space="0" w:color="auto"/>
            </w:tcBorders>
            <w:vAlign w:val="center"/>
          </w:tcPr>
          <w:p w14:paraId="52647E8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0,825</w:t>
            </w:r>
          </w:p>
        </w:tc>
        <w:tc>
          <w:tcPr>
            <w:tcW w:w="1072" w:type="dxa"/>
            <w:tcBorders>
              <w:top w:val="single" w:sz="4" w:space="0" w:color="auto"/>
              <w:left w:val="single" w:sz="4" w:space="0" w:color="auto"/>
              <w:bottom w:val="single" w:sz="4" w:space="0" w:color="auto"/>
              <w:right w:val="single" w:sz="4" w:space="0" w:color="auto"/>
            </w:tcBorders>
            <w:vAlign w:val="center"/>
          </w:tcPr>
          <w:p w14:paraId="74573B3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6,352</w:t>
            </w:r>
          </w:p>
        </w:tc>
      </w:tr>
      <w:tr w:rsidR="00A9409C" w:rsidRPr="00145B66" w14:paraId="0880F6C7" w14:textId="77777777" w:rsidTr="00094F6F">
        <w:trPr>
          <w:trHeight w:val="340"/>
          <w:jc w:val="center"/>
        </w:trPr>
        <w:tc>
          <w:tcPr>
            <w:tcW w:w="9611" w:type="dxa"/>
            <w:gridSpan w:val="13"/>
            <w:tcBorders>
              <w:top w:val="single" w:sz="4" w:space="0" w:color="auto"/>
              <w:left w:val="single" w:sz="4" w:space="0" w:color="auto"/>
              <w:bottom w:val="single" w:sz="4" w:space="0" w:color="auto"/>
              <w:right w:val="single" w:sz="4" w:space="0" w:color="auto"/>
            </w:tcBorders>
            <w:vAlign w:val="center"/>
          </w:tcPr>
          <w:p w14:paraId="7BF531B5"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Стадия рака</w:t>
            </w:r>
          </w:p>
        </w:tc>
      </w:tr>
      <w:tr w:rsidR="00A9409C" w:rsidRPr="00145B66" w14:paraId="6C8AE651"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tcPr>
          <w:p w14:paraId="5687D3E2" w14:textId="77777777" w:rsidR="00A9409C" w:rsidRPr="0000621F" w:rsidRDefault="00A9409C" w:rsidP="00094F6F">
            <w:pPr>
              <w:tabs>
                <w:tab w:val="left" w:pos="0"/>
              </w:tabs>
              <w:spacing w:after="0" w:line="240" w:lineRule="auto"/>
              <w:rPr>
                <w:rFonts w:ascii="Times New Roman" w:hAnsi="Times New Roman"/>
                <w:i/>
                <w:iCs/>
                <w:sz w:val="24"/>
                <w:szCs w:val="24"/>
                <w:lang w:val="en-US" w:eastAsia="en-US"/>
              </w:rPr>
            </w:pPr>
            <w:r w:rsidRPr="0000621F">
              <w:rPr>
                <w:rFonts w:ascii="Times New Roman" w:hAnsi="Times New Roman"/>
                <w:i/>
                <w:iCs/>
                <w:sz w:val="24"/>
                <w:szCs w:val="24"/>
                <w:lang w:val="en-US" w:eastAsia="en-US"/>
              </w:rPr>
              <w:t>I</w:t>
            </w:r>
          </w:p>
        </w:tc>
        <w:tc>
          <w:tcPr>
            <w:tcW w:w="952" w:type="dxa"/>
            <w:gridSpan w:val="2"/>
            <w:tcBorders>
              <w:top w:val="single" w:sz="4" w:space="0" w:color="auto"/>
              <w:left w:val="single" w:sz="4" w:space="0" w:color="auto"/>
              <w:bottom w:val="single" w:sz="4" w:space="0" w:color="auto"/>
              <w:right w:val="single" w:sz="4" w:space="0" w:color="auto"/>
            </w:tcBorders>
            <w:vAlign w:val="center"/>
          </w:tcPr>
          <w:p w14:paraId="33D869A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3,253</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105A22B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1,252</w:t>
            </w:r>
          </w:p>
        </w:tc>
        <w:tc>
          <w:tcPr>
            <w:tcW w:w="826" w:type="dxa"/>
            <w:tcBorders>
              <w:top w:val="single" w:sz="4" w:space="0" w:color="auto"/>
              <w:left w:val="single" w:sz="4" w:space="0" w:color="auto"/>
              <w:bottom w:val="single" w:sz="4" w:space="0" w:color="auto"/>
              <w:right w:val="single" w:sz="4" w:space="0" w:color="auto"/>
            </w:tcBorders>
            <w:vAlign w:val="center"/>
          </w:tcPr>
          <w:p w14:paraId="6CF32B7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6,528</w:t>
            </w:r>
          </w:p>
        </w:tc>
        <w:tc>
          <w:tcPr>
            <w:tcW w:w="601" w:type="dxa"/>
            <w:tcBorders>
              <w:top w:val="single" w:sz="4" w:space="0" w:color="auto"/>
              <w:left w:val="single" w:sz="4" w:space="0" w:color="auto"/>
              <w:bottom w:val="single" w:sz="4" w:space="0" w:color="auto"/>
              <w:right w:val="single" w:sz="4" w:space="0" w:color="auto"/>
            </w:tcBorders>
            <w:vAlign w:val="center"/>
          </w:tcPr>
          <w:p w14:paraId="47D72B4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bottom w:val="single" w:sz="4" w:space="0" w:color="auto"/>
              <w:right w:val="single" w:sz="4" w:space="0" w:color="auto"/>
            </w:tcBorders>
            <w:vAlign w:val="center"/>
          </w:tcPr>
          <w:p w14:paraId="24A5164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0,541</w:t>
            </w:r>
          </w:p>
        </w:tc>
        <w:tc>
          <w:tcPr>
            <w:tcW w:w="966" w:type="dxa"/>
            <w:tcBorders>
              <w:top w:val="single" w:sz="4" w:space="0" w:color="auto"/>
              <w:left w:val="single" w:sz="4" w:space="0" w:color="auto"/>
              <w:bottom w:val="single" w:sz="4" w:space="0" w:color="auto"/>
              <w:right w:val="single" w:sz="4" w:space="0" w:color="auto"/>
            </w:tcBorders>
            <w:vAlign w:val="center"/>
          </w:tcPr>
          <w:p w14:paraId="6C55159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0,145</w:t>
            </w:r>
          </w:p>
        </w:tc>
        <w:tc>
          <w:tcPr>
            <w:tcW w:w="1036" w:type="dxa"/>
            <w:gridSpan w:val="2"/>
            <w:tcBorders>
              <w:top w:val="single" w:sz="4" w:space="0" w:color="auto"/>
              <w:left w:val="single" w:sz="4" w:space="0" w:color="auto"/>
              <w:bottom w:val="single" w:sz="4" w:space="0" w:color="auto"/>
              <w:right w:val="single" w:sz="4" w:space="0" w:color="auto"/>
            </w:tcBorders>
            <w:vAlign w:val="center"/>
          </w:tcPr>
          <w:p w14:paraId="172ADDC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0,042</w:t>
            </w:r>
          </w:p>
        </w:tc>
        <w:tc>
          <w:tcPr>
            <w:tcW w:w="1072" w:type="dxa"/>
            <w:tcBorders>
              <w:top w:val="single" w:sz="4" w:space="0" w:color="auto"/>
              <w:left w:val="single" w:sz="4" w:space="0" w:color="auto"/>
              <w:bottom w:val="single" w:sz="4" w:space="0" w:color="auto"/>
              <w:right w:val="single" w:sz="4" w:space="0" w:color="auto"/>
            </w:tcBorders>
            <w:vAlign w:val="center"/>
          </w:tcPr>
          <w:p w14:paraId="628A3E7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3,639</w:t>
            </w:r>
          </w:p>
        </w:tc>
      </w:tr>
      <w:tr w:rsidR="00A9409C" w:rsidRPr="00145B66" w14:paraId="2A22176B"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tcPr>
          <w:p w14:paraId="27B2AD22" w14:textId="77777777" w:rsidR="00A9409C" w:rsidRPr="0000621F" w:rsidRDefault="00A9409C" w:rsidP="00094F6F">
            <w:pPr>
              <w:tabs>
                <w:tab w:val="left" w:pos="0"/>
              </w:tabs>
              <w:spacing w:after="0" w:line="240" w:lineRule="auto"/>
              <w:rPr>
                <w:rFonts w:ascii="Times New Roman" w:hAnsi="Times New Roman"/>
                <w:i/>
                <w:iCs/>
                <w:sz w:val="24"/>
                <w:szCs w:val="24"/>
                <w:lang w:val="en-US" w:eastAsia="en-US"/>
              </w:rPr>
            </w:pPr>
            <w:r w:rsidRPr="0000621F">
              <w:rPr>
                <w:rFonts w:ascii="Times New Roman" w:hAnsi="Times New Roman"/>
                <w:i/>
                <w:iCs/>
                <w:sz w:val="24"/>
                <w:szCs w:val="24"/>
                <w:lang w:val="en-US" w:eastAsia="en-US"/>
              </w:rPr>
              <w:t>II</w:t>
            </w:r>
          </w:p>
        </w:tc>
        <w:tc>
          <w:tcPr>
            <w:tcW w:w="952" w:type="dxa"/>
            <w:gridSpan w:val="2"/>
            <w:tcBorders>
              <w:top w:val="single" w:sz="4" w:space="0" w:color="auto"/>
              <w:left w:val="single" w:sz="4" w:space="0" w:color="auto"/>
              <w:bottom w:val="single" w:sz="4" w:space="0" w:color="auto"/>
              <w:right w:val="single" w:sz="4" w:space="0" w:color="auto"/>
            </w:tcBorders>
            <w:vAlign w:val="center"/>
          </w:tcPr>
          <w:p w14:paraId="0CA8C70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2,632</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41E6EFB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1,545</w:t>
            </w:r>
          </w:p>
        </w:tc>
        <w:tc>
          <w:tcPr>
            <w:tcW w:w="826" w:type="dxa"/>
            <w:tcBorders>
              <w:top w:val="single" w:sz="4" w:space="0" w:color="auto"/>
              <w:left w:val="single" w:sz="4" w:space="0" w:color="auto"/>
              <w:bottom w:val="single" w:sz="4" w:space="0" w:color="auto"/>
              <w:right w:val="single" w:sz="4" w:space="0" w:color="auto"/>
            </w:tcBorders>
            <w:vAlign w:val="center"/>
          </w:tcPr>
          <w:p w14:paraId="5387197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6,775</w:t>
            </w:r>
          </w:p>
        </w:tc>
        <w:tc>
          <w:tcPr>
            <w:tcW w:w="601" w:type="dxa"/>
            <w:tcBorders>
              <w:top w:val="single" w:sz="4" w:space="0" w:color="auto"/>
              <w:left w:val="single" w:sz="4" w:space="0" w:color="auto"/>
              <w:bottom w:val="single" w:sz="4" w:space="0" w:color="auto"/>
              <w:right w:val="single" w:sz="4" w:space="0" w:color="auto"/>
            </w:tcBorders>
            <w:vAlign w:val="center"/>
          </w:tcPr>
          <w:p w14:paraId="00E8F03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bottom w:val="single" w:sz="4" w:space="0" w:color="auto"/>
              <w:right w:val="single" w:sz="4" w:space="0" w:color="auto"/>
            </w:tcBorders>
            <w:vAlign w:val="center"/>
          </w:tcPr>
          <w:p w14:paraId="0353CC0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0,757</w:t>
            </w:r>
          </w:p>
        </w:tc>
        <w:tc>
          <w:tcPr>
            <w:tcW w:w="966" w:type="dxa"/>
            <w:tcBorders>
              <w:top w:val="single" w:sz="4" w:space="0" w:color="auto"/>
              <w:left w:val="single" w:sz="4" w:space="0" w:color="auto"/>
              <w:bottom w:val="single" w:sz="4" w:space="0" w:color="auto"/>
              <w:right w:val="single" w:sz="4" w:space="0" w:color="auto"/>
            </w:tcBorders>
            <w:vAlign w:val="center"/>
          </w:tcPr>
          <w:p w14:paraId="40C76A9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0,325</w:t>
            </w:r>
          </w:p>
        </w:tc>
        <w:tc>
          <w:tcPr>
            <w:tcW w:w="1036" w:type="dxa"/>
            <w:gridSpan w:val="2"/>
            <w:tcBorders>
              <w:top w:val="single" w:sz="4" w:space="0" w:color="auto"/>
              <w:left w:val="single" w:sz="4" w:space="0" w:color="auto"/>
              <w:bottom w:val="single" w:sz="4" w:space="0" w:color="auto"/>
              <w:right w:val="single" w:sz="4" w:space="0" w:color="auto"/>
            </w:tcBorders>
            <w:vAlign w:val="center"/>
          </w:tcPr>
          <w:p w14:paraId="3D51B2E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0,041</w:t>
            </w:r>
          </w:p>
        </w:tc>
        <w:tc>
          <w:tcPr>
            <w:tcW w:w="1072" w:type="dxa"/>
            <w:tcBorders>
              <w:top w:val="single" w:sz="4" w:space="0" w:color="auto"/>
              <w:left w:val="single" w:sz="4" w:space="0" w:color="auto"/>
              <w:bottom w:val="single" w:sz="4" w:space="0" w:color="auto"/>
              <w:right w:val="single" w:sz="4" w:space="0" w:color="auto"/>
            </w:tcBorders>
            <w:vAlign w:val="center"/>
          </w:tcPr>
          <w:p w14:paraId="024848E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5,326</w:t>
            </w:r>
          </w:p>
        </w:tc>
      </w:tr>
      <w:tr w:rsidR="00A9409C" w:rsidRPr="00145B66" w14:paraId="1AEB815F" w14:textId="77777777" w:rsidTr="00094F6F">
        <w:trPr>
          <w:trHeight w:val="340"/>
          <w:jc w:val="center"/>
        </w:trPr>
        <w:tc>
          <w:tcPr>
            <w:tcW w:w="2520" w:type="dxa"/>
            <w:tcBorders>
              <w:top w:val="single" w:sz="4" w:space="0" w:color="auto"/>
              <w:left w:val="single" w:sz="4" w:space="0" w:color="auto"/>
              <w:right w:val="single" w:sz="4" w:space="0" w:color="auto"/>
            </w:tcBorders>
            <w:vAlign w:val="center"/>
          </w:tcPr>
          <w:p w14:paraId="78E9389D" w14:textId="77777777" w:rsidR="00A9409C" w:rsidRPr="0000621F" w:rsidRDefault="00A9409C" w:rsidP="00094F6F">
            <w:pPr>
              <w:tabs>
                <w:tab w:val="left" w:pos="0"/>
              </w:tabs>
              <w:spacing w:after="0" w:line="240" w:lineRule="auto"/>
              <w:rPr>
                <w:rFonts w:ascii="Times New Roman" w:hAnsi="Times New Roman"/>
                <w:i/>
                <w:iCs/>
                <w:sz w:val="24"/>
                <w:szCs w:val="24"/>
                <w:lang w:val="en-US" w:eastAsia="en-US"/>
              </w:rPr>
            </w:pPr>
            <w:r w:rsidRPr="0000621F">
              <w:rPr>
                <w:rFonts w:ascii="Times New Roman" w:hAnsi="Times New Roman"/>
                <w:i/>
                <w:iCs/>
                <w:sz w:val="24"/>
                <w:szCs w:val="24"/>
                <w:lang w:val="en-US" w:eastAsia="en-US"/>
              </w:rPr>
              <w:t>III</w:t>
            </w:r>
          </w:p>
        </w:tc>
        <w:tc>
          <w:tcPr>
            <w:tcW w:w="952" w:type="dxa"/>
            <w:gridSpan w:val="2"/>
            <w:tcBorders>
              <w:top w:val="single" w:sz="4" w:space="0" w:color="auto"/>
              <w:left w:val="single" w:sz="4" w:space="0" w:color="auto"/>
              <w:right w:val="single" w:sz="4" w:space="0" w:color="auto"/>
            </w:tcBorders>
            <w:vAlign w:val="center"/>
          </w:tcPr>
          <w:p w14:paraId="262DE09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1,965</w:t>
            </w:r>
          </w:p>
        </w:tc>
        <w:tc>
          <w:tcPr>
            <w:tcW w:w="840" w:type="dxa"/>
            <w:gridSpan w:val="2"/>
            <w:tcBorders>
              <w:top w:val="single" w:sz="4" w:space="0" w:color="auto"/>
              <w:left w:val="single" w:sz="4" w:space="0" w:color="auto"/>
              <w:right w:val="single" w:sz="4" w:space="0" w:color="auto"/>
            </w:tcBorders>
            <w:vAlign w:val="center"/>
          </w:tcPr>
          <w:p w14:paraId="490DB69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0,825</w:t>
            </w:r>
          </w:p>
        </w:tc>
        <w:tc>
          <w:tcPr>
            <w:tcW w:w="826" w:type="dxa"/>
            <w:tcBorders>
              <w:top w:val="single" w:sz="4" w:space="0" w:color="auto"/>
              <w:left w:val="single" w:sz="4" w:space="0" w:color="auto"/>
              <w:right w:val="single" w:sz="4" w:space="0" w:color="auto"/>
            </w:tcBorders>
            <w:vAlign w:val="center"/>
          </w:tcPr>
          <w:p w14:paraId="2E222EA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6,235</w:t>
            </w:r>
          </w:p>
        </w:tc>
        <w:tc>
          <w:tcPr>
            <w:tcW w:w="601" w:type="dxa"/>
            <w:tcBorders>
              <w:top w:val="single" w:sz="4" w:space="0" w:color="auto"/>
              <w:left w:val="single" w:sz="4" w:space="0" w:color="auto"/>
              <w:right w:val="single" w:sz="4" w:space="0" w:color="auto"/>
            </w:tcBorders>
            <w:vAlign w:val="center"/>
          </w:tcPr>
          <w:p w14:paraId="70654D5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right w:val="single" w:sz="4" w:space="0" w:color="auto"/>
            </w:tcBorders>
            <w:vAlign w:val="center"/>
          </w:tcPr>
          <w:p w14:paraId="79548F5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0,021</w:t>
            </w:r>
          </w:p>
        </w:tc>
        <w:tc>
          <w:tcPr>
            <w:tcW w:w="966" w:type="dxa"/>
            <w:tcBorders>
              <w:top w:val="single" w:sz="4" w:space="0" w:color="auto"/>
              <w:left w:val="single" w:sz="4" w:space="0" w:color="auto"/>
              <w:right w:val="single" w:sz="4" w:space="0" w:color="auto"/>
            </w:tcBorders>
            <w:vAlign w:val="center"/>
          </w:tcPr>
          <w:p w14:paraId="3C0BF85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3,621</w:t>
            </w:r>
          </w:p>
        </w:tc>
        <w:tc>
          <w:tcPr>
            <w:tcW w:w="1036" w:type="dxa"/>
            <w:gridSpan w:val="2"/>
            <w:tcBorders>
              <w:top w:val="single" w:sz="4" w:space="0" w:color="auto"/>
              <w:left w:val="single" w:sz="4" w:space="0" w:color="auto"/>
              <w:right w:val="single" w:sz="4" w:space="0" w:color="auto"/>
            </w:tcBorders>
            <w:vAlign w:val="center"/>
          </w:tcPr>
          <w:p w14:paraId="3241EAB5"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2,322</w:t>
            </w:r>
          </w:p>
        </w:tc>
        <w:tc>
          <w:tcPr>
            <w:tcW w:w="1072" w:type="dxa"/>
            <w:tcBorders>
              <w:top w:val="single" w:sz="4" w:space="0" w:color="auto"/>
              <w:left w:val="single" w:sz="4" w:space="0" w:color="auto"/>
              <w:right w:val="single" w:sz="4" w:space="0" w:color="auto"/>
            </w:tcBorders>
            <w:vAlign w:val="center"/>
          </w:tcPr>
          <w:p w14:paraId="25D5ECD5"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4,625</w:t>
            </w:r>
          </w:p>
        </w:tc>
      </w:tr>
      <w:tr w:rsidR="00A9409C" w:rsidRPr="00145B66" w14:paraId="34782DA0" w14:textId="77777777" w:rsidTr="00094F6F">
        <w:trPr>
          <w:trHeight w:val="340"/>
          <w:jc w:val="center"/>
        </w:trPr>
        <w:tc>
          <w:tcPr>
            <w:tcW w:w="9611" w:type="dxa"/>
            <w:gridSpan w:val="13"/>
            <w:tcBorders>
              <w:top w:val="single" w:sz="4" w:space="0" w:color="auto"/>
              <w:left w:val="single" w:sz="4" w:space="0" w:color="auto"/>
              <w:bottom w:val="single" w:sz="4" w:space="0" w:color="auto"/>
              <w:right w:val="single" w:sz="4" w:space="0" w:color="auto"/>
            </w:tcBorders>
            <w:vAlign w:val="center"/>
          </w:tcPr>
          <w:p w14:paraId="57CED2C1"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Гистологический тип рака</w:t>
            </w:r>
          </w:p>
        </w:tc>
      </w:tr>
      <w:tr w:rsidR="00A9409C" w:rsidRPr="00145B66" w14:paraId="6BCFB821"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tcPr>
          <w:p w14:paraId="017B221B" w14:textId="77777777" w:rsidR="00A9409C" w:rsidRPr="0000621F" w:rsidRDefault="00A9409C" w:rsidP="00094F6F">
            <w:pPr>
              <w:tabs>
                <w:tab w:val="left" w:pos="0"/>
              </w:tabs>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Аденокарцинома</w:t>
            </w:r>
          </w:p>
        </w:tc>
        <w:tc>
          <w:tcPr>
            <w:tcW w:w="938" w:type="dxa"/>
            <w:tcBorders>
              <w:top w:val="single" w:sz="4" w:space="0" w:color="auto"/>
              <w:left w:val="single" w:sz="4" w:space="0" w:color="auto"/>
              <w:bottom w:val="single" w:sz="4" w:space="0" w:color="auto"/>
              <w:right w:val="single" w:sz="4" w:space="0" w:color="auto"/>
            </w:tcBorders>
            <w:vAlign w:val="center"/>
          </w:tcPr>
          <w:p w14:paraId="6BD8042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0,236</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59243BA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0,425</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5E11B29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2,636</w:t>
            </w:r>
          </w:p>
        </w:tc>
        <w:tc>
          <w:tcPr>
            <w:tcW w:w="601" w:type="dxa"/>
            <w:tcBorders>
              <w:top w:val="single" w:sz="4" w:space="0" w:color="auto"/>
              <w:left w:val="single" w:sz="4" w:space="0" w:color="auto"/>
              <w:bottom w:val="single" w:sz="4" w:space="0" w:color="auto"/>
              <w:right w:val="single" w:sz="4" w:space="0" w:color="auto"/>
            </w:tcBorders>
            <w:vAlign w:val="center"/>
          </w:tcPr>
          <w:p w14:paraId="67FC14E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bottom w:val="single" w:sz="4" w:space="0" w:color="auto"/>
              <w:right w:val="single" w:sz="4" w:space="0" w:color="auto"/>
            </w:tcBorders>
            <w:vAlign w:val="center"/>
          </w:tcPr>
          <w:p w14:paraId="4CBBC76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1,632</w:t>
            </w:r>
          </w:p>
        </w:tc>
        <w:tc>
          <w:tcPr>
            <w:tcW w:w="966" w:type="dxa"/>
            <w:tcBorders>
              <w:top w:val="single" w:sz="4" w:space="0" w:color="auto"/>
              <w:left w:val="single" w:sz="4" w:space="0" w:color="auto"/>
              <w:bottom w:val="single" w:sz="4" w:space="0" w:color="auto"/>
              <w:right w:val="single" w:sz="4" w:space="0" w:color="auto"/>
            </w:tcBorders>
            <w:vAlign w:val="center"/>
          </w:tcPr>
          <w:p w14:paraId="5ADD853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0,148</w:t>
            </w:r>
          </w:p>
        </w:tc>
        <w:tc>
          <w:tcPr>
            <w:tcW w:w="1036" w:type="dxa"/>
            <w:gridSpan w:val="2"/>
            <w:tcBorders>
              <w:top w:val="single" w:sz="4" w:space="0" w:color="auto"/>
              <w:left w:val="single" w:sz="4" w:space="0" w:color="auto"/>
              <w:bottom w:val="single" w:sz="4" w:space="0" w:color="auto"/>
              <w:right w:val="single" w:sz="4" w:space="0" w:color="auto"/>
            </w:tcBorders>
            <w:vAlign w:val="center"/>
          </w:tcPr>
          <w:p w14:paraId="7F4BB3A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1,265</w:t>
            </w:r>
          </w:p>
        </w:tc>
        <w:tc>
          <w:tcPr>
            <w:tcW w:w="1072" w:type="dxa"/>
            <w:tcBorders>
              <w:top w:val="single" w:sz="4" w:space="0" w:color="auto"/>
              <w:left w:val="single" w:sz="4" w:space="0" w:color="auto"/>
              <w:bottom w:val="single" w:sz="4" w:space="0" w:color="auto"/>
              <w:right w:val="single" w:sz="4" w:space="0" w:color="auto"/>
            </w:tcBorders>
            <w:vAlign w:val="center"/>
          </w:tcPr>
          <w:p w14:paraId="16378AA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5,363</w:t>
            </w:r>
          </w:p>
        </w:tc>
      </w:tr>
      <w:tr w:rsidR="00A9409C" w:rsidRPr="00145B66" w14:paraId="615B5A95" w14:textId="77777777" w:rsidTr="00094F6F">
        <w:trPr>
          <w:trHeight w:val="340"/>
          <w:jc w:val="center"/>
        </w:trPr>
        <w:tc>
          <w:tcPr>
            <w:tcW w:w="2520" w:type="dxa"/>
            <w:tcBorders>
              <w:top w:val="single" w:sz="4" w:space="0" w:color="auto"/>
              <w:left w:val="single" w:sz="4" w:space="0" w:color="auto"/>
              <w:right w:val="single" w:sz="4" w:space="0" w:color="auto"/>
            </w:tcBorders>
            <w:vAlign w:val="center"/>
            <w:hideMark/>
          </w:tcPr>
          <w:p w14:paraId="1AD7CD6A" w14:textId="77777777" w:rsidR="00A9409C" w:rsidRPr="0000621F" w:rsidRDefault="00A9409C" w:rsidP="00094F6F">
            <w:pPr>
              <w:tabs>
                <w:tab w:val="left" w:pos="0"/>
              </w:tabs>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Перстневидно-клеточная карцинома</w:t>
            </w:r>
          </w:p>
        </w:tc>
        <w:tc>
          <w:tcPr>
            <w:tcW w:w="938" w:type="dxa"/>
            <w:tcBorders>
              <w:top w:val="single" w:sz="4" w:space="0" w:color="auto"/>
              <w:left w:val="single" w:sz="4" w:space="0" w:color="auto"/>
              <w:right w:val="single" w:sz="4" w:space="0" w:color="auto"/>
            </w:tcBorders>
            <w:vAlign w:val="center"/>
          </w:tcPr>
          <w:p w14:paraId="63F0260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0,558</w:t>
            </w:r>
          </w:p>
        </w:tc>
        <w:tc>
          <w:tcPr>
            <w:tcW w:w="840" w:type="dxa"/>
            <w:gridSpan w:val="2"/>
            <w:tcBorders>
              <w:top w:val="single" w:sz="4" w:space="0" w:color="auto"/>
              <w:left w:val="single" w:sz="4" w:space="0" w:color="auto"/>
              <w:right w:val="single" w:sz="4" w:space="0" w:color="auto"/>
            </w:tcBorders>
            <w:vAlign w:val="center"/>
          </w:tcPr>
          <w:p w14:paraId="0EF1036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0,636</w:t>
            </w:r>
          </w:p>
        </w:tc>
        <w:tc>
          <w:tcPr>
            <w:tcW w:w="840" w:type="dxa"/>
            <w:gridSpan w:val="2"/>
            <w:tcBorders>
              <w:top w:val="single" w:sz="4" w:space="0" w:color="auto"/>
              <w:left w:val="single" w:sz="4" w:space="0" w:color="auto"/>
              <w:right w:val="single" w:sz="4" w:space="0" w:color="auto"/>
            </w:tcBorders>
            <w:vAlign w:val="center"/>
          </w:tcPr>
          <w:p w14:paraId="4F1BC30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4,626</w:t>
            </w:r>
          </w:p>
        </w:tc>
        <w:tc>
          <w:tcPr>
            <w:tcW w:w="601" w:type="dxa"/>
            <w:tcBorders>
              <w:top w:val="single" w:sz="4" w:space="0" w:color="auto"/>
              <w:left w:val="single" w:sz="4" w:space="0" w:color="auto"/>
              <w:right w:val="single" w:sz="4" w:space="0" w:color="auto"/>
            </w:tcBorders>
            <w:vAlign w:val="center"/>
          </w:tcPr>
          <w:p w14:paraId="7716E4F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right w:val="single" w:sz="4" w:space="0" w:color="auto"/>
            </w:tcBorders>
            <w:vAlign w:val="center"/>
          </w:tcPr>
          <w:p w14:paraId="445B0C1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0,225</w:t>
            </w:r>
          </w:p>
        </w:tc>
        <w:tc>
          <w:tcPr>
            <w:tcW w:w="966" w:type="dxa"/>
            <w:tcBorders>
              <w:top w:val="single" w:sz="4" w:space="0" w:color="auto"/>
              <w:left w:val="single" w:sz="4" w:space="0" w:color="auto"/>
              <w:right w:val="single" w:sz="4" w:space="0" w:color="auto"/>
            </w:tcBorders>
            <w:vAlign w:val="center"/>
          </w:tcPr>
          <w:p w14:paraId="73EB638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0,165</w:t>
            </w:r>
          </w:p>
        </w:tc>
        <w:tc>
          <w:tcPr>
            <w:tcW w:w="1036" w:type="dxa"/>
            <w:gridSpan w:val="2"/>
            <w:tcBorders>
              <w:top w:val="single" w:sz="4" w:space="0" w:color="auto"/>
              <w:left w:val="single" w:sz="4" w:space="0" w:color="auto"/>
              <w:right w:val="single" w:sz="4" w:space="0" w:color="auto"/>
            </w:tcBorders>
            <w:vAlign w:val="center"/>
          </w:tcPr>
          <w:p w14:paraId="28574E4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1,363</w:t>
            </w:r>
          </w:p>
        </w:tc>
        <w:tc>
          <w:tcPr>
            <w:tcW w:w="1072" w:type="dxa"/>
            <w:tcBorders>
              <w:top w:val="single" w:sz="4" w:space="0" w:color="auto"/>
              <w:left w:val="single" w:sz="4" w:space="0" w:color="auto"/>
              <w:right w:val="single" w:sz="4" w:space="0" w:color="auto"/>
            </w:tcBorders>
            <w:vAlign w:val="center"/>
          </w:tcPr>
          <w:p w14:paraId="3863A26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3,956</w:t>
            </w:r>
          </w:p>
        </w:tc>
      </w:tr>
      <w:tr w:rsidR="00A9409C" w:rsidRPr="00145B66" w14:paraId="23EF6D51" w14:textId="77777777" w:rsidTr="00094F6F">
        <w:trPr>
          <w:trHeight w:val="340"/>
          <w:jc w:val="center"/>
        </w:trPr>
        <w:tc>
          <w:tcPr>
            <w:tcW w:w="2520" w:type="dxa"/>
            <w:tcBorders>
              <w:top w:val="single" w:sz="4" w:space="0" w:color="auto"/>
              <w:left w:val="single" w:sz="4" w:space="0" w:color="auto"/>
              <w:right w:val="single" w:sz="4" w:space="0" w:color="auto"/>
            </w:tcBorders>
            <w:vAlign w:val="center"/>
            <w:hideMark/>
          </w:tcPr>
          <w:p w14:paraId="08AEF34E" w14:textId="77777777" w:rsidR="00A9409C" w:rsidRPr="0000621F" w:rsidRDefault="00A9409C" w:rsidP="00094F6F">
            <w:pPr>
              <w:tabs>
                <w:tab w:val="left" w:pos="0"/>
              </w:tabs>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Недифференцированная карцинома</w:t>
            </w:r>
          </w:p>
        </w:tc>
        <w:tc>
          <w:tcPr>
            <w:tcW w:w="938" w:type="dxa"/>
            <w:tcBorders>
              <w:top w:val="single" w:sz="4" w:space="0" w:color="auto"/>
              <w:left w:val="single" w:sz="4" w:space="0" w:color="auto"/>
              <w:right w:val="single" w:sz="4" w:space="0" w:color="auto"/>
            </w:tcBorders>
            <w:vAlign w:val="center"/>
          </w:tcPr>
          <w:p w14:paraId="3AB89D6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1,526</w:t>
            </w:r>
          </w:p>
        </w:tc>
        <w:tc>
          <w:tcPr>
            <w:tcW w:w="840" w:type="dxa"/>
            <w:gridSpan w:val="2"/>
            <w:tcBorders>
              <w:top w:val="single" w:sz="4" w:space="0" w:color="auto"/>
              <w:left w:val="single" w:sz="4" w:space="0" w:color="auto"/>
              <w:right w:val="single" w:sz="4" w:space="0" w:color="auto"/>
            </w:tcBorders>
            <w:vAlign w:val="center"/>
          </w:tcPr>
          <w:p w14:paraId="577B366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1,636</w:t>
            </w:r>
          </w:p>
        </w:tc>
        <w:tc>
          <w:tcPr>
            <w:tcW w:w="840" w:type="dxa"/>
            <w:gridSpan w:val="2"/>
            <w:tcBorders>
              <w:top w:val="single" w:sz="4" w:space="0" w:color="auto"/>
              <w:left w:val="single" w:sz="4" w:space="0" w:color="auto"/>
              <w:right w:val="single" w:sz="4" w:space="0" w:color="auto"/>
            </w:tcBorders>
            <w:vAlign w:val="center"/>
          </w:tcPr>
          <w:p w14:paraId="2CE22FC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5,263</w:t>
            </w:r>
          </w:p>
        </w:tc>
        <w:tc>
          <w:tcPr>
            <w:tcW w:w="601" w:type="dxa"/>
            <w:tcBorders>
              <w:top w:val="single" w:sz="4" w:space="0" w:color="auto"/>
              <w:left w:val="single" w:sz="4" w:space="0" w:color="auto"/>
              <w:right w:val="single" w:sz="4" w:space="0" w:color="auto"/>
            </w:tcBorders>
            <w:vAlign w:val="center"/>
          </w:tcPr>
          <w:p w14:paraId="7C4EFD5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right w:val="single" w:sz="4" w:space="0" w:color="auto"/>
            </w:tcBorders>
            <w:vAlign w:val="center"/>
          </w:tcPr>
          <w:p w14:paraId="7D5ADB7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1,636</w:t>
            </w:r>
          </w:p>
        </w:tc>
        <w:tc>
          <w:tcPr>
            <w:tcW w:w="966" w:type="dxa"/>
            <w:tcBorders>
              <w:top w:val="single" w:sz="4" w:space="0" w:color="auto"/>
              <w:left w:val="single" w:sz="4" w:space="0" w:color="auto"/>
              <w:right w:val="single" w:sz="4" w:space="0" w:color="auto"/>
            </w:tcBorders>
            <w:vAlign w:val="center"/>
          </w:tcPr>
          <w:p w14:paraId="21A20F5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0,963</w:t>
            </w:r>
          </w:p>
        </w:tc>
        <w:tc>
          <w:tcPr>
            <w:tcW w:w="1036" w:type="dxa"/>
            <w:gridSpan w:val="2"/>
            <w:tcBorders>
              <w:top w:val="single" w:sz="4" w:space="0" w:color="auto"/>
              <w:left w:val="single" w:sz="4" w:space="0" w:color="auto"/>
              <w:right w:val="single" w:sz="4" w:space="0" w:color="auto"/>
            </w:tcBorders>
            <w:vAlign w:val="center"/>
          </w:tcPr>
          <w:p w14:paraId="61325AF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0,825</w:t>
            </w:r>
          </w:p>
        </w:tc>
        <w:tc>
          <w:tcPr>
            <w:tcW w:w="1072" w:type="dxa"/>
            <w:tcBorders>
              <w:top w:val="single" w:sz="4" w:space="0" w:color="auto"/>
              <w:left w:val="single" w:sz="4" w:space="0" w:color="auto"/>
              <w:right w:val="single" w:sz="4" w:space="0" w:color="auto"/>
            </w:tcBorders>
            <w:vAlign w:val="center"/>
          </w:tcPr>
          <w:p w14:paraId="63D9571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9,636</w:t>
            </w:r>
          </w:p>
        </w:tc>
      </w:tr>
      <w:tr w:rsidR="00A9409C" w:rsidRPr="00145B66" w14:paraId="75BE656A" w14:textId="77777777" w:rsidTr="00094F6F">
        <w:trPr>
          <w:trHeight w:val="340"/>
          <w:jc w:val="center"/>
        </w:trPr>
        <w:tc>
          <w:tcPr>
            <w:tcW w:w="9611" w:type="dxa"/>
            <w:gridSpan w:val="13"/>
            <w:tcBorders>
              <w:top w:val="single" w:sz="4" w:space="0" w:color="auto"/>
              <w:left w:val="single" w:sz="4" w:space="0" w:color="auto"/>
              <w:bottom w:val="single" w:sz="4" w:space="0" w:color="auto"/>
              <w:right w:val="single" w:sz="4" w:space="0" w:color="auto"/>
            </w:tcBorders>
            <w:vAlign w:val="center"/>
          </w:tcPr>
          <w:p w14:paraId="33419358"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Степень дифференцировки</w:t>
            </w:r>
          </w:p>
        </w:tc>
      </w:tr>
      <w:tr w:rsidR="00A9409C" w:rsidRPr="00145B66" w14:paraId="3C8BB9A5"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tcPr>
          <w:p w14:paraId="24459A88" w14:textId="77777777" w:rsidR="00A9409C" w:rsidRPr="0000621F" w:rsidRDefault="00A9409C" w:rsidP="00094F6F">
            <w:pPr>
              <w:spacing w:after="0" w:line="240" w:lineRule="auto"/>
              <w:rPr>
                <w:rFonts w:ascii="Times New Roman" w:hAnsi="Times New Roman"/>
                <w:bCs/>
                <w:i/>
                <w:iCs/>
                <w:sz w:val="24"/>
                <w:szCs w:val="24"/>
                <w:lang w:eastAsia="en-US"/>
              </w:rPr>
            </w:pPr>
            <w:r w:rsidRPr="0000621F">
              <w:rPr>
                <w:rFonts w:ascii="Times New Roman" w:hAnsi="Times New Roman"/>
                <w:bCs/>
                <w:i/>
                <w:iCs/>
                <w:sz w:val="24"/>
                <w:szCs w:val="24"/>
                <w:lang w:eastAsia="en-US"/>
              </w:rPr>
              <w:t>Низкая</w:t>
            </w:r>
          </w:p>
        </w:tc>
        <w:tc>
          <w:tcPr>
            <w:tcW w:w="938" w:type="dxa"/>
            <w:tcBorders>
              <w:top w:val="single" w:sz="4" w:space="0" w:color="auto"/>
              <w:left w:val="single" w:sz="4" w:space="0" w:color="auto"/>
              <w:bottom w:val="single" w:sz="4" w:space="0" w:color="auto"/>
              <w:right w:val="single" w:sz="4" w:space="0" w:color="auto"/>
            </w:tcBorders>
            <w:vAlign w:val="center"/>
          </w:tcPr>
          <w:p w14:paraId="1D46132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1,826</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245A489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0,636</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369EA46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2,452</w:t>
            </w:r>
          </w:p>
        </w:tc>
        <w:tc>
          <w:tcPr>
            <w:tcW w:w="601" w:type="dxa"/>
            <w:tcBorders>
              <w:top w:val="single" w:sz="4" w:space="0" w:color="auto"/>
              <w:left w:val="single" w:sz="4" w:space="0" w:color="auto"/>
              <w:bottom w:val="single" w:sz="4" w:space="0" w:color="auto"/>
              <w:right w:val="single" w:sz="4" w:space="0" w:color="auto"/>
            </w:tcBorders>
            <w:vAlign w:val="center"/>
          </w:tcPr>
          <w:p w14:paraId="7F154F4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bottom w:val="single" w:sz="4" w:space="0" w:color="auto"/>
              <w:right w:val="single" w:sz="4" w:space="0" w:color="auto"/>
            </w:tcBorders>
            <w:vAlign w:val="center"/>
          </w:tcPr>
          <w:p w14:paraId="6F8ED3B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0,025</w:t>
            </w:r>
          </w:p>
        </w:tc>
        <w:tc>
          <w:tcPr>
            <w:tcW w:w="966" w:type="dxa"/>
            <w:tcBorders>
              <w:top w:val="single" w:sz="4" w:space="0" w:color="auto"/>
              <w:left w:val="single" w:sz="4" w:space="0" w:color="auto"/>
              <w:bottom w:val="single" w:sz="4" w:space="0" w:color="auto"/>
              <w:right w:val="single" w:sz="4" w:space="0" w:color="auto"/>
            </w:tcBorders>
            <w:vAlign w:val="center"/>
          </w:tcPr>
          <w:p w14:paraId="555D28F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1,936</w:t>
            </w:r>
          </w:p>
        </w:tc>
        <w:tc>
          <w:tcPr>
            <w:tcW w:w="1036" w:type="dxa"/>
            <w:gridSpan w:val="2"/>
            <w:tcBorders>
              <w:top w:val="single" w:sz="4" w:space="0" w:color="auto"/>
              <w:left w:val="single" w:sz="4" w:space="0" w:color="auto"/>
              <w:bottom w:val="single" w:sz="4" w:space="0" w:color="auto"/>
              <w:right w:val="single" w:sz="4" w:space="0" w:color="auto"/>
            </w:tcBorders>
            <w:vAlign w:val="center"/>
          </w:tcPr>
          <w:p w14:paraId="71F94D9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1,236</w:t>
            </w:r>
          </w:p>
        </w:tc>
        <w:tc>
          <w:tcPr>
            <w:tcW w:w="1072" w:type="dxa"/>
            <w:tcBorders>
              <w:top w:val="single" w:sz="4" w:space="0" w:color="auto"/>
              <w:left w:val="single" w:sz="4" w:space="0" w:color="auto"/>
              <w:bottom w:val="single" w:sz="4" w:space="0" w:color="auto"/>
              <w:right w:val="single" w:sz="4" w:space="0" w:color="auto"/>
            </w:tcBorders>
            <w:vAlign w:val="center"/>
          </w:tcPr>
          <w:p w14:paraId="04228D1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2,638</w:t>
            </w:r>
          </w:p>
        </w:tc>
      </w:tr>
      <w:tr w:rsidR="00A9409C" w:rsidRPr="00145B66" w14:paraId="2562C2A5"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tcPr>
          <w:p w14:paraId="575DC64F" w14:textId="77777777" w:rsidR="00A9409C" w:rsidRPr="0000621F" w:rsidRDefault="00A9409C" w:rsidP="00094F6F">
            <w:pPr>
              <w:spacing w:after="0" w:line="240" w:lineRule="auto"/>
              <w:rPr>
                <w:rFonts w:ascii="Times New Roman" w:hAnsi="Times New Roman"/>
                <w:bCs/>
                <w:i/>
                <w:iCs/>
                <w:sz w:val="24"/>
                <w:szCs w:val="24"/>
                <w:lang w:eastAsia="en-US"/>
              </w:rPr>
            </w:pPr>
            <w:r w:rsidRPr="0000621F">
              <w:rPr>
                <w:rFonts w:ascii="Times New Roman" w:hAnsi="Times New Roman"/>
                <w:bCs/>
                <w:i/>
                <w:iCs/>
                <w:sz w:val="24"/>
                <w:szCs w:val="24"/>
                <w:lang w:eastAsia="en-US"/>
              </w:rPr>
              <w:t>Высокая</w:t>
            </w:r>
          </w:p>
        </w:tc>
        <w:tc>
          <w:tcPr>
            <w:tcW w:w="938" w:type="dxa"/>
            <w:tcBorders>
              <w:top w:val="single" w:sz="4" w:space="0" w:color="auto"/>
              <w:left w:val="single" w:sz="4" w:space="0" w:color="auto"/>
              <w:bottom w:val="single" w:sz="4" w:space="0" w:color="auto"/>
              <w:right w:val="single" w:sz="4" w:space="0" w:color="auto"/>
            </w:tcBorders>
            <w:vAlign w:val="center"/>
          </w:tcPr>
          <w:p w14:paraId="438D969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2,363</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29D7338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1,636</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3FE010D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3,526</w:t>
            </w:r>
          </w:p>
        </w:tc>
        <w:tc>
          <w:tcPr>
            <w:tcW w:w="601" w:type="dxa"/>
            <w:tcBorders>
              <w:top w:val="single" w:sz="4" w:space="0" w:color="auto"/>
              <w:left w:val="single" w:sz="4" w:space="0" w:color="auto"/>
              <w:bottom w:val="single" w:sz="4" w:space="0" w:color="auto"/>
              <w:right w:val="single" w:sz="4" w:space="0" w:color="auto"/>
            </w:tcBorders>
            <w:vAlign w:val="center"/>
          </w:tcPr>
          <w:p w14:paraId="11F1EEC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bottom w:val="single" w:sz="4" w:space="0" w:color="auto"/>
              <w:right w:val="single" w:sz="4" w:space="0" w:color="auto"/>
            </w:tcBorders>
            <w:vAlign w:val="center"/>
          </w:tcPr>
          <w:p w14:paraId="0963164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1,636</w:t>
            </w:r>
          </w:p>
        </w:tc>
        <w:tc>
          <w:tcPr>
            <w:tcW w:w="966" w:type="dxa"/>
            <w:tcBorders>
              <w:top w:val="single" w:sz="4" w:space="0" w:color="auto"/>
              <w:left w:val="single" w:sz="4" w:space="0" w:color="auto"/>
              <w:bottom w:val="single" w:sz="4" w:space="0" w:color="auto"/>
              <w:right w:val="single" w:sz="4" w:space="0" w:color="auto"/>
            </w:tcBorders>
            <w:vAlign w:val="center"/>
          </w:tcPr>
          <w:p w14:paraId="39595EA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0,725</w:t>
            </w:r>
          </w:p>
        </w:tc>
        <w:tc>
          <w:tcPr>
            <w:tcW w:w="1036" w:type="dxa"/>
            <w:gridSpan w:val="2"/>
            <w:tcBorders>
              <w:top w:val="single" w:sz="4" w:space="0" w:color="auto"/>
              <w:left w:val="single" w:sz="4" w:space="0" w:color="auto"/>
              <w:bottom w:val="single" w:sz="4" w:space="0" w:color="auto"/>
              <w:right w:val="single" w:sz="4" w:space="0" w:color="auto"/>
            </w:tcBorders>
            <w:vAlign w:val="center"/>
          </w:tcPr>
          <w:p w14:paraId="3492135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0,636</w:t>
            </w:r>
          </w:p>
        </w:tc>
        <w:tc>
          <w:tcPr>
            <w:tcW w:w="1072" w:type="dxa"/>
            <w:tcBorders>
              <w:top w:val="single" w:sz="4" w:space="0" w:color="auto"/>
              <w:left w:val="single" w:sz="4" w:space="0" w:color="auto"/>
              <w:bottom w:val="single" w:sz="4" w:space="0" w:color="auto"/>
              <w:right w:val="single" w:sz="4" w:space="0" w:color="auto"/>
            </w:tcBorders>
            <w:vAlign w:val="center"/>
          </w:tcPr>
          <w:p w14:paraId="62FD2AE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4,663</w:t>
            </w:r>
          </w:p>
        </w:tc>
      </w:tr>
      <w:tr w:rsidR="00A9409C" w:rsidRPr="00145B66" w14:paraId="0BE374CA" w14:textId="77777777" w:rsidTr="00094F6F">
        <w:trPr>
          <w:trHeight w:val="340"/>
          <w:jc w:val="center"/>
        </w:trPr>
        <w:tc>
          <w:tcPr>
            <w:tcW w:w="9611" w:type="dxa"/>
            <w:gridSpan w:val="13"/>
            <w:tcBorders>
              <w:top w:val="single" w:sz="4" w:space="0" w:color="auto"/>
              <w:left w:val="single" w:sz="4" w:space="0" w:color="auto"/>
              <w:bottom w:val="single" w:sz="4" w:space="0" w:color="auto"/>
              <w:right w:val="single" w:sz="4" w:space="0" w:color="auto"/>
            </w:tcBorders>
            <w:vAlign w:val="center"/>
          </w:tcPr>
          <w:p w14:paraId="58D203AA"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Локализация рака</w:t>
            </w:r>
          </w:p>
        </w:tc>
      </w:tr>
      <w:tr w:rsidR="00A9409C" w:rsidRPr="00145B66" w14:paraId="1838876E" w14:textId="77777777" w:rsidTr="00094F6F">
        <w:trPr>
          <w:trHeight w:val="340"/>
          <w:jc w:val="center"/>
        </w:trPr>
        <w:tc>
          <w:tcPr>
            <w:tcW w:w="2520" w:type="dxa"/>
            <w:tcBorders>
              <w:top w:val="single" w:sz="4" w:space="0" w:color="auto"/>
              <w:left w:val="single" w:sz="4" w:space="0" w:color="auto"/>
              <w:right w:val="single" w:sz="4" w:space="0" w:color="auto"/>
            </w:tcBorders>
            <w:vAlign w:val="center"/>
          </w:tcPr>
          <w:p w14:paraId="30042FAB" w14:textId="77777777" w:rsidR="00A9409C" w:rsidRPr="0000621F" w:rsidRDefault="00A9409C" w:rsidP="00094F6F">
            <w:pPr>
              <w:spacing w:after="0" w:line="240" w:lineRule="auto"/>
              <w:rPr>
                <w:rFonts w:ascii="Times New Roman" w:hAnsi="Times New Roman"/>
                <w:bCs/>
                <w:i/>
                <w:iCs/>
                <w:sz w:val="24"/>
                <w:szCs w:val="24"/>
                <w:lang w:eastAsia="en-US"/>
              </w:rPr>
            </w:pPr>
            <w:r w:rsidRPr="0000621F">
              <w:rPr>
                <w:rFonts w:ascii="Times New Roman" w:hAnsi="Times New Roman"/>
                <w:bCs/>
                <w:i/>
                <w:iCs/>
                <w:sz w:val="24"/>
                <w:szCs w:val="24"/>
                <w:lang w:eastAsia="en-US"/>
              </w:rPr>
              <w:t>Восходящая ободочная кишка</w:t>
            </w:r>
          </w:p>
        </w:tc>
        <w:tc>
          <w:tcPr>
            <w:tcW w:w="938" w:type="dxa"/>
            <w:tcBorders>
              <w:top w:val="single" w:sz="4" w:space="0" w:color="auto"/>
              <w:left w:val="single" w:sz="4" w:space="0" w:color="auto"/>
              <w:right w:val="single" w:sz="4" w:space="0" w:color="auto"/>
            </w:tcBorders>
            <w:vAlign w:val="center"/>
          </w:tcPr>
          <w:p w14:paraId="2BA5752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1,336</w:t>
            </w:r>
          </w:p>
        </w:tc>
        <w:tc>
          <w:tcPr>
            <w:tcW w:w="840" w:type="dxa"/>
            <w:gridSpan w:val="2"/>
            <w:tcBorders>
              <w:top w:val="single" w:sz="4" w:space="0" w:color="auto"/>
              <w:left w:val="single" w:sz="4" w:space="0" w:color="auto"/>
              <w:right w:val="single" w:sz="4" w:space="0" w:color="auto"/>
            </w:tcBorders>
            <w:vAlign w:val="center"/>
          </w:tcPr>
          <w:p w14:paraId="058B742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1,635</w:t>
            </w:r>
          </w:p>
        </w:tc>
        <w:tc>
          <w:tcPr>
            <w:tcW w:w="840" w:type="dxa"/>
            <w:gridSpan w:val="2"/>
            <w:tcBorders>
              <w:top w:val="single" w:sz="4" w:space="0" w:color="auto"/>
              <w:left w:val="single" w:sz="4" w:space="0" w:color="auto"/>
              <w:right w:val="single" w:sz="4" w:space="0" w:color="auto"/>
            </w:tcBorders>
            <w:vAlign w:val="center"/>
          </w:tcPr>
          <w:p w14:paraId="51F44EC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1,254</w:t>
            </w:r>
          </w:p>
        </w:tc>
        <w:tc>
          <w:tcPr>
            <w:tcW w:w="601" w:type="dxa"/>
            <w:tcBorders>
              <w:top w:val="single" w:sz="4" w:space="0" w:color="auto"/>
              <w:left w:val="single" w:sz="4" w:space="0" w:color="auto"/>
              <w:right w:val="single" w:sz="4" w:space="0" w:color="auto"/>
            </w:tcBorders>
            <w:vAlign w:val="center"/>
          </w:tcPr>
          <w:p w14:paraId="247F8BE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right w:val="single" w:sz="4" w:space="0" w:color="auto"/>
            </w:tcBorders>
            <w:vAlign w:val="center"/>
          </w:tcPr>
          <w:p w14:paraId="4C27D63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1,452</w:t>
            </w:r>
          </w:p>
        </w:tc>
        <w:tc>
          <w:tcPr>
            <w:tcW w:w="966" w:type="dxa"/>
            <w:tcBorders>
              <w:top w:val="single" w:sz="4" w:space="0" w:color="auto"/>
              <w:left w:val="single" w:sz="4" w:space="0" w:color="auto"/>
              <w:right w:val="single" w:sz="4" w:space="0" w:color="auto"/>
            </w:tcBorders>
            <w:vAlign w:val="center"/>
          </w:tcPr>
          <w:p w14:paraId="2F51008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0,825</w:t>
            </w:r>
          </w:p>
        </w:tc>
        <w:tc>
          <w:tcPr>
            <w:tcW w:w="1036" w:type="dxa"/>
            <w:gridSpan w:val="2"/>
            <w:tcBorders>
              <w:top w:val="single" w:sz="4" w:space="0" w:color="auto"/>
              <w:left w:val="single" w:sz="4" w:space="0" w:color="auto"/>
              <w:right w:val="single" w:sz="4" w:space="0" w:color="auto"/>
            </w:tcBorders>
            <w:vAlign w:val="center"/>
          </w:tcPr>
          <w:p w14:paraId="518CFB2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0,725</w:t>
            </w:r>
          </w:p>
        </w:tc>
        <w:tc>
          <w:tcPr>
            <w:tcW w:w="1072" w:type="dxa"/>
            <w:tcBorders>
              <w:top w:val="single" w:sz="4" w:space="0" w:color="auto"/>
              <w:left w:val="single" w:sz="4" w:space="0" w:color="auto"/>
              <w:right w:val="single" w:sz="4" w:space="0" w:color="auto"/>
            </w:tcBorders>
            <w:vAlign w:val="center"/>
          </w:tcPr>
          <w:p w14:paraId="288BDA0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1,636</w:t>
            </w:r>
          </w:p>
        </w:tc>
      </w:tr>
      <w:tr w:rsidR="00A9409C" w:rsidRPr="00145B66" w14:paraId="4AA1E4AD"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tcPr>
          <w:p w14:paraId="4BB0399D" w14:textId="77777777" w:rsidR="00A9409C" w:rsidRPr="0000621F" w:rsidRDefault="00A9409C" w:rsidP="00094F6F">
            <w:pPr>
              <w:spacing w:after="0" w:line="240" w:lineRule="auto"/>
              <w:rPr>
                <w:rFonts w:ascii="Times New Roman" w:hAnsi="Times New Roman"/>
                <w:bCs/>
                <w:i/>
                <w:iCs/>
                <w:sz w:val="24"/>
                <w:szCs w:val="24"/>
                <w:lang w:eastAsia="en-US"/>
              </w:rPr>
            </w:pPr>
            <w:r w:rsidRPr="0000621F">
              <w:rPr>
                <w:rFonts w:ascii="Times New Roman" w:hAnsi="Times New Roman"/>
                <w:bCs/>
                <w:i/>
                <w:iCs/>
                <w:sz w:val="24"/>
                <w:szCs w:val="24"/>
                <w:lang w:eastAsia="en-US"/>
              </w:rPr>
              <w:t>Поперечно-ободочная кишка</w:t>
            </w:r>
          </w:p>
        </w:tc>
        <w:tc>
          <w:tcPr>
            <w:tcW w:w="938" w:type="dxa"/>
            <w:tcBorders>
              <w:top w:val="single" w:sz="4" w:space="0" w:color="auto"/>
              <w:left w:val="single" w:sz="4" w:space="0" w:color="auto"/>
              <w:bottom w:val="single" w:sz="4" w:space="0" w:color="auto"/>
              <w:right w:val="single" w:sz="4" w:space="0" w:color="auto"/>
            </w:tcBorders>
            <w:vAlign w:val="center"/>
          </w:tcPr>
          <w:p w14:paraId="429F0DC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1,645</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6AE0920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0,425</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444E6D8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1,632</w:t>
            </w:r>
          </w:p>
        </w:tc>
        <w:tc>
          <w:tcPr>
            <w:tcW w:w="601" w:type="dxa"/>
            <w:tcBorders>
              <w:top w:val="single" w:sz="4" w:space="0" w:color="auto"/>
              <w:left w:val="single" w:sz="4" w:space="0" w:color="auto"/>
              <w:bottom w:val="single" w:sz="4" w:space="0" w:color="auto"/>
              <w:right w:val="single" w:sz="4" w:space="0" w:color="auto"/>
            </w:tcBorders>
            <w:vAlign w:val="center"/>
          </w:tcPr>
          <w:p w14:paraId="0FCDD32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bottom w:val="single" w:sz="4" w:space="0" w:color="auto"/>
              <w:right w:val="single" w:sz="4" w:space="0" w:color="auto"/>
            </w:tcBorders>
            <w:vAlign w:val="center"/>
          </w:tcPr>
          <w:p w14:paraId="662A4E9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1,635</w:t>
            </w:r>
          </w:p>
        </w:tc>
        <w:tc>
          <w:tcPr>
            <w:tcW w:w="966" w:type="dxa"/>
            <w:tcBorders>
              <w:top w:val="single" w:sz="4" w:space="0" w:color="auto"/>
              <w:left w:val="single" w:sz="4" w:space="0" w:color="auto"/>
              <w:bottom w:val="single" w:sz="4" w:space="0" w:color="auto"/>
              <w:right w:val="single" w:sz="4" w:space="0" w:color="auto"/>
            </w:tcBorders>
            <w:vAlign w:val="center"/>
          </w:tcPr>
          <w:p w14:paraId="0015E56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0,363</w:t>
            </w:r>
          </w:p>
        </w:tc>
        <w:tc>
          <w:tcPr>
            <w:tcW w:w="1036" w:type="dxa"/>
            <w:gridSpan w:val="2"/>
            <w:tcBorders>
              <w:top w:val="single" w:sz="4" w:space="0" w:color="auto"/>
              <w:left w:val="single" w:sz="4" w:space="0" w:color="auto"/>
              <w:bottom w:val="single" w:sz="4" w:space="0" w:color="auto"/>
              <w:right w:val="single" w:sz="4" w:space="0" w:color="auto"/>
            </w:tcBorders>
            <w:vAlign w:val="center"/>
          </w:tcPr>
          <w:p w14:paraId="630D6AA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0,125</w:t>
            </w:r>
          </w:p>
        </w:tc>
        <w:tc>
          <w:tcPr>
            <w:tcW w:w="1072" w:type="dxa"/>
            <w:tcBorders>
              <w:top w:val="single" w:sz="4" w:space="0" w:color="auto"/>
              <w:left w:val="single" w:sz="4" w:space="0" w:color="auto"/>
              <w:bottom w:val="single" w:sz="4" w:space="0" w:color="auto"/>
              <w:right w:val="single" w:sz="4" w:space="0" w:color="auto"/>
            </w:tcBorders>
            <w:vAlign w:val="center"/>
          </w:tcPr>
          <w:p w14:paraId="14C0FC7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7,625</w:t>
            </w:r>
          </w:p>
        </w:tc>
      </w:tr>
      <w:tr w:rsidR="00A9409C" w:rsidRPr="00145B66" w14:paraId="54C07B4B"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hideMark/>
          </w:tcPr>
          <w:p w14:paraId="3FCEA853" w14:textId="77777777" w:rsidR="00A9409C" w:rsidRPr="0000621F" w:rsidRDefault="00A9409C" w:rsidP="00094F6F">
            <w:pPr>
              <w:tabs>
                <w:tab w:val="left" w:pos="0"/>
              </w:tabs>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Нисходящая ободочная кишка</w:t>
            </w:r>
          </w:p>
        </w:tc>
        <w:tc>
          <w:tcPr>
            <w:tcW w:w="938" w:type="dxa"/>
            <w:tcBorders>
              <w:top w:val="single" w:sz="4" w:space="0" w:color="auto"/>
              <w:left w:val="single" w:sz="4" w:space="0" w:color="auto"/>
              <w:bottom w:val="single" w:sz="4" w:space="0" w:color="auto"/>
              <w:right w:val="single" w:sz="4" w:space="0" w:color="auto"/>
            </w:tcBorders>
            <w:vAlign w:val="center"/>
          </w:tcPr>
          <w:p w14:paraId="761C4C1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0,526</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369F392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0,127</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1560C60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7,636</w:t>
            </w:r>
          </w:p>
        </w:tc>
        <w:tc>
          <w:tcPr>
            <w:tcW w:w="601" w:type="dxa"/>
            <w:tcBorders>
              <w:top w:val="single" w:sz="4" w:space="0" w:color="auto"/>
              <w:left w:val="single" w:sz="4" w:space="0" w:color="auto"/>
              <w:bottom w:val="single" w:sz="4" w:space="0" w:color="auto"/>
              <w:right w:val="single" w:sz="4" w:space="0" w:color="auto"/>
            </w:tcBorders>
            <w:vAlign w:val="center"/>
          </w:tcPr>
          <w:p w14:paraId="3C99656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bottom w:val="single" w:sz="4" w:space="0" w:color="auto"/>
              <w:right w:val="single" w:sz="4" w:space="0" w:color="auto"/>
            </w:tcBorders>
            <w:vAlign w:val="center"/>
          </w:tcPr>
          <w:p w14:paraId="63D464C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0,425</w:t>
            </w:r>
          </w:p>
        </w:tc>
        <w:tc>
          <w:tcPr>
            <w:tcW w:w="966" w:type="dxa"/>
            <w:tcBorders>
              <w:top w:val="single" w:sz="4" w:space="0" w:color="auto"/>
              <w:left w:val="single" w:sz="4" w:space="0" w:color="auto"/>
              <w:bottom w:val="single" w:sz="4" w:space="0" w:color="auto"/>
              <w:right w:val="single" w:sz="4" w:space="0" w:color="auto"/>
            </w:tcBorders>
            <w:vAlign w:val="center"/>
          </w:tcPr>
          <w:p w14:paraId="662C0FB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0,125</w:t>
            </w:r>
          </w:p>
        </w:tc>
        <w:tc>
          <w:tcPr>
            <w:tcW w:w="1036" w:type="dxa"/>
            <w:gridSpan w:val="2"/>
            <w:tcBorders>
              <w:top w:val="single" w:sz="4" w:space="0" w:color="auto"/>
              <w:left w:val="single" w:sz="4" w:space="0" w:color="auto"/>
              <w:bottom w:val="single" w:sz="4" w:space="0" w:color="auto"/>
              <w:right w:val="single" w:sz="4" w:space="0" w:color="auto"/>
            </w:tcBorders>
            <w:vAlign w:val="center"/>
          </w:tcPr>
          <w:p w14:paraId="4364F53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0,725</w:t>
            </w:r>
          </w:p>
        </w:tc>
        <w:tc>
          <w:tcPr>
            <w:tcW w:w="1072" w:type="dxa"/>
            <w:tcBorders>
              <w:top w:val="single" w:sz="4" w:space="0" w:color="auto"/>
              <w:left w:val="single" w:sz="4" w:space="0" w:color="auto"/>
              <w:bottom w:val="single" w:sz="4" w:space="0" w:color="auto"/>
              <w:right w:val="single" w:sz="4" w:space="0" w:color="auto"/>
            </w:tcBorders>
            <w:vAlign w:val="center"/>
          </w:tcPr>
          <w:p w14:paraId="13202F3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4,652</w:t>
            </w:r>
          </w:p>
        </w:tc>
      </w:tr>
      <w:tr w:rsidR="00A9409C" w:rsidRPr="00145B66" w14:paraId="4E5A06A4"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hideMark/>
          </w:tcPr>
          <w:p w14:paraId="7746C110" w14:textId="77777777" w:rsidR="00A9409C" w:rsidRPr="0000621F" w:rsidRDefault="00A9409C" w:rsidP="00094F6F">
            <w:pPr>
              <w:tabs>
                <w:tab w:val="left" w:pos="0"/>
              </w:tabs>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Сигмовидная кишка</w:t>
            </w:r>
          </w:p>
        </w:tc>
        <w:tc>
          <w:tcPr>
            <w:tcW w:w="938" w:type="dxa"/>
            <w:tcBorders>
              <w:top w:val="single" w:sz="4" w:space="0" w:color="auto"/>
              <w:left w:val="single" w:sz="4" w:space="0" w:color="auto"/>
              <w:bottom w:val="single" w:sz="4" w:space="0" w:color="auto"/>
              <w:right w:val="single" w:sz="4" w:space="0" w:color="auto"/>
            </w:tcBorders>
            <w:vAlign w:val="center"/>
          </w:tcPr>
          <w:p w14:paraId="7069745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1,363</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18A09B8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1,623</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647C2C6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8,625</w:t>
            </w:r>
          </w:p>
        </w:tc>
        <w:tc>
          <w:tcPr>
            <w:tcW w:w="601" w:type="dxa"/>
            <w:tcBorders>
              <w:top w:val="single" w:sz="4" w:space="0" w:color="auto"/>
              <w:left w:val="single" w:sz="4" w:space="0" w:color="auto"/>
              <w:bottom w:val="single" w:sz="4" w:space="0" w:color="auto"/>
              <w:right w:val="single" w:sz="4" w:space="0" w:color="auto"/>
            </w:tcBorders>
            <w:vAlign w:val="center"/>
          </w:tcPr>
          <w:p w14:paraId="0ABFCCB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bottom w:val="single" w:sz="4" w:space="0" w:color="auto"/>
              <w:right w:val="single" w:sz="4" w:space="0" w:color="auto"/>
            </w:tcBorders>
            <w:vAlign w:val="center"/>
          </w:tcPr>
          <w:p w14:paraId="7B1CB6B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0,026</w:t>
            </w:r>
          </w:p>
        </w:tc>
        <w:tc>
          <w:tcPr>
            <w:tcW w:w="966" w:type="dxa"/>
            <w:tcBorders>
              <w:top w:val="single" w:sz="4" w:space="0" w:color="auto"/>
              <w:left w:val="single" w:sz="4" w:space="0" w:color="auto"/>
              <w:bottom w:val="single" w:sz="4" w:space="0" w:color="auto"/>
              <w:right w:val="single" w:sz="4" w:space="0" w:color="auto"/>
            </w:tcBorders>
            <w:vAlign w:val="center"/>
          </w:tcPr>
          <w:p w14:paraId="179B1D9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1,236</w:t>
            </w:r>
          </w:p>
        </w:tc>
        <w:tc>
          <w:tcPr>
            <w:tcW w:w="1036" w:type="dxa"/>
            <w:gridSpan w:val="2"/>
            <w:tcBorders>
              <w:top w:val="single" w:sz="4" w:space="0" w:color="auto"/>
              <w:left w:val="single" w:sz="4" w:space="0" w:color="auto"/>
              <w:bottom w:val="single" w:sz="4" w:space="0" w:color="auto"/>
              <w:right w:val="single" w:sz="4" w:space="0" w:color="auto"/>
            </w:tcBorders>
            <w:vAlign w:val="center"/>
          </w:tcPr>
          <w:p w14:paraId="34CC0FA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0,452</w:t>
            </w:r>
          </w:p>
        </w:tc>
        <w:tc>
          <w:tcPr>
            <w:tcW w:w="1072" w:type="dxa"/>
            <w:tcBorders>
              <w:top w:val="single" w:sz="4" w:space="0" w:color="auto"/>
              <w:left w:val="single" w:sz="4" w:space="0" w:color="auto"/>
              <w:bottom w:val="single" w:sz="4" w:space="0" w:color="auto"/>
              <w:right w:val="single" w:sz="4" w:space="0" w:color="auto"/>
            </w:tcBorders>
            <w:vAlign w:val="center"/>
          </w:tcPr>
          <w:p w14:paraId="1380C6D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4,623</w:t>
            </w:r>
          </w:p>
        </w:tc>
      </w:tr>
      <w:tr w:rsidR="00A9409C" w:rsidRPr="00145B66" w14:paraId="7E8F608B" w14:textId="77777777" w:rsidTr="00094F6F">
        <w:trPr>
          <w:trHeight w:val="340"/>
          <w:jc w:val="center"/>
        </w:trPr>
        <w:tc>
          <w:tcPr>
            <w:tcW w:w="9611" w:type="dxa"/>
            <w:gridSpan w:val="13"/>
            <w:tcBorders>
              <w:top w:val="single" w:sz="4" w:space="0" w:color="auto"/>
              <w:left w:val="single" w:sz="4" w:space="0" w:color="auto"/>
              <w:bottom w:val="single" w:sz="4" w:space="0" w:color="auto"/>
              <w:right w:val="single" w:sz="4" w:space="0" w:color="auto"/>
            </w:tcBorders>
            <w:vAlign w:val="center"/>
          </w:tcPr>
          <w:p w14:paraId="6EBDB32B"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Вид операции</w:t>
            </w:r>
          </w:p>
        </w:tc>
      </w:tr>
      <w:tr w:rsidR="00A9409C" w:rsidRPr="00145B66" w14:paraId="2A023E9C"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tcPr>
          <w:p w14:paraId="5D77B24D" w14:textId="77777777" w:rsidR="00A9409C" w:rsidRPr="0000621F" w:rsidRDefault="00A9409C" w:rsidP="00094F6F">
            <w:pPr>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Правосторонняя гемиколэктомия</w:t>
            </w:r>
          </w:p>
        </w:tc>
        <w:tc>
          <w:tcPr>
            <w:tcW w:w="938" w:type="dxa"/>
            <w:tcBorders>
              <w:top w:val="single" w:sz="4" w:space="0" w:color="auto"/>
              <w:left w:val="single" w:sz="4" w:space="0" w:color="auto"/>
              <w:bottom w:val="single" w:sz="4" w:space="0" w:color="auto"/>
              <w:right w:val="single" w:sz="4" w:space="0" w:color="auto"/>
            </w:tcBorders>
            <w:vAlign w:val="center"/>
          </w:tcPr>
          <w:p w14:paraId="54000CE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0,526</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20FC37C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1,632</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06F4FE8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3,936</w:t>
            </w:r>
          </w:p>
        </w:tc>
        <w:tc>
          <w:tcPr>
            <w:tcW w:w="601" w:type="dxa"/>
            <w:tcBorders>
              <w:top w:val="single" w:sz="4" w:space="0" w:color="auto"/>
              <w:left w:val="single" w:sz="4" w:space="0" w:color="auto"/>
              <w:bottom w:val="single" w:sz="4" w:space="0" w:color="auto"/>
              <w:right w:val="single" w:sz="4" w:space="0" w:color="auto"/>
            </w:tcBorders>
            <w:vAlign w:val="center"/>
          </w:tcPr>
          <w:p w14:paraId="7FD43E3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bottom w:val="single" w:sz="4" w:space="0" w:color="auto"/>
              <w:right w:val="single" w:sz="4" w:space="0" w:color="auto"/>
            </w:tcBorders>
            <w:vAlign w:val="center"/>
          </w:tcPr>
          <w:p w14:paraId="0C642D1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0,152</w:t>
            </w:r>
          </w:p>
        </w:tc>
        <w:tc>
          <w:tcPr>
            <w:tcW w:w="966" w:type="dxa"/>
            <w:tcBorders>
              <w:top w:val="single" w:sz="4" w:space="0" w:color="auto"/>
              <w:left w:val="single" w:sz="4" w:space="0" w:color="auto"/>
              <w:bottom w:val="single" w:sz="4" w:space="0" w:color="auto"/>
              <w:right w:val="single" w:sz="4" w:space="0" w:color="auto"/>
            </w:tcBorders>
            <w:vAlign w:val="center"/>
          </w:tcPr>
          <w:p w14:paraId="7A225BC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0,635</w:t>
            </w:r>
          </w:p>
        </w:tc>
        <w:tc>
          <w:tcPr>
            <w:tcW w:w="1036" w:type="dxa"/>
            <w:gridSpan w:val="2"/>
            <w:tcBorders>
              <w:top w:val="single" w:sz="4" w:space="0" w:color="auto"/>
              <w:left w:val="single" w:sz="4" w:space="0" w:color="auto"/>
              <w:bottom w:val="single" w:sz="4" w:space="0" w:color="auto"/>
              <w:right w:val="single" w:sz="4" w:space="0" w:color="auto"/>
            </w:tcBorders>
            <w:vAlign w:val="center"/>
          </w:tcPr>
          <w:p w14:paraId="13273F9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0,428</w:t>
            </w:r>
          </w:p>
        </w:tc>
        <w:tc>
          <w:tcPr>
            <w:tcW w:w="1072" w:type="dxa"/>
            <w:tcBorders>
              <w:top w:val="single" w:sz="4" w:space="0" w:color="auto"/>
              <w:left w:val="single" w:sz="4" w:space="0" w:color="auto"/>
              <w:bottom w:val="single" w:sz="4" w:space="0" w:color="auto"/>
              <w:right w:val="single" w:sz="4" w:space="0" w:color="auto"/>
            </w:tcBorders>
            <w:vAlign w:val="center"/>
          </w:tcPr>
          <w:p w14:paraId="63BECE6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5,639</w:t>
            </w:r>
          </w:p>
        </w:tc>
      </w:tr>
      <w:tr w:rsidR="00A9409C" w:rsidRPr="00145B66" w14:paraId="232B1D76"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tcPr>
          <w:p w14:paraId="3328A8AF" w14:textId="77777777" w:rsidR="00A9409C" w:rsidRPr="0000621F" w:rsidRDefault="00A9409C" w:rsidP="00094F6F">
            <w:pPr>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Резекция поперечно-ободочной кишки</w:t>
            </w:r>
          </w:p>
        </w:tc>
        <w:tc>
          <w:tcPr>
            <w:tcW w:w="938" w:type="dxa"/>
            <w:tcBorders>
              <w:top w:val="single" w:sz="4" w:space="0" w:color="auto"/>
              <w:left w:val="single" w:sz="4" w:space="0" w:color="auto"/>
              <w:bottom w:val="single" w:sz="4" w:space="0" w:color="auto"/>
              <w:right w:val="single" w:sz="4" w:space="0" w:color="auto"/>
            </w:tcBorders>
            <w:vAlign w:val="center"/>
          </w:tcPr>
          <w:p w14:paraId="39DC1C6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0,986</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4C39E17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1,445</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638CB5A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1,628</w:t>
            </w:r>
          </w:p>
        </w:tc>
        <w:tc>
          <w:tcPr>
            <w:tcW w:w="601" w:type="dxa"/>
            <w:tcBorders>
              <w:top w:val="single" w:sz="4" w:space="0" w:color="auto"/>
              <w:left w:val="single" w:sz="4" w:space="0" w:color="auto"/>
              <w:bottom w:val="single" w:sz="4" w:space="0" w:color="auto"/>
              <w:right w:val="single" w:sz="4" w:space="0" w:color="auto"/>
            </w:tcBorders>
            <w:vAlign w:val="center"/>
          </w:tcPr>
          <w:p w14:paraId="2822A74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bottom w:val="single" w:sz="4" w:space="0" w:color="auto"/>
              <w:right w:val="single" w:sz="4" w:space="0" w:color="auto"/>
            </w:tcBorders>
            <w:vAlign w:val="center"/>
          </w:tcPr>
          <w:p w14:paraId="5479460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0,936</w:t>
            </w:r>
          </w:p>
        </w:tc>
        <w:tc>
          <w:tcPr>
            <w:tcW w:w="966" w:type="dxa"/>
            <w:tcBorders>
              <w:top w:val="single" w:sz="4" w:space="0" w:color="auto"/>
              <w:left w:val="single" w:sz="4" w:space="0" w:color="auto"/>
              <w:bottom w:val="single" w:sz="4" w:space="0" w:color="auto"/>
              <w:right w:val="single" w:sz="4" w:space="0" w:color="auto"/>
            </w:tcBorders>
            <w:vAlign w:val="center"/>
          </w:tcPr>
          <w:p w14:paraId="4B8093E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0,252</w:t>
            </w:r>
          </w:p>
        </w:tc>
        <w:tc>
          <w:tcPr>
            <w:tcW w:w="1036" w:type="dxa"/>
            <w:gridSpan w:val="2"/>
            <w:tcBorders>
              <w:top w:val="single" w:sz="4" w:space="0" w:color="auto"/>
              <w:left w:val="single" w:sz="4" w:space="0" w:color="auto"/>
              <w:bottom w:val="single" w:sz="4" w:space="0" w:color="auto"/>
              <w:right w:val="single" w:sz="4" w:space="0" w:color="auto"/>
            </w:tcBorders>
            <w:vAlign w:val="center"/>
          </w:tcPr>
          <w:p w14:paraId="1EB7979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0,425</w:t>
            </w:r>
          </w:p>
        </w:tc>
        <w:tc>
          <w:tcPr>
            <w:tcW w:w="1072" w:type="dxa"/>
            <w:tcBorders>
              <w:top w:val="single" w:sz="4" w:space="0" w:color="auto"/>
              <w:left w:val="single" w:sz="4" w:space="0" w:color="auto"/>
              <w:bottom w:val="single" w:sz="4" w:space="0" w:color="auto"/>
              <w:right w:val="single" w:sz="4" w:space="0" w:color="auto"/>
            </w:tcBorders>
            <w:vAlign w:val="center"/>
          </w:tcPr>
          <w:p w14:paraId="043FEB1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2,785</w:t>
            </w:r>
          </w:p>
        </w:tc>
      </w:tr>
      <w:tr w:rsidR="00A9409C" w:rsidRPr="00145B66" w14:paraId="32352EB6" w14:textId="77777777" w:rsidTr="00094F6F">
        <w:trPr>
          <w:trHeight w:val="340"/>
          <w:jc w:val="center"/>
        </w:trPr>
        <w:tc>
          <w:tcPr>
            <w:tcW w:w="2520" w:type="dxa"/>
            <w:tcBorders>
              <w:top w:val="single" w:sz="4" w:space="0" w:color="auto"/>
              <w:left w:val="single" w:sz="4" w:space="0" w:color="auto"/>
              <w:right w:val="single" w:sz="4" w:space="0" w:color="auto"/>
            </w:tcBorders>
            <w:vAlign w:val="center"/>
            <w:hideMark/>
          </w:tcPr>
          <w:p w14:paraId="4816099D" w14:textId="77777777" w:rsidR="00A9409C" w:rsidRPr="0000621F" w:rsidRDefault="00A9409C" w:rsidP="00094F6F">
            <w:pPr>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Левосторонняя гемиколэктомия</w:t>
            </w:r>
          </w:p>
        </w:tc>
        <w:tc>
          <w:tcPr>
            <w:tcW w:w="938" w:type="dxa"/>
            <w:tcBorders>
              <w:top w:val="single" w:sz="4" w:space="0" w:color="auto"/>
              <w:left w:val="single" w:sz="4" w:space="0" w:color="auto"/>
              <w:right w:val="single" w:sz="4" w:space="0" w:color="auto"/>
            </w:tcBorders>
            <w:vAlign w:val="center"/>
          </w:tcPr>
          <w:p w14:paraId="107BAC6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0,129</w:t>
            </w:r>
          </w:p>
        </w:tc>
        <w:tc>
          <w:tcPr>
            <w:tcW w:w="840" w:type="dxa"/>
            <w:gridSpan w:val="2"/>
            <w:tcBorders>
              <w:top w:val="single" w:sz="4" w:space="0" w:color="auto"/>
              <w:left w:val="single" w:sz="4" w:space="0" w:color="auto"/>
              <w:right w:val="single" w:sz="4" w:space="0" w:color="auto"/>
            </w:tcBorders>
            <w:vAlign w:val="center"/>
          </w:tcPr>
          <w:p w14:paraId="739168C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0,725</w:t>
            </w:r>
          </w:p>
        </w:tc>
        <w:tc>
          <w:tcPr>
            <w:tcW w:w="840" w:type="dxa"/>
            <w:gridSpan w:val="2"/>
            <w:tcBorders>
              <w:top w:val="single" w:sz="4" w:space="0" w:color="auto"/>
              <w:left w:val="single" w:sz="4" w:space="0" w:color="auto"/>
              <w:right w:val="single" w:sz="4" w:space="0" w:color="auto"/>
            </w:tcBorders>
            <w:vAlign w:val="center"/>
          </w:tcPr>
          <w:p w14:paraId="2C6E263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1,636</w:t>
            </w:r>
          </w:p>
        </w:tc>
        <w:tc>
          <w:tcPr>
            <w:tcW w:w="601" w:type="dxa"/>
            <w:tcBorders>
              <w:top w:val="single" w:sz="4" w:space="0" w:color="auto"/>
              <w:left w:val="single" w:sz="4" w:space="0" w:color="auto"/>
              <w:right w:val="single" w:sz="4" w:space="0" w:color="auto"/>
            </w:tcBorders>
            <w:vAlign w:val="center"/>
          </w:tcPr>
          <w:p w14:paraId="18BDBA9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98" w:type="dxa"/>
            <w:gridSpan w:val="2"/>
            <w:tcBorders>
              <w:top w:val="single" w:sz="4" w:space="0" w:color="auto"/>
              <w:left w:val="single" w:sz="4" w:space="0" w:color="auto"/>
              <w:right w:val="single" w:sz="4" w:space="0" w:color="auto"/>
            </w:tcBorders>
            <w:vAlign w:val="center"/>
          </w:tcPr>
          <w:p w14:paraId="41AD0BA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1,425</w:t>
            </w:r>
          </w:p>
        </w:tc>
        <w:tc>
          <w:tcPr>
            <w:tcW w:w="966" w:type="dxa"/>
            <w:tcBorders>
              <w:top w:val="single" w:sz="4" w:space="0" w:color="auto"/>
              <w:left w:val="single" w:sz="4" w:space="0" w:color="auto"/>
              <w:right w:val="single" w:sz="4" w:space="0" w:color="auto"/>
            </w:tcBorders>
            <w:vAlign w:val="center"/>
          </w:tcPr>
          <w:p w14:paraId="26A5C23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0,429</w:t>
            </w:r>
          </w:p>
        </w:tc>
        <w:tc>
          <w:tcPr>
            <w:tcW w:w="1036" w:type="dxa"/>
            <w:gridSpan w:val="2"/>
            <w:tcBorders>
              <w:top w:val="single" w:sz="4" w:space="0" w:color="auto"/>
              <w:left w:val="single" w:sz="4" w:space="0" w:color="auto"/>
              <w:right w:val="single" w:sz="4" w:space="0" w:color="auto"/>
            </w:tcBorders>
            <w:vAlign w:val="center"/>
          </w:tcPr>
          <w:p w14:paraId="4019888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0,078</w:t>
            </w:r>
          </w:p>
        </w:tc>
        <w:tc>
          <w:tcPr>
            <w:tcW w:w="1072" w:type="dxa"/>
            <w:tcBorders>
              <w:top w:val="single" w:sz="4" w:space="0" w:color="auto"/>
              <w:left w:val="single" w:sz="4" w:space="0" w:color="auto"/>
              <w:right w:val="single" w:sz="4" w:space="0" w:color="auto"/>
            </w:tcBorders>
            <w:vAlign w:val="center"/>
          </w:tcPr>
          <w:p w14:paraId="2E98AD1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6,599</w:t>
            </w:r>
          </w:p>
        </w:tc>
      </w:tr>
      <w:tr w:rsidR="00A9409C" w:rsidRPr="00145B66" w14:paraId="6D41333E" w14:textId="77777777" w:rsidTr="00094F6F">
        <w:trPr>
          <w:trHeight w:val="340"/>
          <w:jc w:val="center"/>
        </w:trPr>
        <w:tc>
          <w:tcPr>
            <w:tcW w:w="9611" w:type="dxa"/>
            <w:gridSpan w:val="13"/>
            <w:tcBorders>
              <w:top w:val="single" w:sz="4" w:space="0" w:color="auto"/>
              <w:left w:val="single" w:sz="4" w:space="0" w:color="auto"/>
              <w:bottom w:val="single" w:sz="4" w:space="0" w:color="auto"/>
              <w:right w:val="single" w:sz="4" w:space="0" w:color="auto"/>
            </w:tcBorders>
            <w:vAlign w:val="center"/>
          </w:tcPr>
          <w:p w14:paraId="3D4DD069" w14:textId="77777777" w:rsidR="00A9409C" w:rsidRPr="00145B66" w:rsidRDefault="00A9409C" w:rsidP="00094F6F">
            <w:pPr>
              <w:tabs>
                <w:tab w:val="left" w:pos="0"/>
              </w:tabs>
              <w:spacing w:after="0" w:line="240" w:lineRule="auto"/>
              <w:rPr>
                <w:rFonts w:ascii="Times New Roman" w:hAnsi="Times New Roman"/>
                <w:sz w:val="24"/>
                <w:szCs w:val="24"/>
                <w:lang w:val="en-US" w:eastAsia="en-US"/>
              </w:rPr>
            </w:pPr>
            <w:r w:rsidRPr="00145B66">
              <w:rPr>
                <w:rFonts w:ascii="Times New Roman" w:hAnsi="Times New Roman"/>
                <w:sz w:val="24"/>
                <w:szCs w:val="24"/>
                <w:lang w:eastAsia="en-US"/>
              </w:rPr>
              <w:t>Вид осложнений</w:t>
            </w:r>
          </w:p>
        </w:tc>
      </w:tr>
      <w:tr w:rsidR="00A9409C" w:rsidRPr="00145B66" w14:paraId="214079D8"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BFBFBF"/>
            </w:tcBorders>
            <w:vAlign w:val="center"/>
          </w:tcPr>
          <w:p w14:paraId="7957CF53" w14:textId="77777777" w:rsidR="00A9409C" w:rsidRPr="00145B66" w:rsidRDefault="00A9409C" w:rsidP="00094F6F">
            <w:pPr>
              <w:spacing w:after="0" w:line="240" w:lineRule="auto"/>
              <w:rPr>
                <w:rFonts w:ascii="Times New Roman" w:hAnsi="Times New Roman"/>
                <w:bCs/>
                <w:sz w:val="24"/>
                <w:szCs w:val="24"/>
                <w:lang w:val="en-US" w:eastAsia="en-US"/>
              </w:rPr>
            </w:pPr>
            <w:r w:rsidRPr="00145B66">
              <w:rPr>
                <w:rFonts w:ascii="Times New Roman" w:hAnsi="Times New Roman"/>
                <w:bCs/>
                <w:sz w:val="24"/>
                <w:szCs w:val="24"/>
                <w:lang w:eastAsia="en-US"/>
              </w:rPr>
              <w:t>Хирургические осложнения</w:t>
            </w:r>
          </w:p>
        </w:tc>
        <w:tc>
          <w:tcPr>
            <w:tcW w:w="938" w:type="dxa"/>
            <w:tcBorders>
              <w:top w:val="single" w:sz="4" w:space="0" w:color="auto"/>
              <w:left w:val="single" w:sz="4" w:space="0" w:color="auto"/>
              <w:bottom w:val="single" w:sz="4" w:space="0" w:color="auto"/>
              <w:right w:val="single" w:sz="4" w:space="0" w:color="auto"/>
            </w:tcBorders>
            <w:vAlign w:val="center"/>
          </w:tcPr>
          <w:p w14:paraId="38B9A27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0,826</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449A2D5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val="en-US" w:eastAsia="en-US"/>
              </w:rPr>
              <w:t>0</w:t>
            </w:r>
            <w:r w:rsidRPr="00145B66">
              <w:rPr>
                <w:rFonts w:ascii="Times New Roman" w:hAnsi="Times New Roman"/>
                <w:sz w:val="24"/>
                <w:szCs w:val="24"/>
                <w:lang w:eastAsia="en-US"/>
              </w:rPr>
              <w:t>,425</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69CAE78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3,636</w:t>
            </w:r>
          </w:p>
        </w:tc>
        <w:tc>
          <w:tcPr>
            <w:tcW w:w="601" w:type="dxa"/>
            <w:tcBorders>
              <w:top w:val="single" w:sz="4" w:space="0" w:color="auto"/>
              <w:left w:val="single" w:sz="4" w:space="0" w:color="auto"/>
              <w:bottom w:val="single" w:sz="4" w:space="0" w:color="auto"/>
              <w:right w:val="single" w:sz="4" w:space="0" w:color="auto"/>
            </w:tcBorders>
            <w:vAlign w:val="center"/>
          </w:tcPr>
          <w:p w14:paraId="28202BD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84" w:type="dxa"/>
            <w:tcBorders>
              <w:top w:val="single" w:sz="4" w:space="0" w:color="auto"/>
              <w:left w:val="single" w:sz="4" w:space="0" w:color="auto"/>
              <w:bottom w:val="single" w:sz="4" w:space="0" w:color="auto"/>
              <w:right w:val="single" w:sz="4" w:space="0" w:color="auto"/>
            </w:tcBorders>
            <w:vAlign w:val="center"/>
          </w:tcPr>
          <w:p w14:paraId="753E80C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0,465</w:t>
            </w:r>
          </w:p>
        </w:tc>
        <w:tc>
          <w:tcPr>
            <w:tcW w:w="994" w:type="dxa"/>
            <w:gridSpan w:val="3"/>
            <w:tcBorders>
              <w:top w:val="single" w:sz="4" w:space="0" w:color="auto"/>
              <w:left w:val="single" w:sz="4" w:space="0" w:color="auto"/>
              <w:bottom w:val="single" w:sz="4" w:space="0" w:color="auto"/>
              <w:right w:val="single" w:sz="4" w:space="0" w:color="auto"/>
            </w:tcBorders>
            <w:vAlign w:val="center"/>
          </w:tcPr>
          <w:p w14:paraId="79DEB8B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0,726</w:t>
            </w:r>
          </w:p>
        </w:tc>
        <w:tc>
          <w:tcPr>
            <w:tcW w:w="1022" w:type="dxa"/>
            <w:tcBorders>
              <w:top w:val="single" w:sz="4" w:space="0" w:color="auto"/>
              <w:left w:val="single" w:sz="4" w:space="0" w:color="auto"/>
              <w:bottom w:val="single" w:sz="4" w:space="0" w:color="auto"/>
              <w:right w:val="single" w:sz="4" w:space="0" w:color="auto"/>
            </w:tcBorders>
            <w:vAlign w:val="center"/>
          </w:tcPr>
          <w:p w14:paraId="70622D4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0,336</w:t>
            </w:r>
          </w:p>
        </w:tc>
        <w:tc>
          <w:tcPr>
            <w:tcW w:w="1072" w:type="dxa"/>
            <w:tcBorders>
              <w:top w:val="single" w:sz="4" w:space="0" w:color="auto"/>
              <w:left w:val="single" w:sz="4" w:space="0" w:color="auto"/>
              <w:bottom w:val="single" w:sz="4" w:space="0" w:color="auto"/>
              <w:right w:val="single" w:sz="4" w:space="0" w:color="auto"/>
            </w:tcBorders>
            <w:vAlign w:val="center"/>
          </w:tcPr>
          <w:p w14:paraId="016F2DE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2,936</w:t>
            </w:r>
          </w:p>
        </w:tc>
      </w:tr>
      <w:tr w:rsidR="00A9409C" w:rsidRPr="00145B66" w14:paraId="082161B7"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BFBFBF"/>
            </w:tcBorders>
            <w:vAlign w:val="center"/>
          </w:tcPr>
          <w:p w14:paraId="418F0A2B" w14:textId="77777777" w:rsidR="00A9409C" w:rsidRPr="00145B66" w:rsidRDefault="00A9409C" w:rsidP="00094F6F">
            <w:pPr>
              <w:spacing w:after="0" w:line="240" w:lineRule="auto"/>
              <w:rPr>
                <w:rFonts w:ascii="Times New Roman" w:hAnsi="Times New Roman"/>
                <w:bCs/>
                <w:sz w:val="24"/>
                <w:szCs w:val="24"/>
                <w:lang w:eastAsia="en-US"/>
              </w:rPr>
            </w:pPr>
            <w:r w:rsidRPr="00145B66">
              <w:rPr>
                <w:rFonts w:ascii="Times New Roman" w:hAnsi="Times New Roman"/>
                <w:bCs/>
                <w:sz w:val="24"/>
                <w:szCs w:val="24"/>
                <w:lang w:eastAsia="en-US"/>
              </w:rPr>
              <w:t>Функциональные осложнения</w:t>
            </w:r>
          </w:p>
        </w:tc>
        <w:tc>
          <w:tcPr>
            <w:tcW w:w="938" w:type="dxa"/>
            <w:tcBorders>
              <w:top w:val="single" w:sz="4" w:space="0" w:color="auto"/>
              <w:left w:val="single" w:sz="4" w:space="0" w:color="auto"/>
              <w:bottom w:val="single" w:sz="4" w:space="0" w:color="auto"/>
              <w:right w:val="single" w:sz="4" w:space="0" w:color="auto"/>
            </w:tcBorders>
            <w:vAlign w:val="center"/>
          </w:tcPr>
          <w:p w14:paraId="2785E98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0,632</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575CB05D"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eastAsia="en-US"/>
              </w:rPr>
              <w:t>0,125</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19E6D53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4,636</w:t>
            </w:r>
          </w:p>
        </w:tc>
        <w:tc>
          <w:tcPr>
            <w:tcW w:w="601" w:type="dxa"/>
            <w:tcBorders>
              <w:top w:val="single" w:sz="4" w:space="0" w:color="auto"/>
              <w:left w:val="single" w:sz="4" w:space="0" w:color="auto"/>
              <w:bottom w:val="single" w:sz="4" w:space="0" w:color="auto"/>
              <w:right w:val="single" w:sz="4" w:space="0" w:color="auto"/>
            </w:tcBorders>
            <w:vAlign w:val="center"/>
          </w:tcPr>
          <w:p w14:paraId="478DD13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84" w:type="dxa"/>
            <w:tcBorders>
              <w:top w:val="single" w:sz="4" w:space="0" w:color="auto"/>
              <w:left w:val="single" w:sz="4" w:space="0" w:color="auto"/>
              <w:bottom w:val="single" w:sz="4" w:space="0" w:color="auto"/>
              <w:right w:val="single" w:sz="4" w:space="0" w:color="auto"/>
            </w:tcBorders>
            <w:vAlign w:val="center"/>
          </w:tcPr>
          <w:p w14:paraId="269FA344"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eastAsia="en-US"/>
              </w:rPr>
              <w:t>0,426</w:t>
            </w:r>
          </w:p>
        </w:tc>
        <w:tc>
          <w:tcPr>
            <w:tcW w:w="994" w:type="dxa"/>
            <w:gridSpan w:val="3"/>
            <w:tcBorders>
              <w:top w:val="single" w:sz="4" w:space="0" w:color="auto"/>
              <w:left w:val="single" w:sz="4" w:space="0" w:color="auto"/>
              <w:bottom w:val="single" w:sz="4" w:space="0" w:color="auto"/>
              <w:right w:val="single" w:sz="4" w:space="0" w:color="auto"/>
            </w:tcBorders>
            <w:vAlign w:val="center"/>
          </w:tcPr>
          <w:p w14:paraId="5547265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0,312</w:t>
            </w:r>
          </w:p>
        </w:tc>
        <w:tc>
          <w:tcPr>
            <w:tcW w:w="1022" w:type="dxa"/>
            <w:tcBorders>
              <w:top w:val="single" w:sz="4" w:space="0" w:color="auto"/>
              <w:left w:val="single" w:sz="4" w:space="0" w:color="auto"/>
              <w:bottom w:val="single" w:sz="4" w:space="0" w:color="auto"/>
              <w:right w:val="single" w:sz="4" w:space="0" w:color="auto"/>
            </w:tcBorders>
            <w:vAlign w:val="center"/>
          </w:tcPr>
          <w:p w14:paraId="2596D21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0,127</w:t>
            </w:r>
          </w:p>
        </w:tc>
        <w:tc>
          <w:tcPr>
            <w:tcW w:w="1072" w:type="dxa"/>
            <w:tcBorders>
              <w:top w:val="single" w:sz="4" w:space="0" w:color="auto"/>
              <w:left w:val="single" w:sz="4" w:space="0" w:color="auto"/>
              <w:bottom w:val="single" w:sz="4" w:space="0" w:color="auto"/>
              <w:right w:val="single" w:sz="4" w:space="0" w:color="auto"/>
            </w:tcBorders>
            <w:vAlign w:val="center"/>
          </w:tcPr>
          <w:p w14:paraId="26077BB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3,936</w:t>
            </w:r>
          </w:p>
        </w:tc>
      </w:tr>
      <w:tr w:rsidR="00A9409C" w:rsidRPr="00145B66" w14:paraId="0BFAD160"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hideMark/>
          </w:tcPr>
          <w:p w14:paraId="03AE5B3D"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Сопутствующая патология</w:t>
            </w:r>
          </w:p>
        </w:tc>
        <w:tc>
          <w:tcPr>
            <w:tcW w:w="938" w:type="dxa"/>
            <w:tcBorders>
              <w:top w:val="single" w:sz="4" w:space="0" w:color="auto"/>
              <w:left w:val="single" w:sz="4" w:space="0" w:color="auto"/>
              <w:bottom w:val="single" w:sz="4" w:space="0" w:color="auto"/>
              <w:right w:val="single" w:sz="4" w:space="0" w:color="auto"/>
            </w:tcBorders>
            <w:vAlign w:val="center"/>
          </w:tcPr>
          <w:p w14:paraId="52EED7A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0,256</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2FD3E6C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1,636</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6F483FB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2,368</w:t>
            </w:r>
          </w:p>
        </w:tc>
        <w:tc>
          <w:tcPr>
            <w:tcW w:w="601" w:type="dxa"/>
            <w:tcBorders>
              <w:top w:val="single" w:sz="4" w:space="0" w:color="auto"/>
              <w:left w:val="single" w:sz="4" w:space="0" w:color="auto"/>
              <w:bottom w:val="single" w:sz="4" w:space="0" w:color="auto"/>
              <w:right w:val="single" w:sz="4" w:space="0" w:color="auto"/>
            </w:tcBorders>
            <w:vAlign w:val="center"/>
          </w:tcPr>
          <w:p w14:paraId="41C16C3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84" w:type="dxa"/>
            <w:tcBorders>
              <w:top w:val="single" w:sz="4" w:space="0" w:color="auto"/>
              <w:left w:val="single" w:sz="4" w:space="0" w:color="auto"/>
              <w:bottom w:val="single" w:sz="4" w:space="0" w:color="auto"/>
              <w:right w:val="single" w:sz="4" w:space="0" w:color="auto"/>
            </w:tcBorders>
            <w:vAlign w:val="center"/>
          </w:tcPr>
          <w:p w14:paraId="3461ECF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1,626</w:t>
            </w:r>
          </w:p>
        </w:tc>
        <w:tc>
          <w:tcPr>
            <w:tcW w:w="994" w:type="dxa"/>
            <w:gridSpan w:val="3"/>
            <w:tcBorders>
              <w:top w:val="single" w:sz="4" w:space="0" w:color="auto"/>
              <w:left w:val="single" w:sz="4" w:space="0" w:color="auto"/>
              <w:bottom w:val="single" w:sz="4" w:space="0" w:color="auto"/>
              <w:right w:val="single" w:sz="4" w:space="0" w:color="auto"/>
            </w:tcBorders>
            <w:vAlign w:val="center"/>
          </w:tcPr>
          <w:p w14:paraId="2BCCE89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0,128</w:t>
            </w:r>
          </w:p>
        </w:tc>
        <w:tc>
          <w:tcPr>
            <w:tcW w:w="1022" w:type="dxa"/>
            <w:tcBorders>
              <w:top w:val="single" w:sz="4" w:space="0" w:color="auto"/>
              <w:left w:val="single" w:sz="4" w:space="0" w:color="auto"/>
              <w:bottom w:val="single" w:sz="4" w:space="0" w:color="auto"/>
              <w:right w:val="single" w:sz="4" w:space="0" w:color="auto"/>
            </w:tcBorders>
            <w:vAlign w:val="center"/>
          </w:tcPr>
          <w:p w14:paraId="6F04DF4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0,154</w:t>
            </w:r>
          </w:p>
        </w:tc>
        <w:tc>
          <w:tcPr>
            <w:tcW w:w="1072" w:type="dxa"/>
            <w:tcBorders>
              <w:top w:val="single" w:sz="4" w:space="0" w:color="auto"/>
              <w:left w:val="single" w:sz="4" w:space="0" w:color="auto"/>
              <w:bottom w:val="single" w:sz="4" w:space="0" w:color="auto"/>
              <w:right w:val="single" w:sz="4" w:space="0" w:color="auto"/>
            </w:tcBorders>
            <w:vAlign w:val="center"/>
          </w:tcPr>
          <w:p w14:paraId="28F64D2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5,945</w:t>
            </w:r>
          </w:p>
        </w:tc>
      </w:tr>
      <w:tr w:rsidR="00A9409C" w:rsidRPr="00145B66" w14:paraId="14A857CE" w14:textId="77777777" w:rsidTr="00094F6F">
        <w:trPr>
          <w:trHeight w:val="340"/>
          <w:jc w:val="center"/>
        </w:trPr>
        <w:tc>
          <w:tcPr>
            <w:tcW w:w="2520" w:type="dxa"/>
            <w:tcBorders>
              <w:top w:val="single" w:sz="4" w:space="0" w:color="auto"/>
              <w:left w:val="single" w:sz="4" w:space="0" w:color="auto"/>
              <w:bottom w:val="single" w:sz="4" w:space="0" w:color="auto"/>
              <w:right w:val="single" w:sz="4" w:space="0" w:color="auto"/>
            </w:tcBorders>
            <w:vAlign w:val="center"/>
            <w:hideMark/>
          </w:tcPr>
          <w:p w14:paraId="303EFB2F"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Адьювантная химиотерапия</w:t>
            </w:r>
          </w:p>
        </w:tc>
        <w:tc>
          <w:tcPr>
            <w:tcW w:w="938" w:type="dxa"/>
            <w:tcBorders>
              <w:top w:val="single" w:sz="4" w:space="0" w:color="auto"/>
              <w:left w:val="single" w:sz="4" w:space="0" w:color="auto"/>
              <w:bottom w:val="single" w:sz="4" w:space="0" w:color="auto"/>
              <w:right w:val="single" w:sz="4" w:space="0" w:color="auto"/>
            </w:tcBorders>
            <w:vAlign w:val="center"/>
          </w:tcPr>
          <w:p w14:paraId="7B37137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2,321</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0AF28A7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1,363</w:t>
            </w:r>
          </w:p>
        </w:tc>
        <w:tc>
          <w:tcPr>
            <w:tcW w:w="840" w:type="dxa"/>
            <w:gridSpan w:val="2"/>
            <w:tcBorders>
              <w:top w:val="single" w:sz="4" w:space="0" w:color="auto"/>
              <w:left w:val="single" w:sz="4" w:space="0" w:color="auto"/>
              <w:bottom w:val="single" w:sz="4" w:space="0" w:color="auto"/>
              <w:right w:val="single" w:sz="4" w:space="0" w:color="auto"/>
            </w:tcBorders>
            <w:vAlign w:val="center"/>
          </w:tcPr>
          <w:p w14:paraId="15B6764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5,363</w:t>
            </w:r>
          </w:p>
        </w:tc>
        <w:tc>
          <w:tcPr>
            <w:tcW w:w="601" w:type="dxa"/>
            <w:tcBorders>
              <w:top w:val="single" w:sz="4" w:space="0" w:color="auto"/>
              <w:left w:val="single" w:sz="4" w:space="0" w:color="auto"/>
              <w:bottom w:val="single" w:sz="4" w:space="0" w:color="auto"/>
              <w:right w:val="single" w:sz="4" w:space="0" w:color="auto"/>
            </w:tcBorders>
            <w:vAlign w:val="center"/>
          </w:tcPr>
          <w:p w14:paraId="13E38DF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784" w:type="dxa"/>
            <w:tcBorders>
              <w:top w:val="single" w:sz="4" w:space="0" w:color="auto"/>
              <w:left w:val="single" w:sz="4" w:space="0" w:color="auto"/>
              <w:bottom w:val="single" w:sz="4" w:space="0" w:color="auto"/>
              <w:right w:val="single" w:sz="4" w:space="0" w:color="auto"/>
            </w:tcBorders>
            <w:vAlign w:val="center"/>
          </w:tcPr>
          <w:p w14:paraId="1BC9AA8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0,252</w:t>
            </w:r>
          </w:p>
        </w:tc>
        <w:tc>
          <w:tcPr>
            <w:tcW w:w="994" w:type="dxa"/>
            <w:gridSpan w:val="3"/>
            <w:tcBorders>
              <w:top w:val="single" w:sz="4" w:space="0" w:color="auto"/>
              <w:left w:val="single" w:sz="4" w:space="0" w:color="auto"/>
              <w:bottom w:val="single" w:sz="4" w:space="0" w:color="auto"/>
              <w:right w:val="single" w:sz="4" w:space="0" w:color="auto"/>
            </w:tcBorders>
            <w:vAlign w:val="center"/>
          </w:tcPr>
          <w:p w14:paraId="229FAB3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0,156</w:t>
            </w:r>
          </w:p>
        </w:tc>
        <w:tc>
          <w:tcPr>
            <w:tcW w:w="1022" w:type="dxa"/>
            <w:tcBorders>
              <w:top w:val="single" w:sz="4" w:space="0" w:color="auto"/>
              <w:left w:val="single" w:sz="4" w:space="0" w:color="auto"/>
              <w:bottom w:val="single" w:sz="4" w:space="0" w:color="auto"/>
              <w:right w:val="single" w:sz="4" w:space="0" w:color="auto"/>
            </w:tcBorders>
            <w:vAlign w:val="center"/>
          </w:tcPr>
          <w:p w14:paraId="6277992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0,142</w:t>
            </w:r>
          </w:p>
        </w:tc>
        <w:tc>
          <w:tcPr>
            <w:tcW w:w="1072" w:type="dxa"/>
            <w:tcBorders>
              <w:top w:val="single" w:sz="4" w:space="0" w:color="auto"/>
              <w:left w:val="single" w:sz="4" w:space="0" w:color="auto"/>
              <w:bottom w:val="single" w:sz="4" w:space="0" w:color="auto"/>
              <w:right w:val="single" w:sz="4" w:space="0" w:color="auto"/>
            </w:tcBorders>
            <w:vAlign w:val="center"/>
          </w:tcPr>
          <w:p w14:paraId="213BF81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3,855</w:t>
            </w:r>
          </w:p>
        </w:tc>
      </w:tr>
    </w:tbl>
    <w:p w14:paraId="193D3315" w14:textId="77777777" w:rsidR="00A9409C" w:rsidRPr="00145B66" w:rsidRDefault="00A9409C" w:rsidP="00A9409C">
      <w:pPr>
        <w:tabs>
          <w:tab w:val="left" w:pos="0"/>
        </w:tabs>
        <w:spacing w:after="0" w:line="240" w:lineRule="auto"/>
        <w:jc w:val="both"/>
        <w:rPr>
          <w:rFonts w:ascii="Times New Roman" w:hAnsi="Times New Roman"/>
          <w:sz w:val="28"/>
          <w:szCs w:val="28"/>
        </w:rPr>
      </w:pPr>
    </w:p>
    <w:p w14:paraId="30B0FCB2" w14:textId="77777777" w:rsidR="00E50262" w:rsidRDefault="00E50262" w:rsidP="00A9409C">
      <w:pPr>
        <w:tabs>
          <w:tab w:val="left" w:pos="0"/>
        </w:tabs>
        <w:spacing w:after="0" w:line="240" w:lineRule="auto"/>
        <w:jc w:val="both"/>
        <w:rPr>
          <w:rFonts w:ascii="Times New Roman" w:hAnsi="Times New Roman"/>
          <w:sz w:val="28"/>
          <w:szCs w:val="28"/>
        </w:rPr>
      </w:pPr>
    </w:p>
    <w:p w14:paraId="5BDD7DC6" w14:textId="229E5F0B" w:rsidR="00A9409C" w:rsidRPr="00870ADF" w:rsidRDefault="00A9409C" w:rsidP="00A9409C">
      <w:pPr>
        <w:tabs>
          <w:tab w:val="left" w:pos="0"/>
        </w:tabs>
        <w:spacing w:after="0" w:line="240" w:lineRule="auto"/>
        <w:jc w:val="both"/>
        <w:rPr>
          <w:rFonts w:ascii="Times New Roman" w:hAnsi="Times New Roman"/>
          <w:sz w:val="28"/>
          <w:szCs w:val="28"/>
        </w:rPr>
      </w:pPr>
      <w:r w:rsidRPr="00145B66">
        <w:rPr>
          <w:rFonts w:ascii="Times New Roman" w:hAnsi="Times New Roman"/>
          <w:sz w:val="28"/>
          <w:szCs w:val="28"/>
        </w:rPr>
        <w:t xml:space="preserve">Таблица </w:t>
      </w:r>
      <w:r>
        <w:rPr>
          <w:rFonts w:ascii="Times New Roman" w:hAnsi="Times New Roman"/>
          <w:sz w:val="28"/>
          <w:szCs w:val="28"/>
        </w:rPr>
        <w:t>27</w:t>
      </w:r>
      <w:r w:rsidRPr="00145B66">
        <w:rPr>
          <w:rFonts w:ascii="Times New Roman" w:hAnsi="Times New Roman"/>
          <w:sz w:val="28"/>
          <w:szCs w:val="28"/>
        </w:rPr>
        <w:t xml:space="preserve"> </w:t>
      </w:r>
      <w:r>
        <w:rPr>
          <w:rFonts w:ascii="Times New Roman" w:hAnsi="Times New Roman"/>
          <w:sz w:val="28"/>
          <w:szCs w:val="28"/>
        </w:rPr>
        <w:t>–</w:t>
      </w:r>
      <w:r w:rsidRPr="00145B66">
        <w:rPr>
          <w:rFonts w:ascii="Times New Roman" w:hAnsi="Times New Roman"/>
          <w:sz w:val="28"/>
          <w:szCs w:val="28"/>
        </w:rPr>
        <w:t xml:space="preserve"> Однофакторная модель Кокса пропорциональных рисков развития неблагоприятного исхода (смерти) у больных в течение 5 лет после хирургического лечения рака ободочной кишки</w:t>
      </w:r>
    </w:p>
    <w:p w14:paraId="5B2F0A44" w14:textId="77777777" w:rsidR="00A9409C" w:rsidRDefault="00A9409C" w:rsidP="00A9409C">
      <w:pPr>
        <w:autoSpaceDE w:val="0"/>
        <w:autoSpaceDN w:val="0"/>
        <w:adjustRightInd w:val="0"/>
        <w:spacing w:after="0" w:line="240" w:lineRule="auto"/>
        <w:rPr>
          <w:rFonts w:ascii="Times New Roman" w:hAnsi="Times New Roman"/>
          <w:sz w:val="24"/>
          <w:szCs w:val="24"/>
        </w:rPr>
      </w:pPr>
    </w:p>
    <w:tbl>
      <w:tblPr>
        <w:tblW w:w="9639" w:type="dxa"/>
        <w:jc w:val="center"/>
        <w:tblLayout w:type="fixed"/>
        <w:tblLook w:val="04A0" w:firstRow="1" w:lastRow="0" w:firstColumn="1" w:lastColumn="0" w:noHBand="0" w:noVBand="1"/>
      </w:tblPr>
      <w:tblGrid>
        <w:gridCol w:w="2689"/>
        <w:gridCol w:w="1021"/>
        <w:gridCol w:w="14"/>
        <w:gridCol w:w="812"/>
        <w:gridCol w:w="14"/>
        <w:gridCol w:w="812"/>
        <w:gridCol w:w="489"/>
        <w:gridCol w:w="840"/>
        <w:gridCol w:w="910"/>
        <w:gridCol w:w="14"/>
        <w:gridCol w:w="994"/>
        <w:gridCol w:w="1030"/>
      </w:tblGrid>
      <w:tr w:rsidR="00A9409C" w:rsidRPr="00145B66" w14:paraId="2D1F0558" w14:textId="77777777" w:rsidTr="00094F6F">
        <w:trPr>
          <w:trHeight w:val="315"/>
          <w:jc w:val="center"/>
        </w:trPr>
        <w:tc>
          <w:tcPr>
            <w:tcW w:w="2689" w:type="dxa"/>
            <w:vMerge w:val="restart"/>
            <w:tcBorders>
              <w:top w:val="single" w:sz="4" w:space="0" w:color="auto"/>
              <w:left w:val="single" w:sz="4" w:space="0" w:color="auto"/>
              <w:bottom w:val="single" w:sz="4" w:space="0" w:color="auto"/>
              <w:right w:val="single" w:sz="4" w:space="0" w:color="auto"/>
            </w:tcBorders>
            <w:vAlign w:val="center"/>
            <w:hideMark/>
          </w:tcPr>
          <w:p w14:paraId="36A9BDC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Факторы</w:t>
            </w:r>
          </w:p>
        </w:tc>
        <w:tc>
          <w:tcPr>
            <w:tcW w:w="1035"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8E2446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В</w:t>
            </w:r>
          </w:p>
        </w:tc>
        <w:tc>
          <w:tcPr>
            <w:tcW w:w="812" w:type="dxa"/>
            <w:vMerge w:val="restart"/>
            <w:tcBorders>
              <w:top w:val="single" w:sz="4" w:space="0" w:color="auto"/>
              <w:left w:val="single" w:sz="4" w:space="0" w:color="auto"/>
              <w:bottom w:val="single" w:sz="4" w:space="0" w:color="auto"/>
              <w:right w:val="single" w:sz="4" w:space="0" w:color="auto"/>
            </w:tcBorders>
            <w:vAlign w:val="center"/>
            <w:hideMark/>
          </w:tcPr>
          <w:p w14:paraId="0B67C7DE"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SE</w:t>
            </w:r>
          </w:p>
        </w:tc>
        <w:tc>
          <w:tcPr>
            <w:tcW w:w="826"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76B40F4"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en-US" w:eastAsia="en-US"/>
              </w:rPr>
              <w:t>Wald</w:t>
            </w:r>
          </w:p>
        </w:tc>
        <w:tc>
          <w:tcPr>
            <w:tcW w:w="489" w:type="dxa"/>
            <w:vMerge w:val="restart"/>
            <w:tcBorders>
              <w:top w:val="single" w:sz="4" w:space="0" w:color="auto"/>
              <w:left w:val="single" w:sz="4" w:space="0" w:color="auto"/>
              <w:bottom w:val="single" w:sz="4" w:space="0" w:color="auto"/>
              <w:right w:val="single" w:sz="4" w:space="0" w:color="auto"/>
            </w:tcBorders>
            <w:vAlign w:val="center"/>
            <w:hideMark/>
          </w:tcPr>
          <w:p w14:paraId="58A7980C"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proofErr w:type="spellStart"/>
            <w:r w:rsidRPr="00145B66">
              <w:rPr>
                <w:rFonts w:ascii="Times New Roman" w:hAnsi="Times New Roman"/>
                <w:sz w:val="24"/>
                <w:szCs w:val="24"/>
                <w:lang w:val="en-US" w:eastAsia="en-US"/>
              </w:rPr>
              <w:t>df</w:t>
            </w:r>
            <w:proofErr w:type="spellEnd"/>
          </w:p>
        </w:tc>
        <w:tc>
          <w:tcPr>
            <w:tcW w:w="840" w:type="dxa"/>
            <w:vMerge w:val="restart"/>
            <w:tcBorders>
              <w:top w:val="single" w:sz="4" w:space="0" w:color="auto"/>
              <w:left w:val="single" w:sz="4" w:space="0" w:color="auto"/>
              <w:bottom w:val="single" w:sz="4" w:space="0" w:color="auto"/>
              <w:right w:val="single" w:sz="4" w:space="0" w:color="auto"/>
            </w:tcBorders>
            <w:vAlign w:val="center"/>
            <w:hideMark/>
          </w:tcPr>
          <w:p w14:paraId="3080E22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roofErr w:type="gramStart"/>
            <w:r w:rsidRPr="00145B66">
              <w:rPr>
                <w:rFonts w:ascii="Times New Roman" w:hAnsi="Times New Roman"/>
                <w:sz w:val="24"/>
                <w:szCs w:val="24"/>
                <w:lang w:eastAsia="en-US"/>
              </w:rPr>
              <w:t>р</w:t>
            </w:r>
            <w:proofErr w:type="gramEnd"/>
          </w:p>
        </w:tc>
        <w:tc>
          <w:tcPr>
            <w:tcW w:w="910" w:type="dxa"/>
            <w:vMerge w:val="restart"/>
            <w:tcBorders>
              <w:top w:val="single" w:sz="4" w:space="0" w:color="auto"/>
              <w:left w:val="single" w:sz="4" w:space="0" w:color="auto"/>
              <w:bottom w:val="single" w:sz="4" w:space="0" w:color="auto"/>
              <w:right w:val="single" w:sz="4" w:space="0" w:color="auto"/>
            </w:tcBorders>
            <w:vAlign w:val="center"/>
            <w:hideMark/>
          </w:tcPr>
          <w:p w14:paraId="5B717558" w14:textId="77777777" w:rsidR="00A9409C" w:rsidRPr="00145B66" w:rsidRDefault="00A9409C" w:rsidP="00094F6F">
            <w:pPr>
              <w:tabs>
                <w:tab w:val="left" w:pos="147"/>
              </w:tabs>
              <w:spacing w:after="0" w:line="240" w:lineRule="auto"/>
              <w:ind w:left="-108"/>
              <w:jc w:val="center"/>
              <w:rPr>
                <w:rFonts w:ascii="Times New Roman" w:hAnsi="Times New Roman"/>
                <w:sz w:val="24"/>
                <w:szCs w:val="24"/>
                <w:lang w:val="en-US" w:eastAsia="en-US"/>
              </w:rPr>
            </w:pPr>
            <w:proofErr w:type="spellStart"/>
            <w:r w:rsidRPr="00145B66">
              <w:rPr>
                <w:rFonts w:ascii="Times New Roman" w:hAnsi="Times New Roman"/>
                <w:sz w:val="24"/>
                <w:szCs w:val="24"/>
                <w:lang w:val="en-US" w:eastAsia="en-US"/>
              </w:rPr>
              <w:t>Exp</w:t>
            </w:r>
            <w:proofErr w:type="spellEnd"/>
            <w:r w:rsidRPr="00145B66">
              <w:rPr>
                <w:rFonts w:ascii="Times New Roman" w:hAnsi="Times New Roman"/>
                <w:sz w:val="24"/>
                <w:szCs w:val="24"/>
                <w:lang w:eastAsia="en-US"/>
              </w:rPr>
              <w:t>(</w:t>
            </w:r>
            <w:r w:rsidRPr="00145B66">
              <w:rPr>
                <w:rFonts w:ascii="Times New Roman" w:hAnsi="Times New Roman"/>
                <w:sz w:val="24"/>
                <w:szCs w:val="24"/>
                <w:lang w:val="en-US" w:eastAsia="en-US"/>
              </w:rPr>
              <w:t>B</w:t>
            </w:r>
            <w:r w:rsidRPr="00145B66">
              <w:rPr>
                <w:rFonts w:ascii="Times New Roman" w:hAnsi="Times New Roman"/>
                <w:sz w:val="24"/>
                <w:szCs w:val="24"/>
                <w:lang w:eastAsia="en-US"/>
              </w:rPr>
              <w:t>)</w:t>
            </w:r>
          </w:p>
        </w:tc>
        <w:tc>
          <w:tcPr>
            <w:tcW w:w="2038" w:type="dxa"/>
            <w:gridSpan w:val="3"/>
            <w:tcBorders>
              <w:top w:val="single" w:sz="4" w:space="0" w:color="auto"/>
              <w:left w:val="single" w:sz="4" w:space="0" w:color="auto"/>
              <w:bottom w:val="single" w:sz="4" w:space="0" w:color="auto"/>
              <w:right w:val="single" w:sz="4" w:space="0" w:color="auto"/>
            </w:tcBorders>
            <w:vAlign w:val="center"/>
            <w:hideMark/>
          </w:tcPr>
          <w:p w14:paraId="2AAF962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95% ДИ</w:t>
            </w:r>
          </w:p>
        </w:tc>
      </w:tr>
      <w:tr w:rsidR="00A9409C" w:rsidRPr="00145B66" w14:paraId="7E19072C" w14:textId="77777777" w:rsidTr="00094F6F">
        <w:trPr>
          <w:trHeight w:val="330"/>
          <w:jc w:val="center"/>
        </w:trPr>
        <w:tc>
          <w:tcPr>
            <w:tcW w:w="2689" w:type="dxa"/>
            <w:vMerge/>
            <w:tcBorders>
              <w:top w:val="single" w:sz="4" w:space="0" w:color="auto"/>
              <w:left w:val="single" w:sz="4" w:space="0" w:color="auto"/>
              <w:bottom w:val="single" w:sz="4" w:space="0" w:color="auto"/>
              <w:right w:val="single" w:sz="4" w:space="0" w:color="auto"/>
            </w:tcBorders>
            <w:vAlign w:val="center"/>
            <w:hideMark/>
          </w:tcPr>
          <w:p w14:paraId="1A1CD1E5" w14:textId="77777777" w:rsidR="00A9409C" w:rsidRPr="00145B66" w:rsidRDefault="00A9409C" w:rsidP="00094F6F">
            <w:pPr>
              <w:spacing w:after="0" w:line="240" w:lineRule="auto"/>
              <w:rPr>
                <w:rFonts w:ascii="Times New Roman" w:hAnsi="Times New Roman"/>
                <w:sz w:val="24"/>
                <w:szCs w:val="24"/>
                <w:lang w:eastAsia="en-US"/>
              </w:rPr>
            </w:pPr>
          </w:p>
        </w:tc>
        <w:tc>
          <w:tcPr>
            <w:tcW w:w="1035" w:type="dxa"/>
            <w:gridSpan w:val="2"/>
            <w:vMerge/>
            <w:tcBorders>
              <w:top w:val="single" w:sz="4" w:space="0" w:color="auto"/>
              <w:left w:val="single" w:sz="4" w:space="0" w:color="auto"/>
              <w:bottom w:val="single" w:sz="4" w:space="0" w:color="auto"/>
              <w:right w:val="single" w:sz="4" w:space="0" w:color="auto"/>
            </w:tcBorders>
            <w:vAlign w:val="center"/>
            <w:hideMark/>
          </w:tcPr>
          <w:p w14:paraId="5EACF842" w14:textId="77777777" w:rsidR="00A9409C" w:rsidRPr="00145B66" w:rsidRDefault="00A9409C" w:rsidP="00094F6F">
            <w:pPr>
              <w:spacing w:after="0" w:line="240" w:lineRule="auto"/>
              <w:jc w:val="center"/>
              <w:rPr>
                <w:rFonts w:ascii="Times New Roman" w:hAnsi="Times New Roman"/>
                <w:sz w:val="24"/>
                <w:szCs w:val="24"/>
                <w:lang w:eastAsia="en-US"/>
              </w:rPr>
            </w:pPr>
          </w:p>
        </w:tc>
        <w:tc>
          <w:tcPr>
            <w:tcW w:w="812" w:type="dxa"/>
            <w:vMerge/>
            <w:tcBorders>
              <w:top w:val="single" w:sz="4" w:space="0" w:color="auto"/>
              <w:left w:val="single" w:sz="4" w:space="0" w:color="auto"/>
              <w:bottom w:val="single" w:sz="4" w:space="0" w:color="auto"/>
              <w:right w:val="single" w:sz="4" w:space="0" w:color="auto"/>
            </w:tcBorders>
            <w:vAlign w:val="center"/>
            <w:hideMark/>
          </w:tcPr>
          <w:p w14:paraId="2CBCF36A" w14:textId="77777777" w:rsidR="00A9409C" w:rsidRPr="00145B66" w:rsidRDefault="00A9409C" w:rsidP="00094F6F">
            <w:pPr>
              <w:spacing w:after="0" w:line="240" w:lineRule="auto"/>
              <w:jc w:val="center"/>
              <w:rPr>
                <w:rFonts w:ascii="Times New Roman" w:hAnsi="Times New Roman"/>
                <w:sz w:val="24"/>
                <w:szCs w:val="24"/>
                <w:lang w:val="en-US" w:eastAsia="en-US"/>
              </w:rPr>
            </w:pPr>
          </w:p>
        </w:tc>
        <w:tc>
          <w:tcPr>
            <w:tcW w:w="826" w:type="dxa"/>
            <w:gridSpan w:val="2"/>
            <w:vMerge/>
            <w:tcBorders>
              <w:top w:val="single" w:sz="4" w:space="0" w:color="auto"/>
              <w:left w:val="single" w:sz="4" w:space="0" w:color="auto"/>
              <w:bottom w:val="single" w:sz="4" w:space="0" w:color="auto"/>
              <w:right w:val="single" w:sz="4" w:space="0" w:color="auto"/>
            </w:tcBorders>
            <w:vAlign w:val="center"/>
            <w:hideMark/>
          </w:tcPr>
          <w:p w14:paraId="67D2F183" w14:textId="77777777" w:rsidR="00A9409C" w:rsidRPr="00145B66" w:rsidRDefault="00A9409C" w:rsidP="00094F6F">
            <w:pPr>
              <w:spacing w:after="0" w:line="240" w:lineRule="auto"/>
              <w:jc w:val="center"/>
              <w:rPr>
                <w:rFonts w:ascii="Times New Roman" w:hAnsi="Times New Roman"/>
                <w:sz w:val="24"/>
                <w:szCs w:val="24"/>
                <w:lang w:val="kk-KZ" w:eastAsia="en-US"/>
              </w:rPr>
            </w:pPr>
          </w:p>
        </w:tc>
        <w:tc>
          <w:tcPr>
            <w:tcW w:w="489" w:type="dxa"/>
            <w:vMerge/>
            <w:tcBorders>
              <w:top w:val="single" w:sz="4" w:space="0" w:color="auto"/>
              <w:left w:val="single" w:sz="4" w:space="0" w:color="auto"/>
              <w:bottom w:val="single" w:sz="4" w:space="0" w:color="auto"/>
              <w:right w:val="single" w:sz="4" w:space="0" w:color="auto"/>
            </w:tcBorders>
            <w:vAlign w:val="center"/>
            <w:hideMark/>
          </w:tcPr>
          <w:p w14:paraId="22881DC9" w14:textId="77777777" w:rsidR="00A9409C" w:rsidRPr="00145B66" w:rsidRDefault="00A9409C" w:rsidP="00094F6F">
            <w:pPr>
              <w:spacing w:after="0" w:line="240" w:lineRule="auto"/>
              <w:jc w:val="center"/>
              <w:rPr>
                <w:rFonts w:ascii="Times New Roman" w:hAnsi="Times New Roman"/>
                <w:sz w:val="24"/>
                <w:szCs w:val="24"/>
                <w:lang w:val="en-US" w:eastAsia="en-US"/>
              </w:rPr>
            </w:pPr>
          </w:p>
        </w:tc>
        <w:tc>
          <w:tcPr>
            <w:tcW w:w="840" w:type="dxa"/>
            <w:vMerge/>
            <w:tcBorders>
              <w:top w:val="single" w:sz="4" w:space="0" w:color="auto"/>
              <w:left w:val="single" w:sz="4" w:space="0" w:color="auto"/>
              <w:bottom w:val="single" w:sz="4" w:space="0" w:color="auto"/>
              <w:right w:val="single" w:sz="4" w:space="0" w:color="auto"/>
            </w:tcBorders>
            <w:vAlign w:val="center"/>
            <w:hideMark/>
          </w:tcPr>
          <w:p w14:paraId="5AEB70C6" w14:textId="77777777" w:rsidR="00A9409C" w:rsidRPr="00145B66" w:rsidRDefault="00A9409C" w:rsidP="00094F6F">
            <w:pPr>
              <w:spacing w:after="0" w:line="240" w:lineRule="auto"/>
              <w:jc w:val="center"/>
              <w:rPr>
                <w:rFonts w:ascii="Times New Roman" w:hAnsi="Times New Roman"/>
                <w:sz w:val="24"/>
                <w:szCs w:val="24"/>
                <w:lang w:eastAsia="en-US"/>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15524415" w14:textId="77777777" w:rsidR="00A9409C" w:rsidRPr="00145B66" w:rsidRDefault="00A9409C" w:rsidP="00094F6F">
            <w:pPr>
              <w:spacing w:after="0" w:line="240" w:lineRule="auto"/>
              <w:jc w:val="center"/>
              <w:rPr>
                <w:rFonts w:ascii="Times New Roman" w:hAnsi="Times New Roman"/>
                <w:sz w:val="24"/>
                <w:szCs w:val="24"/>
                <w:lang w:val="en-US" w:eastAsia="en-US"/>
              </w:rPr>
            </w:pPr>
          </w:p>
        </w:tc>
        <w:tc>
          <w:tcPr>
            <w:tcW w:w="1008" w:type="dxa"/>
            <w:gridSpan w:val="2"/>
            <w:tcBorders>
              <w:top w:val="single" w:sz="4" w:space="0" w:color="auto"/>
              <w:left w:val="single" w:sz="4" w:space="0" w:color="auto"/>
              <w:bottom w:val="single" w:sz="4" w:space="0" w:color="auto"/>
              <w:right w:val="single" w:sz="4" w:space="0" w:color="auto"/>
            </w:tcBorders>
            <w:vAlign w:val="center"/>
            <w:hideMark/>
          </w:tcPr>
          <w:p w14:paraId="100A9F8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roofErr w:type="gramStart"/>
            <w:r w:rsidRPr="00145B66">
              <w:rPr>
                <w:rFonts w:ascii="Times New Roman" w:hAnsi="Times New Roman"/>
                <w:sz w:val="24"/>
                <w:szCs w:val="24"/>
                <w:lang w:eastAsia="en-US"/>
              </w:rPr>
              <w:t>нижняя</w:t>
            </w:r>
            <w:proofErr w:type="gramEnd"/>
          </w:p>
        </w:tc>
        <w:tc>
          <w:tcPr>
            <w:tcW w:w="1030" w:type="dxa"/>
            <w:tcBorders>
              <w:top w:val="single" w:sz="4" w:space="0" w:color="auto"/>
              <w:left w:val="single" w:sz="4" w:space="0" w:color="auto"/>
              <w:bottom w:val="single" w:sz="4" w:space="0" w:color="auto"/>
              <w:right w:val="single" w:sz="4" w:space="0" w:color="auto"/>
            </w:tcBorders>
            <w:vAlign w:val="center"/>
            <w:hideMark/>
          </w:tcPr>
          <w:p w14:paraId="029736A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proofErr w:type="gramStart"/>
            <w:r w:rsidRPr="00145B66">
              <w:rPr>
                <w:rFonts w:ascii="Times New Roman" w:hAnsi="Times New Roman"/>
                <w:sz w:val="24"/>
                <w:szCs w:val="24"/>
                <w:lang w:eastAsia="en-US"/>
              </w:rPr>
              <w:t>верхняя</w:t>
            </w:r>
            <w:proofErr w:type="gramEnd"/>
          </w:p>
        </w:tc>
      </w:tr>
      <w:tr w:rsidR="00A9409C" w:rsidRPr="00145B66" w14:paraId="7D933916" w14:textId="77777777" w:rsidTr="00094F6F">
        <w:trPr>
          <w:trHeight w:val="54"/>
          <w:jc w:val="center"/>
        </w:trPr>
        <w:tc>
          <w:tcPr>
            <w:tcW w:w="2689" w:type="dxa"/>
            <w:tcBorders>
              <w:top w:val="single" w:sz="4" w:space="0" w:color="auto"/>
              <w:left w:val="single" w:sz="4" w:space="0" w:color="auto"/>
              <w:bottom w:val="single" w:sz="4" w:space="0" w:color="auto"/>
              <w:right w:val="single" w:sz="4" w:space="0" w:color="auto"/>
            </w:tcBorders>
            <w:vAlign w:val="center"/>
            <w:hideMark/>
          </w:tcPr>
          <w:p w14:paraId="21352703"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Возраст</w:t>
            </w:r>
          </w:p>
        </w:tc>
        <w:tc>
          <w:tcPr>
            <w:tcW w:w="1035" w:type="dxa"/>
            <w:gridSpan w:val="2"/>
            <w:tcBorders>
              <w:top w:val="single" w:sz="4" w:space="0" w:color="auto"/>
              <w:left w:val="single" w:sz="4" w:space="0" w:color="auto"/>
              <w:bottom w:val="single" w:sz="4" w:space="0" w:color="auto"/>
              <w:right w:val="single" w:sz="4" w:space="0" w:color="auto"/>
            </w:tcBorders>
            <w:vAlign w:val="center"/>
            <w:hideMark/>
          </w:tcPr>
          <w:p w14:paraId="0F266A9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1,096</w:t>
            </w:r>
          </w:p>
        </w:tc>
        <w:tc>
          <w:tcPr>
            <w:tcW w:w="812" w:type="dxa"/>
            <w:tcBorders>
              <w:top w:val="single" w:sz="4" w:space="0" w:color="auto"/>
              <w:left w:val="single" w:sz="4" w:space="0" w:color="auto"/>
              <w:bottom w:val="single" w:sz="4" w:space="0" w:color="auto"/>
              <w:right w:val="single" w:sz="4" w:space="0" w:color="auto"/>
            </w:tcBorders>
            <w:vAlign w:val="center"/>
            <w:hideMark/>
          </w:tcPr>
          <w:p w14:paraId="4FD40E2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0,582</w:t>
            </w:r>
          </w:p>
        </w:tc>
        <w:tc>
          <w:tcPr>
            <w:tcW w:w="826" w:type="dxa"/>
            <w:gridSpan w:val="2"/>
            <w:tcBorders>
              <w:top w:val="single" w:sz="4" w:space="0" w:color="auto"/>
              <w:left w:val="single" w:sz="4" w:space="0" w:color="auto"/>
              <w:bottom w:val="single" w:sz="4" w:space="0" w:color="auto"/>
              <w:right w:val="single" w:sz="4" w:space="0" w:color="auto"/>
            </w:tcBorders>
            <w:vAlign w:val="center"/>
            <w:hideMark/>
          </w:tcPr>
          <w:p w14:paraId="152FCC3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2,857</w:t>
            </w:r>
          </w:p>
        </w:tc>
        <w:tc>
          <w:tcPr>
            <w:tcW w:w="489" w:type="dxa"/>
            <w:tcBorders>
              <w:top w:val="single" w:sz="4" w:space="0" w:color="auto"/>
              <w:left w:val="single" w:sz="4" w:space="0" w:color="auto"/>
              <w:bottom w:val="single" w:sz="4" w:space="0" w:color="auto"/>
              <w:right w:val="single" w:sz="4" w:space="0" w:color="auto"/>
            </w:tcBorders>
            <w:vAlign w:val="center"/>
            <w:hideMark/>
          </w:tcPr>
          <w:p w14:paraId="65B9BF2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hideMark/>
          </w:tcPr>
          <w:p w14:paraId="21E73A53" w14:textId="77777777" w:rsidR="00A9409C" w:rsidRPr="0000621F" w:rsidRDefault="00A9409C" w:rsidP="00094F6F">
            <w:pPr>
              <w:tabs>
                <w:tab w:val="left" w:pos="0"/>
              </w:tabs>
              <w:spacing w:after="0" w:line="240" w:lineRule="auto"/>
              <w:jc w:val="center"/>
              <w:rPr>
                <w:rFonts w:ascii="Times New Roman" w:hAnsi="Times New Roman"/>
                <w:b/>
                <w:bCs/>
                <w:sz w:val="24"/>
                <w:szCs w:val="24"/>
                <w:lang w:val="kk-KZ" w:eastAsia="en-US"/>
              </w:rPr>
            </w:pPr>
            <w:r w:rsidRPr="0000621F">
              <w:rPr>
                <w:rFonts w:ascii="Times New Roman" w:hAnsi="Times New Roman"/>
                <w:b/>
                <w:bCs/>
                <w:sz w:val="24"/>
                <w:szCs w:val="24"/>
                <w:lang w:eastAsia="en-US"/>
              </w:rPr>
              <w:t>0,02</w:t>
            </w:r>
            <w:r w:rsidRPr="0000621F">
              <w:rPr>
                <w:rFonts w:ascii="Times New Roman" w:hAnsi="Times New Roman"/>
                <w:b/>
                <w:bCs/>
                <w:sz w:val="24"/>
                <w:szCs w:val="24"/>
                <w:lang w:val="kk-KZ" w:eastAsia="en-US"/>
              </w:rPr>
              <w:t>3</w:t>
            </w:r>
          </w:p>
        </w:tc>
        <w:tc>
          <w:tcPr>
            <w:tcW w:w="910" w:type="dxa"/>
            <w:tcBorders>
              <w:top w:val="single" w:sz="4" w:space="0" w:color="auto"/>
              <w:left w:val="single" w:sz="4" w:space="0" w:color="auto"/>
              <w:bottom w:val="single" w:sz="4" w:space="0" w:color="auto"/>
              <w:right w:val="single" w:sz="4" w:space="0" w:color="auto"/>
            </w:tcBorders>
            <w:vAlign w:val="center"/>
            <w:hideMark/>
          </w:tcPr>
          <w:p w14:paraId="3EB53EFF"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3,110</w:t>
            </w:r>
          </w:p>
        </w:tc>
        <w:tc>
          <w:tcPr>
            <w:tcW w:w="1008" w:type="dxa"/>
            <w:gridSpan w:val="2"/>
            <w:tcBorders>
              <w:top w:val="single" w:sz="4" w:space="0" w:color="auto"/>
              <w:left w:val="single" w:sz="4" w:space="0" w:color="auto"/>
              <w:bottom w:val="single" w:sz="4" w:space="0" w:color="auto"/>
              <w:right w:val="single" w:sz="4" w:space="0" w:color="auto"/>
            </w:tcBorders>
            <w:vAlign w:val="center"/>
            <w:hideMark/>
          </w:tcPr>
          <w:p w14:paraId="4A3E82FE"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1,172</w:t>
            </w:r>
          </w:p>
        </w:tc>
        <w:tc>
          <w:tcPr>
            <w:tcW w:w="1030" w:type="dxa"/>
            <w:tcBorders>
              <w:top w:val="single" w:sz="4" w:space="0" w:color="auto"/>
              <w:left w:val="single" w:sz="4" w:space="0" w:color="auto"/>
              <w:bottom w:val="single" w:sz="4" w:space="0" w:color="auto"/>
              <w:right w:val="single" w:sz="4" w:space="0" w:color="auto"/>
            </w:tcBorders>
            <w:vAlign w:val="center"/>
            <w:hideMark/>
          </w:tcPr>
          <w:p w14:paraId="5B34399E"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3,360</w:t>
            </w:r>
          </w:p>
        </w:tc>
      </w:tr>
      <w:tr w:rsidR="00A9409C" w:rsidRPr="00145B66" w14:paraId="11004C9A" w14:textId="77777777" w:rsidTr="00094F6F">
        <w:trPr>
          <w:trHeight w:val="86"/>
          <w:jc w:val="center"/>
        </w:trPr>
        <w:tc>
          <w:tcPr>
            <w:tcW w:w="2689" w:type="dxa"/>
            <w:tcBorders>
              <w:top w:val="single" w:sz="4" w:space="0" w:color="auto"/>
              <w:left w:val="single" w:sz="4" w:space="0" w:color="auto"/>
              <w:bottom w:val="single" w:sz="4" w:space="0" w:color="auto"/>
              <w:right w:val="single" w:sz="4" w:space="0" w:color="auto"/>
            </w:tcBorders>
            <w:vAlign w:val="center"/>
          </w:tcPr>
          <w:p w14:paraId="14020744"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 xml:space="preserve">Пол </w:t>
            </w:r>
          </w:p>
        </w:tc>
        <w:tc>
          <w:tcPr>
            <w:tcW w:w="1035" w:type="dxa"/>
            <w:gridSpan w:val="2"/>
            <w:tcBorders>
              <w:top w:val="single" w:sz="4" w:space="0" w:color="auto"/>
              <w:left w:val="single" w:sz="4" w:space="0" w:color="auto"/>
              <w:bottom w:val="single" w:sz="4" w:space="0" w:color="auto"/>
              <w:right w:val="single" w:sz="4" w:space="0" w:color="auto"/>
            </w:tcBorders>
            <w:vAlign w:val="center"/>
          </w:tcPr>
          <w:p w14:paraId="2CDD825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2,351</w:t>
            </w:r>
          </w:p>
        </w:tc>
        <w:tc>
          <w:tcPr>
            <w:tcW w:w="812" w:type="dxa"/>
            <w:tcBorders>
              <w:top w:val="single" w:sz="4" w:space="0" w:color="auto"/>
              <w:left w:val="single" w:sz="4" w:space="0" w:color="auto"/>
              <w:bottom w:val="single" w:sz="4" w:space="0" w:color="auto"/>
              <w:right w:val="single" w:sz="4" w:space="0" w:color="auto"/>
            </w:tcBorders>
            <w:vAlign w:val="center"/>
          </w:tcPr>
          <w:p w14:paraId="48DEE84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0,385</w:t>
            </w:r>
          </w:p>
        </w:tc>
        <w:tc>
          <w:tcPr>
            <w:tcW w:w="826" w:type="dxa"/>
            <w:gridSpan w:val="2"/>
            <w:tcBorders>
              <w:top w:val="single" w:sz="4" w:space="0" w:color="auto"/>
              <w:left w:val="single" w:sz="4" w:space="0" w:color="auto"/>
              <w:bottom w:val="single" w:sz="4" w:space="0" w:color="auto"/>
              <w:right w:val="single" w:sz="4" w:space="0" w:color="auto"/>
            </w:tcBorders>
            <w:vAlign w:val="center"/>
          </w:tcPr>
          <w:p w14:paraId="2A81B20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7,641</w:t>
            </w:r>
          </w:p>
        </w:tc>
        <w:tc>
          <w:tcPr>
            <w:tcW w:w="489" w:type="dxa"/>
            <w:tcBorders>
              <w:top w:val="single" w:sz="4" w:space="0" w:color="auto"/>
              <w:left w:val="single" w:sz="4" w:space="0" w:color="auto"/>
              <w:bottom w:val="single" w:sz="4" w:space="0" w:color="auto"/>
              <w:right w:val="single" w:sz="4" w:space="0" w:color="auto"/>
            </w:tcBorders>
            <w:vAlign w:val="center"/>
          </w:tcPr>
          <w:p w14:paraId="4C968B6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466EF3B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0,124</w:t>
            </w:r>
          </w:p>
        </w:tc>
        <w:tc>
          <w:tcPr>
            <w:tcW w:w="910" w:type="dxa"/>
            <w:tcBorders>
              <w:top w:val="single" w:sz="4" w:space="0" w:color="auto"/>
              <w:left w:val="single" w:sz="4" w:space="0" w:color="auto"/>
              <w:bottom w:val="single" w:sz="4" w:space="0" w:color="auto"/>
              <w:right w:val="single" w:sz="4" w:space="0" w:color="auto"/>
            </w:tcBorders>
            <w:vAlign w:val="center"/>
          </w:tcPr>
          <w:p w14:paraId="298892A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0,845</w:t>
            </w:r>
          </w:p>
        </w:tc>
        <w:tc>
          <w:tcPr>
            <w:tcW w:w="1008" w:type="dxa"/>
            <w:gridSpan w:val="2"/>
            <w:tcBorders>
              <w:top w:val="single" w:sz="4" w:space="0" w:color="auto"/>
              <w:left w:val="single" w:sz="4" w:space="0" w:color="auto"/>
              <w:bottom w:val="single" w:sz="4" w:space="0" w:color="auto"/>
              <w:right w:val="single" w:sz="4" w:space="0" w:color="auto"/>
            </w:tcBorders>
            <w:vAlign w:val="center"/>
          </w:tcPr>
          <w:p w14:paraId="776E6B4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0,032</w:t>
            </w:r>
          </w:p>
        </w:tc>
        <w:tc>
          <w:tcPr>
            <w:tcW w:w="1030" w:type="dxa"/>
            <w:tcBorders>
              <w:top w:val="single" w:sz="4" w:space="0" w:color="auto"/>
              <w:left w:val="single" w:sz="4" w:space="0" w:color="auto"/>
              <w:bottom w:val="single" w:sz="4" w:space="0" w:color="auto"/>
              <w:right w:val="single" w:sz="4" w:space="0" w:color="auto"/>
            </w:tcBorders>
            <w:vAlign w:val="center"/>
          </w:tcPr>
          <w:p w14:paraId="62166A7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8,451</w:t>
            </w:r>
          </w:p>
        </w:tc>
      </w:tr>
      <w:tr w:rsidR="00A9409C" w:rsidRPr="00145B66" w14:paraId="0CA79048" w14:textId="77777777" w:rsidTr="00094F6F">
        <w:trPr>
          <w:jc w:val="center"/>
        </w:trPr>
        <w:tc>
          <w:tcPr>
            <w:tcW w:w="9639" w:type="dxa"/>
            <w:gridSpan w:val="12"/>
            <w:tcBorders>
              <w:top w:val="single" w:sz="4" w:space="0" w:color="auto"/>
              <w:left w:val="single" w:sz="4" w:space="0" w:color="auto"/>
              <w:bottom w:val="single" w:sz="4" w:space="0" w:color="auto"/>
              <w:right w:val="single" w:sz="4" w:space="0" w:color="auto"/>
            </w:tcBorders>
            <w:vAlign w:val="center"/>
          </w:tcPr>
          <w:p w14:paraId="538767D7"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Стадия рака</w:t>
            </w:r>
          </w:p>
        </w:tc>
      </w:tr>
      <w:tr w:rsidR="00A9409C" w:rsidRPr="00145B66" w14:paraId="0B013009" w14:textId="77777777" w:rsidTr="00094F6F">
        <w:trPr>
          <w:trHeight w:val="253"/>
          <w:jc w:val="center"/>
        </w:trPr>
        <w:tc>
          <w:tcPr>
            <w:tcW w:w="2689" w:type="dxa"/>
            <w:tcBorders>
              <w:top w:val="single" w:sz="4" w:space="0" w:color="auto"/>
              <w:left w:val="single" w:sz="4" w:space="0" w:color="auto"/>
              <w:bottom w:val="single" w:sz="4" w:space="0" w:color="auto"/>
              <w:right w:val="single" w:sz="4" w:space="0" w:color="auto"/>
            </w:tcBorders>
            <w:vAlign w:val="center"/>
          </w:tcPr>
          <w:p w14:paraId="1356C039" w14:textId="77777777" w:rsidR="00A9409C" w:rsidRPr="0000621F" w:rsidRDefault="00A9409C" w:rsidP="00094F6F">
            <w:pPr>
              <w:tabs>
                <w:tab w:val="left" w:pos="0"/>
              </w:tabs>
              <w:spacing w:after="0" w:line="240" w:lineRule="auto"/>
              <w:rPr>
                <w:rFonts w:ascii="Times New Roman" w:hAnsi="Times New Roman"/>
                <w:i/>
                <w:iCs/>
                <w:sz w:val="24"/>
                <w:szCs w:val="24"/>
                <w:lang w:val="en-US" w:eastAsia="en-US"/>
              </w:rPr>
            </w:pPr>
            <w:r w:rsidRPr="0000621F">
              <w:rPr>
                <w:rFonts w:ascii="Times New Roman" w:hAnsi="Times New Roman"/>
                <w:i/>
                <w:iCs/>
                <w:sz w:val="24"/>
                <w:szCs w:val="24"/>
                <w:lang w:val="en-US" w:eastAsia="en-US"/>
              </w:rPr>
              <w:t>I</w:t>
            </w:r>
          </w:p>
        </w:tc>
        <w:tc>
          <w:tcPr>
            <w:tcW w:w="1035" w:type="dxa"/>
            <w:gridSpan w:val="2"/>
            <w:tcBorders>
              <w:top w:val="single" w:sz="4" w:space="0" w:color="auto"/>
              <w:left w:val="single" w:sz="4" w:space="0" w:color="auto"/>
              <w:bottom w:val="single" w:sz="4" w:space="0" w:color="auto"/>
              <w:right w:val="single" w:sz="4" w:space="0" w:color="auto"/>
            </w:tcBorders>
            <w:vAlign w:val="center"/>
          </w:tcPr>
          <w:p w14:paraId="021908AD"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Pr>
                <w:rFonts w:ascii="Times New Roman" w:hAnsi="Times New Roman"/>
                <w:sz w:val="24"/>
                <w:szCs w:val="24"/>
                <w:lang w:eastAsia="en-US"/>
              </w:rPr>
              <w:t>−</w:t>
            </w:r>
            <w:r w:rsidRPr="00145B66">
              <w:rPr>
                <w:rFonts w:ascii="Times New Roman" w:hAnsi="Times New Roman"/>
                <w:sz w:val="24"/>
                <w:szCs w:val="24"/>
                <w:lang w:val="en-US" w:eastAsia="en-US"/>
              </w:rPr>
              <w:t>2</w:t>
            </w:r>
            <w:r w:rsidRPr="00145B66">
              <w:rPr>
                <w:rFonts w:ascii="Times New Roman" w:hAnsi="Times New Roman"/>
                <w:sz w:val="24"/>
                <w:szCs w:val="24"/>
                <w:lang w:eastAsia="en-US"/>
              </w:rPr>
              <w:t>,</w:t>
            </w:r>
            <w:r w:rsidRPr="00145B66">
              <w:rPr>
                <w:rFonts w:ascii="Times New Roman" w:hAnsi="Times New Roman"/>
                <w:sz w:val="24"/>
                <w:szCs w:val="24"/>
                <w:lang w:val="en-US" w:eastAsia="en-US"/>
              </w:rPr>
              <w:t>541</w:t>
            </w:r>
          </w:p>
        </w:tc>
        <w:tc>
          <w:tcPr>
            <w:tcW w:w="812" w:type="dxa"/>
            <w:tcBorders>
              <w:top w:val="single" w:sz="4" w:space="0" w:color="auto"/>
              <w:left w:val="single" w:sz="4" w:space="0" w:color="auto"/>
              <w:bottom w:val="single" w:sz="4" w:space="0" w:color="auto"/>
              <w:right w:val="single" w:sz="4" w:space="0" w:color="auto"/>
            </w:tcBorders>
            <w:vAlign w:val="center"/>
          </w:tcPr>
          <w:p w14:paraId="156E90A5"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1</w:t>
            </w:r>
            <w:r w:rsidRPr="00145B66">
              <w:rPr>
                <w:rFonts w:ascii="Times New Roman" w:hAnsi="Times New Roman"/>
                <w:sz w:val="24"/>
                <w:szCs w:val="24"/>
                <w:lang w:eastAsia="en-US"/>
              </w:rPr>
              <w:t>,</w:t>
            </w:r>
            <w:r w:rsidRPr="00145B66">
              <w:rPr>
                <w:rFonts w:ascii="Times New Roman" w:hAnsi="Times New Roman"/>
                <w:sz w:val="24"/>
                <w:szCs w:val="24"/>
                <w:lang w:val="en-US" w:eastAsia="en-US"/>
              </w:rPr>
              <w:t>451</w:t>
            </w:r>
          </w:p>
        </w:tc>
        <w:tc>
          <w:tcPr>
            <w:tcW w:w="826" w:type="dxa"/>
            <w:gridSpan w:val="2"/>
            <w:tcBorders>
              <w:top w:val="single" w:sz="4" w:space="0" w:color="auto"/>
              <w:left w:val="single" w:sz="4" w:space="0" w:color="auto"/>
              <w:bottom w:val="single" w:sz="4" w:space="0" w:color="auto"/>
              <w:right w:val="single" w:sz="4" w:space="0" w:color="auto"/>
            </w:tcBorders>
            <w:vAlign w:val="center"/>
          </w:tcPr>
          <w:p w14:paraId="4DAFBB7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2,411</w:t>
            </w:r>
          </w:p>
        </w:tc>
        <w:tc>
          <w:tcPr>
            <w:tcW w:w="489" w:type="dxa"/>
            <w:tcBorders>
              <w:top w:val="single" w:sz="4" w:space="0" w:color="auto"/>
              <w:left w:val="single" w:sz="4" w:space="0" w:color="auto"/>
              <w:bottom w:val="single" w:sz="4" w:space="0" w:color="auto"/>
              <w:right w:val="single" w:sz="4" w:space="0" w:color="auto"/>
            </w:tcBorders>
            <w:vAlign w:val="center"/>
          </w:tcPr>
          <w:p w14:paraId="69B7DDE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4DC8FC0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0,864</w:t>
            </w:r>
          </w:p>
        </w:tc>
        <w:tc>
          <w:tcPr>
            <w:tcW w:w="910" w:type="dxa"/>
            <w:tcBorders>
              <w:top w:val="single" w:sz="4" w:space="0" w:color="auto"/>
              <w:left w:val="single" w:sz="4" w:space="0" w:color="auto"/>
              <w:bottom w:val="single" w:sz="4" w:space="0" w:color="auto"/>
              <w:right w:val="single" w:sz="4" w:space="0" w:color="auto"/>
            </w:tcBorders>
            <w:vAlign w:val="center"/>
          </w:tcPr>
          <w:p w14:paraId="32795DD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0,715</w:t>
            </w:r>
          </w:p>
        </w:tc>
        <w:tc>
          <w:tcPr>
            <w:tcW w:w="1008" w:type="dxa"/>
            <w:gridSpan w:val="2"/>
            <w:tcBorders>
              <w:top w:val="single" w:sz="4" w:space="0" w:color="auto"/>
              <w:left w:val="single" w:sz="4" w:space="0" w:color="auto"/>
              <w:bottom w:val="single" w:sz="4" w:space="0" w:color="auto"/>
              <w:right w:val="single" w:sz="4" w:space="0" w:color="auto"/>
            </w:tcBorders>
            <w:vAlign w:val="center"/>
          </w:tcPr>
          <w:p w14:paraId="75124EB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0,511</w:t>
            </w:r>
          </w:p>
        </w:tc>
        <w:tc>
          <w:tcPr>
            <w:tcW w:w="1030" w:type="dxa"/>
            <w:tcBorders>
              <w:top w:val="single" w:sz="4" w:space="0" w:color="auto"/>
              <w:left w:val="single" w:sz="4" w:space="0" w:color="auto"/>
              <w:bottom w:val="single" w:sz="4" w:space="0" w:color="auto"/>
              <w:right w:val="single" w:sz="4" w:space="0" w:color="auto"/>
            </w:tcBorders>
            <w:vAlign w:val="center"/>
          </w:tcPr>
          <w:p w14:paraId="5A625FC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4,458</w:t>
            </w:r>
          </w:p>
        </w:tc>
      </w:tr>
      <w:tr w:rsidR="00A9409C" w:rsidRPr="00145B66" w14:paraId="23C16223" w14:textId="77777777" w:rsidTr="00094F6F">
        <w:trPr>
          <w:jc w:val="center"/>
        </w:trPr>
        <w:tc>
          <w:tcPr>
            <w:tcW w:w="2689" w:type="dxa"/>
            <w:tcBorders>
              <w:top w:val="single" w:sz="4" w:space="0" w:color="auto"/>
              <w:left w:val="single" w:sz="4" w:space="0" w:color="auto"/>
              <w:bottom w:val="single" w:sz="4" w:space="0" w:color="auto"/>
              <w:right w:val="single" w:sz="4" w:space="0" w:color="auto"/>
            </w:tcBorders>
            <w:vAlign w:val="center"/>
          </w:tcPr>
          <w:p w14:paraId="479C7B79" w14:textId="77777777" w:rsidR="00A9409C" w:rsidRPr="0000621F" w:rsidRDefault="00A9409C" w:rsidP="00094F6F">
            <w:pPr>
              <w:tabs>
                <w:tab w:val="left" w:pos="0"/>
              </w:tabs>
              <w:spacing w:after="0" w:line="240" w:lineRule="auto"/>
              <w:rPr>
                <w:rFonts w:ascii="Times New Roman" w:hAnsi="Times New Roman"/>
                <w:i/>
                <w:iCs/>
                <w:sz w:val="24"/>
                <w:szCs w:val="24"/>
                <w:lang w:val="en-US" w:eastAsia="en-US"/>
              </w:rPr>
            </w:pPr>
            <w:r w:rsidRPr="0000621F">
              <w:rPr>
                <w:rFonts w:ascii="Times New Roman" w:hAnsi="Times New Roman"/>
                <w:i/>
                <w:iCs/>
                <w:sz w:val="24"/>
                <w:szCs w:val="24"/>
                <w:lang w:val="en-US" w:eastAsia="en-US"/>
              </w:rPr>
              <w:t>II</w:t>
            </w:r>
          </w:p>
        </w:tc>
        <w:tc>
          <w:tcPr>
            <w:tcW w:w="1035" w:type="dxa"/>
            <w:gridSpan w:val="2"/>
            <w:tcBorders>
              <w:top w:val="single" w:sz="4" w:space="0" w:color="auto"/>
              <w:left w:val="single" w:sz="4" w:space="0" w:color="auto"/>
              <w:bottom w:val="single" w:sz="4" w:space="0" w:color="auto"/>
              <w:right w:val="single" w:sz="4" w:space="0" w:color="auto"/>
            </w:tcBorders>
            <w:vAlign w:val="center"/>
          </w:tcPr>
          <w:p w14:paraId="59399F4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4,314</w:t>
            </w:r>
          </w:p>
        </w:tc>
        <w:tc>
          <w:tcPr>
            <w:tcW w:w="812" w:type="dxa"/>
            <w:tcBorders>
              <w:top w:val="single" w:sz="4" w:space="0" w:color="auto"/>
              <w:left w:val="single" w:sz="4" w:space="0" w:color="auto"/>
              <w:bottom w:val="single" w:sz="4" w:space="0" w:color="auto"/>
              <w:right w:val="single" w:sz="4" w:space="0" w:color="auto"/>
            </w:tcBorders>
            <w:vAlign w:val="center"/>
          </w:tcPr>
          <w:p w14:paraId="129F79B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0,715</w:t>
            </w:r>
          </w:p>
        </w:tc>
        <w:tc>
          <w:tcPr>
            <w:tcW w:w="826" w:type="dxa"/>
            <w:gridSpan w:val="2"/>
            <w:tcBorders>
              <w:top w:val="single" w:sz="4" w:space="0" w:color="auto"/>
              <w:left w:val="single" w:sz="4" w:space="0" w:color="auto"/>
              <w:bottom w:val="single" w:sz="4" w:space="0" w:color="auto"/>
              <w:right w:val="single" w:sz="4" w:space="0" w:color="auto"/>
            </w:tcBorders>
            <w:vAlign w:val="center"/>
          </w:tcPr>
          <w:p w14:paraId="0B0C8FE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8,652</w:t>
            </w:r>
          </w:p>
        </w:tc>
        <w:tc>
          <w:tcPr>
            <w:tcW w:w="489" w:type="dxa"/>
            <w:tcBorders>
              <w:top w:val="single" w:sz="4" w:space="0" w:color="auto"/>
              <w:left w:val="single" w:sz="4" w:space="0" w:color="auto"/>
              <w:bottom w:val="single" w:sz="4" w:space="0" w:color="auto"/>
              <w:right w:val="single" w:sz="4" w:space="0" w:color="auto"/>
            </w:tcBorders>
            <w:vAlign w:val="center"/>
          </w:tcPr>
          <w:p w14:paraId="7BF8B25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0EDF446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0,813</w:t>
            </w:r>
          </w:p>
        </w:tc>
        <w:tc>
          <w:tcPr>
            <w:tcW w:w="910" w:type="dxa"/>
            <w:tcBorders>
              <w:top w:val="single" w:sz="4" w:space="0" w:color="auto"/>
              <w:left w:val="single" w:sz="4" w:space="0" w:color="auto"/>
              <w:bottom w:val="single" w:sz="4" w:space="0" w:color="auto"/>
              <w:right w:val="single" w:sz="4" w:space="0" w:color="auto"/>
            </w:tcBorders>
            <w:vAlign w:val="center"/>
          </w:tcPr>
          <w:p w14:paraId="2650A45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1,351</w:t>
            </w:r>
          </w:p>
        </w:tc>
        <w:tc>
          <w:tcPr>
            <w:tcW w:w="1008" w:type="dxa"/>
            <w:gridSpan w:val="2"/>
            <w:tcBorders>
              <w:top w:val="single" w:sz="4" w:space="0" w:color="auto"/>
              <w:left w:val="single" w:sz="4" w:space="0" w:color="auto"/>
              <w:bottom w:val="single" w:sz="4" w:space="0" w:color="auto"/>
              <w:right w:val="single" w:sz="4" w:space="0" w:color="auto"/>
            </w:tcBorders>
            <w:vAlign w:val="center"/>
          </w:tcPr>
          <w:p w14:paraId="7EBDBE4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0,984</w:t>
            </w:r>
          </w:p>
        </w:tc>
        <w:tc>
          <w:tcPr>
            <w:tcW w:w="1030" w:type="dxa"/>
            <w:tcBorders>
              <w:top w:val="single" w:sz="4" w:space="0" w:color="auto"/>
              <w:left w:val="single" w:sz="4" w:space="0" w:color="auto"/>
              <w:bottom w:val="single" w:sz="4" w:space="0" w:color="auto"/>
              <w:right w:val="single" w:sz="4" w:space="0" w:color="auto"/>
            </w:tcBorders>
            <w:vAlign w:val="center"/>
          </w:tcPr>
          <w:p w14:paraId="503887D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8,646</w:t>
            </w:r>
          </w:p>
        </w:tc>
      </w:tr>
      <w:tr w:rsidR="00A9409C" w:rsidRPr="00145B66" w14:paraId="2219CEC0" w14:textId="77777777" w:rsidTr="00094F6F">
        <w:trPr>
          <w:jc w:val="center"/>
        </w:trPr>
        <w:tc>
          <w:tcPr>
            <w:tcW w:w="2689" w:type="dxa"/>
            <w:tcBorders>
              <w:top w:val="single" w:sz="4" w:space="0" w:color="auto"/>
              <w:left w:val="single" w:sz="4" w:space="0" w:color="auto"/>
              <w:right w:val="single" w:sz="4" w:space="0" w:color="auto"/>
            </w:tcBorders>
            <w:vAlign w:val="center"/>
          </w:tcPr>
          <w:p w14:paraId="4CDE9050" w14:textId="77777777" w:rsidR="00A9409C" w:rsidRPr="0000621F" w:rsidRDefault="00A9409C" w:rsidP="00094F6F">
            <w:pPr>
              <w:tabs>
                <w:tab w:val="left" w:pos="0"/>
              </w:tabs>
              <w:spacing w:after="0" w:line="240" w:lineRule="auto"/>
              <w:rPr>
                <w:rFonts w:ascii="Times New Roman" w:hAnsi="Times New Roman"/>
                <w:i/>
                <w:iCs/>
                <w:sz w:val="24"/>
                <w:szCs w:val="24"/>
                <w:lang w:val="en-US" w:eastAsia="en-US"/>
              </w:rPr>
            </w:pPr>
            <w:r w:rsidRPr="0000621F">
              <w:rPr>
                <w:rFonts w:ascii="Times New Roman" w:hAnsi="Times New Roman"/>
                <w:i/>
                <w:iCs/>
                <w:sz w:val="24"/>
                <w:szCs w:val="24"/>
                <w:lang w:val="en-US" w:eastAsia="en-US"/>
              </w:rPr>
              <w:t>III</w:t>
            </w:r>
          </w:p>
        </w:tc>
        <w:tc>
          <w:tcPr>
            <w:tcW w:w="1035" w:type="dxa"/>
            <w:gridSpan w:val="2"/>
            <w:tcBorders>
              <w:top w:val="single" w:sz="4" w:space="0" w:color="auto"/>
              <w:left w:val="single" w:sz="4" w:space="0" w:color="auto"/>
              <w:right w:val="single" w:sz="4" w:space="0" w:color="auto"/>
            </w:tcBorders>
            <w:vAlign w:val="center"/>
          </w:tcPr>
          <w:p w14:paraId="11531E5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3,641</w:t>
            </w:r>
          </w:p>
        </w:tc>
        <w:tc>
          <w:tcPr>
            <w:tcW w:w="812" w:type="dxa"/>
            <w:tcBorders>
              <w:top w:val="single" w:sz="4" w:space="0" w:color="auto"/>
              <w:left w:val="single" w:sz="4" w:space="0" w:color="auto"/>
              <w:right w:val="single" w:sz="4" w:space="0" w:color="auto"/>
            </w:tcBorders>
            <w:vAlign w:val="center"/>
          </w:tcPr>
          <w:p w14:paraId="3CC08C5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0,810</w:t>
            </w:r>
          </w:p>
        </w:tc>
        <w:tc>
          <w:tcPr>
            <w:tcW w:w="826" w:type="dxa"/>
            <w:gridSpan w:val="2"/>
            <w:tcBorders>
              <w:top w:val="single" w:sz="4" w:space="0" w:color="auto"/>
              <w:left w:val="single" w:sz="4" w:space="0" w:color="auto"/>
              <w:right w:val="single" w:sz="4" w:space="0" w:color="auto"/>
            </w:tcBorders>
            <w:vAlign w:val="center"/>
          </w:tcPr>
          <w:p w14:paraId="41D47BB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8,521</w:t>
            </w:r>
          </w:p>
        </w:tc>
        <w:tc>
          <w:tcPr>
            <w:tcW w:w="489" w:type="dxa"/>
            <w:tcBorders>
              <w:top w:val="single" w:sz="4" w:space="0" w:color="auto"/>
              <w:left w:val="single" w:sz="4" w:space="0" w:color="auto"/>
              <w:right w:val="single" w:sz="4" w:space="0" w:color="auto"/>
            </w:tcBorders>
            <w:vAlign w:val="center"/>
          </w:tcPr>
          <w:p w14:paraId="0F9ABF0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right w:val="single" w:sz="4" w:space="0" w:color="auto"/>
            </w:tcBorders>
            <w:vAlign w:val="center"/>
          </w:tcPr>
          <w:p w14:paraId="3E9E1A39" w14:textId="77777777" w:rsidR="00A9409C" w:rsidRPr="0000621F" w:rsidRDefault="00A9409C" w:rsidP="00094F6F">
            <w:pPr>
              <w:tabs>
                <w:tab w:val="left" w:pos="0"/>
              </w:tabs>
              <w:spacing w:after="0" w:line="240" w:lineRule="auto"/>
              <w:jc w:val="center"/>
              <w:rPr>
                <w:rFonts w:ascii="Times New Roman" w:hAnsi="Times New Roman"/>
                <w:b/>
                <w:bCs/>
                <w:sz w:val="24"/>
                <w:szCs w:val="24"/>
                <w:lang w:val="kk-KZ" w:eastAsia="en-US"/>
              </w:rPr>
            </w:pPr>
            <w:r w:rsidRPr="0000621F">
              <w:rPr>
                <w:rFonts w:ascii="Times New Roman" w:hAnsi="Times New Roman"/>
                <w:b/>
                <w:bCs/>
                <w:sz w:val="24"/>
                <w:szCs w:val="24"/>
                <w:lang w:val="kk-KZ" w:eastAsia="en-US"/>
              </w:rPr>
              <w:t>0,002</w:t>
            </w:r>
          </w:p>
        </w:tc>
        <w:tc>
          <w:tcPr>
            <w:tcW w:w="910" w:type="dxa"/>
            <w:tcBorders>
              <w:top w:val="single" w:sz="4" w:space="0" w:color="auto"/>
              <w:left w:val="single" w:sz="4" w:space="0" w:color="auto"/>
              <w:right w:val="single" w:sz="4" w:space="0" w:color="auto"/>
            </w:tcBorders>
            <w:vAlign w:val="center"/>
          </w:tcPr>
          <w:p w14:paraId="5260D186"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3,812</w:t>
            </w:r>
          </w:p>
        </w:tc>
        <w:tc>
          <w:tcPr>
            <w:tcW w:w="1008" w:type="dxa"/>
            <w:gridSpan w:val="2"/>
            <w:tcBorders>
              <w:top w:val="single" w:sz="4" w:space="0" w:color="auto"/>
              <w:left w:val="single" w:sz="4" w:space="0" w:color="auto"/>
              <w:right w:val="single" w:sz="4" w:space="0" w:color="auto"/>
            </w:tcBorders>
            <w:vAlign w:val="center"/>
          </w:tcPr>
          <w:p w14:paraId="6752F332"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3,612</w:t>
            </w:r>
          </w:p>
        </w:tc>
        <w:tc>
          <w:tcPr>
            <w:tcW w:w="1030" w:type="dxa"/>
            <w:tcBorders>
              <w:top w:val="single" w:sz="4" w:space="0" w:color="auto"/>
              <w:left w:val="single" w:sz="4" w:space="0" w:color="auto"/>
              <w:right w:val="single" w:sz="4" w:space="0" w:color="auto"/>
            </w:tcBorders>
            <w:vAlign w:val="center"/>
          </w:tcPr>
          <w:p w14:paraId="7448A61E" w14:textId="77777777" w:rsidR="00A9409C" w:rsidRPr="00145B66" w:rsidRDefault="00A9409C" w:rsidP="00094F6F">
            <w:pPr>
              <w:tabs>
                <w:tab w:val="left" w:pos="0"/>
              </w:tabs>
              <w:spacing w:after="0" w:line="240" w:lineRule="auto"/>
              <w:jc w:val="center"/>
              <w:rPr>
                <w:rFonts w:ascii="Times New Roman" w:hAnsi="Times New Roman"/>
                <w:sz w:val="24"/>
                <w:szCs w:val="24"/>
                <w:lang w:val="kk-KZ" w:eastAsia="en-US"/>
              </w:rPr>
            </w:pPr>
            <w:r w:rsidRPr="00145B66">
              <w:rPr>
                <w:rFonts w:ascii="Times New Roman" w:hAnsi="Times New Roman"/>
                <w:sz w:val="24"/>
                <w:szCs w:val="24"/>
                <w:lang w:val="kk-KZ" w:eastAsia="en-US"/>
              </w:rPr>
              <w:t>5,211</w:t>
            </w:r>
          </w:p>
        </w:tc>
      </w:tr>
      <w:tr w:rsidR="00A9409C" w:rsidRPr="00145B66" w14:paraId="2AF8C1C1" w14:textId="77777777" w:rsidTr="00094F6F">
        <w:trPr>
          <w:jc w:val="center"/>
        </w:trPr>
        <w:tc>
          <w:tcPr>
            <w:tcW w:w="9639" w:type="dxa"/>
            <w:gridSpan w:val="12"/>
            <w:tcBorders>
              <w:top w:val="single" w:sz="4" w:space="0" w:color="auto"/>
              <w:left w:val="single" w:sz="4" w:space="0" w:color="auto"/>
              <w:bottom w:val="single" w:sz="4" w:space="0" w:color="auto"/>
              <w:right w:val="single" w:sz="4" w:space="0" w:color="auto"/>
            </w:tcBorders>
            <w:vAlign w:val="center"/>
          </w:tcPr>
          <w:p w14:paraId="531D6D59"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Гистологический тип рака</w:t>
            </w:r>
          </w:p>
        </w:tc>
      </w:tr>
      <w:tr w:rsidR="00A9409C" w:rsidRPr="00145B66" w14:paraId="4F2D902A" w14:textId="77777777" w:rsidTr="00094F6F">
        <w:trPr>
          <w:jc w:val="center"/>
        </w:trPr>
        <w:tc>
          <w:tcPr>
            <w:tcW w:w="2689" w:type="dxa"/>
            <w:tcBorders>
              <w:top w:val="single" w:sz="4" w:space="0" w:color="auto"/>
              <w:left w:val="single" w:sz="4" w:space="0" w:color="auto"/>
              <w:bottom w:val="single" w:sz="4" w:space="0" w:color="auto"/>
              <w:right w:val="single" w:sz="4" w:space="0" w:color="auto"/>
            </w:tcBorders>
            <w:vAlign w:val="center"/>
          </w:tcPr>
          <w:p w14:paraId="242DDB76" w14:textId="77777777" w:rsidR="00A9409C" w:rsidRPr="0000621F" w:rsidRDefault="00A9409C" w:rsidP="00094F6F">
            <w:pPr>
              <w:tabs>
                <w:tab w:val="left" w:pos="0"/>
              </w:tabs>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Аденокарцинома</w:t>
            </w:r>
          </w:p>
        </w:tc>
        <w:tc>
          <w:tcPr>
            <w:tcW w:w="1021" w:type="dxa"/>
            <w:tcBorders>
              <w:top w:val="single" w:sz="4" w:space="0" w:color="auto"/>
              <w:left w:val="single" w:sz="4" w:space="0" w:color="auto"/>
              <w:bottom w:val="single" w:sz="4" w:space="0" w:color="auto"/>
              <w:right w:val="single" w:sz="4" w:space="0" w:color="auto"/>
            </w:tcBorders>
            <w:vAlign w:val="center"/>
          </w:tcPr>
          <w:p w14:paraId="0E49094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1,412</w:t>
            </w:r>
          </w:p>
        </w:tc>
        <w:tc>
          <w:tcPr>
            <w:tcW w:w="840" w:type="dxa"/>
            <w:gridSpan w:val="3"/>
            <w:tcBorders>
              <w:top w:val="single" w:sz="4" w:space="0" w:color="auto"/>
              <w:left w:val="single" w:sz="4" w:space="0" w:color="auto"/>
              <w:bottom w:val="single" w:sz="4" w:space="0" w:color="auto"/>
              <w:right w:val="single" w:sz="4" w:space="0" w:color="auto"/>
            </w:tcBorders>
            <w:vAlign w:val="center"/>
          </w:tcPr>
          <w:p w14:paraId="22F4856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0,841</w:t>
            </w:r>
          </w:p>
        </w:tc>
        <w:tc>
          <w:tcPr>
            <w:tcW w:w="812" w:type="dxa"/>
            <w:tcBorders>
              <w:top w:val="single" w:sz="4" w:space="0" w:color="auto"/>
              <w:left w:val="single" w:sz="4" w:space="0" w:color="auto"/>
              <w:bottom w:val="single" w:sz="4" w:space="0" w:color="auto"/>
              <w:right w:val="single" w:sz="4" w:space="0" w:color="auto"/>
            </w:tcBorders>
            <w:vAlign w:val="center"/>
          </w:tcPr>
          <w:p w14:paraId="19ADF61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8,643</w:t>
            </w:r>
          </w:p>
        </w:tc>
        <w:tc>
          <w:tcPr>
            <w:tcW w:w="489" w:type="dxa"/>
            <w:tcBorders>
              <w:top w:val="single" w:sz="4" w:space="0" w:color="auto"/>
              <w:left w:val="single" w:sz="4" w:space="0" w:color="auto"/>
              <w:bottom w:val="single" w:sz="4" w:space="0" w:color="auto"/>
              <w:right w:val="single" w:sz="4" w:space="0" w:color="auto"/>
            </w:tcBorders>
            <w:vAlign w:val="center"/>
          </w:tcPr>
          <w:p w14:paraId="41C6A30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7C681E3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0,732</w:t>
            </w:r>
          </w:p>
        </w:tc>
        <w:tc>
          <w:tcPr>
            <w:tcW w:w="910" w:type="dxa"/>
            <w:tcBorders>
              <w:top w:val="single" w:sz="4" w:space="0" w:color="auto"/>
              <w:left w:val="single" w:sz="4" w:space="0" w:color="auto"/>
              <w:bottom w:val="single" w:sz="4" w:space="0" w:color="auto"/>
              <w:right w:val="single" w:sz="4" w:space="0" w:color="auto"/>
            </w:tcBorders>
            <w:vAlign w:val="center"/>
          </w:tcPr>
          <w:p w14:paraId="415D62A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0,871</w:t>
            </w:r>
          </w:p>
        </w:tc>
        <w:tc>
          <w:tcPr>
            <w:tcW w:w="1008" w:type="dxa"/>
            <w:gridSpan w:val="2"/>
            <w:tcBorders>
              <w:top w:val="single" w:sz="4" w:space="0" w:color="auto"/>
              <w:left w:val="single" w:sz="4" w:space="0" w:color="auto"/>
              <w:bottom w:val="single" w:sz="4" w:space="0" w:color="auto"/>
              <w:right w:val="single" w:sz="4" w:space="0" w:color="auto"/>
            </w:tcBorders>
            <w:vAlign w:val="center"/>
          </w:tcPr>
          <w:p w14:paraId="369D8B3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0,541</w:t>
            </w:r>
          </w:p>
        </w:tc>
        <w:tc>
          <w:tcPr>
            <w:tcW w:w="1030" w:type="dxa"/>
            <w:tcBorders>
              <w:top w:val="single" w:sz="4" w:space="0" w:color="auto"/>
              <w:left w:val="single" w:sz="4" w:space="0" w:color="auto"/>
              <w:bottom w:val="single" w:sz="4" w:space="0" w:color="auto"/>
              <w:right w:val="single" w:sz="4" w:space="0" w:color="auto"/>
            </w:tcBorders>
            <w:vAlign w:val="center"/>
          </w:tcPr>
          <w:p w14:paraId="54F17BF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9,842</w:t>
            </w:r>
          </w:p>
        </w:tc>
      </w:tr>
      <w:tr w:rsidR="00A9409C" w:rsidRPr="00145B66" w14:paraId="41113904" w14:textId="77777777" w:rsidTr="00094F6F">
        <w:trPr>
          <w:jc w:val="center"/>
        </w:trPr>
        <w:tc>
          <w:tcPr>
            <w:tcW w:w="2689" w:type="dxa"/>
            <w:tcBorders>
              <w:top w:val="single" w:sz="4" w:space="0" w:color="auto"/>
              <w:left w:val="single" w:sz="4" w:space="0" w:color="auto"/>
              <w:right w:val="single" w:sz="4" w:space="0" w:color="auto"/>
            </w:tcBorders>
            <w:vAlign w:val="center"/>
            <w:hideMark/>
          </w:tcPr>
          <w:p w14:paraId="22008881" w14:textId="77777777" w:rsidR="00A9409C" w:rsidRPr="0000621F" w:rsidRDefault="00A9409C" w:rsidP="00094F6F">
            <w:pPr>
              <w:tabs>
                <w:tab w:val="left" w:pos="0"/>
              </w:tabs>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Перстневидно-клеточная карцинома</w:t>
            </w:r>
          </w:p>
        </w:tc>
        <w:tc>
          <w:tcPr>
            <w:tcW w:w="1021" w:type="dxa"/>
            <w:tcBorders>
              <w:top w:val="single" w:sz="4" w:space="0" w:color="auto"/>
              <w:left w:val="single" w:sz="4" w:space="0" w:color="auto"/>
              <w:right w:val="single" w:sz="4" w:space="0" w:color="auto"/>
            </w:tcBorders>
            <w:vAlign w:val="center"/>
          </w:tcPr>
          <w:p w14:paraId="0981904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1,814</w:t>
            </w:r>
          </w:p>
        </w:tc>
        <w:tc>
          <w:tcPr>
            <w:tcW w:w="840" w:type="dxa"/>
            <w:gridSpan w:val="3"/>
            <w:tcBorders>
              <w:top w:val="single" w:sz="4" w:space="0" w:color="auto"/>
              <w:left w:val="single" w:sz="4" w:space="0" w:color="auto"/>
              <w:right w:val="single" w:sz="4" w:space="0" w:color="auto"/>
            </w:tcBorders>
            <w:vAlign w:val="center"/>
          </w:tcPr>
          <w:p w14:paraId="4A88142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0,561</w:t>
            </w:r>
          </w:p>
        </w:tc>
        <w:tc>
          <w:tcPr>
            <w:tcW w:w="812" w:type="dxa"/>
            <w:tcBorders>
              <w:top w:val="single" w:sz="4" w:space="0" w:color="auto"/>
              <w:left w:val="single" w:sz="4" w:space="0" w:color="auto"/>
              <w:right w:val="single" w:sz="4" w:space="0" w:color="auto"/>
            </w:tcBorders>
            <w:vAlign w:val="center"/>
          </w:tcPr>
          <w:p w14:paraId="617B319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4,846</w:t>
            </w:r>
          </w:p>
        </w:tc>
        <w:tc>
          <w:tcPr>
            <w:tcW w:w="489" w:type="dxa"/>
            <w:tcBorders>
              <w:top w:val="single" w:sz="4" w:space="0" w:color="auto"/>
              <w:left w:val="single" w:sz="4" w:space="0" w:color="auto"/>
              <w:right w:val="single" w:sz="4" w:space="0" w:color="auto"/>
            </w:tcBorders>
            <w:vAlign w:val="center"/>
          </w:tcPr>
          <w:p w14:paraId="4E2ADBA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right w:val="single" w:sz="4" w:space="0" w:color="auto"/>
            </w:tcBorders>
            <w:vAlign w:val="center"/>
          </w:tcPr>
          <w:p w14:paraId="5D3A69E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0,714</w:t>
            </w:r>
          </w:p>
        </w:tc>
        <w:tc>
          <w:tcPr>
            <w:tcW w:w="910" w:type="dxa"/>
            <w:tcBorders>
              <w:top w:val="single" w:sz="4" w:space="0" w:color="auto"/>
              <w:left w:val="single" w:sz="4" w:space="0" w:color="auto"/>
              <w:right w:val="single" w:sz="4" w:space="0" w:color="auto"/>
            </w:tcBorders>
            <w:vAlign w:val="center"/>
          </w:tcPr>
          <w:p w14:paraId="24FE2FB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0,484</w:t>
            </w:r>
          </w:p>
        </w:tc>
        <w:tc>
          <w:tcPr>
            <w:tcW w:w="1008" w:type="dxa"/>
            <w:gridSpan w:val="2"/>
            <w:tcBorders>
              <w:top w:val="single" w:sz="4" w:space="0" w:color="auto"/>
              <w:left w:val="single" w:sz="4" w:space="0" w:color="auto"/>
              <w:right w:val="single" w:sz="4" w:space="0" w:color="auto"/>
            </w:tcBorders>
            <w:vAlign w:val="center"/>
          </w:tcPr>
          <w:p w14:paraId="4678728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0,032</w:t>
            </w:r>
          </w:p>
        </w:tc>
        <w:tc>
          <w:tcPr>
            <w:tcW w:w="1030" w:type="dxa"/>
            <w:tcBorders>
              <w:top w:val="single" w:sz="4" w:space="0" w:color="auto"/>
              <w:left w:val="single" w:sz="4" w:space="0" w:color="auto"/>
              <w:right w:val="single" w:sz="4" w:space="0" w:color="auto"/>
            </w:tcBorders>
            <w:vAlign w:val="center"/>
          </w:tcPr>
          <w:p w14:paraId="15CEFEC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6,411</w:t>
            </w:r>
          </w:p>
        </w:tc>
      </w:tr>
      <w:tr w:rsidR="00A9409C" w:rsidRPr="00145B66" w14:paraId="121394E2" w14:textId="77777777" w:rsidTr="00094F6F">
        <w:trPr>
          <w:jc w:val="center"/>
        </w:trPr>
        <w:tc>
          <w:tcPr>
            <w:tcW w:w="2689" w:type="dxa"/>
            <w:tcBorders>
              <w:top w:val="single" w:sz="4" w:space="0" w:color="auto"/>
              <w:left w:val="single" w:sz="4" w:space="0" w:color="auto"/>
              <w:right w:val="single" w:sz="4" w:space="0" w:color="auto"/>
            </w:tcBorders>
            <w:vAlign w:val="center"/>
            <w:hideMark/>
          </w:tcPr>
          <w:p w14:paraId="4CC519AE" w14:textId="77777777" w:rsidR="00A9409C" w:rsidRPr="0000621F" w:rsidRDefault="00A9409C" w:rsidP="00094F6F">
            <w:pPr>
              <w:tabs>
                <w:tab w:val="left" w:pos="0"/>
              </w:tabs>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Недифференцированная карцинома</w:t>
            </w:r>
          </w:p>
        </w:tc>
        <w:tc>
          <w:tcPr>
            <w:tcW w:w="1021" w:type="dxa"/>
            <w:tcBorders>
              <w:top w:val="single" w:sz="4" w:space="0" w:color="auto"/>
              <w:left w:val="single" w:sz="4" w:space="0" w:color="auto"/>
              <w:right w:val="single" w:sz="4" w:space="0" w:color="auto"/>
            </w:tcBorders>
            <w:vAlign w:val="center"/>
          </w:tcPr>
          <w:p w14:paraId="4077102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0,731</w:t>
            </w:r>
          </w:p>
        </w:tc>
        <w:tc>
          <w:tcPr>
            <w:tcW w:w="840" w:type="dxa"/>
            <w:gridSpan w:val="3"/>
            <w:tcBorders>
              <w:top w:val="single" w:sz="4" w:space="0" w:color="auto"/>
              <w:left w:val="single" w:sz="4" w:space="0" w:color="auto"/>
              <w:right w:val="single" w:sz="4" w:space="0" w:color="auto"/>
            </w:tcBorders>
            <w:vAlign w:val="center"/>
          </w:tcPr>
          <w:p w14:paraId="32B2E61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0,322</w:t>
            </w:r>
          </w:p>
        </w:tc>
        <w:tc>
          <w:tcPr>
            <w:tcW w:w="812" w:type="dxa"/>
            <w:tcBorders>
              <w:top w:val="single" w:sz="4" w:space="0" w:color="auto"/>
              <w:left w:val="single" w:sz="4" w:space="0" w:color="auto"/>
              <w:right w:val="single" w:sz="4" w:space="0" w:color="auto"/>
            </w:tcBorders>
            <w:vAlign w:val="center"/>
          </w:tcPr>
          <w:p w14:paraId="1431858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8,411</w:t>
            </w:r>
          </w:p>
        </w:tc>
        <w:tc>
          <w:tcPr>
            <w:tcW w:w="489" w:type="dxa"/>
            <w:tcBorders>
              <w:top w:val="single" w:sz="4" w:space="0" w:color="auto"/>
              <w:left w:val="single" w:sz="4" w:space="0" w:color="auto"/>
              <w:right w:val="single" w:sz="4" w:space="0" w:color="auto"/>
            </w:tcBorders>
            <w:vAlign w:val="center"/>
          </w:tcPr>
          <w:p w14:paraId="4ADC53F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right w:val="single" w:sz="4" w:space="0" w:color="auto"/>
            </w:tcBorders>
            <w:vAlign w:val="center"/>
          </w:tcPr>
          <w:p w14:paraId="018E5FB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0,078</w:t>
            </w:r>
          </w:p>
        </w:tc>
        <w:tc>
          <w:tcPr>
            <w:tcW w:w="910" w:type="dxa"/>
            <w:tcBorders>
              <w:top w:val="single" w:sz="4" w:space="0" w:color="auto"/>
              <w:left w:val="single" w:sz="4" w:space="0" w:color="auto"/>
              <w:right w:val="single" w:sz="4" w:space="0" w:color="auto"/>
            </w:tcBorders>
            <w:vAlign w:val="center"/>
          </w:tcPr>
          <w:p w14:paraId="4DF9897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2,311</w:t>
            </w:r>
          </w:p>
        </w:tc>
        <w:tc>
          <w:tcPr>
            <w:tcW w:w="1008" w:type="dxa"/>
            <w:gridSpan w:val="2"/>
            <w:tcBorders>
              <w:top w:val="single" w:sz="4" w:space="0" w:color="auto"/>
              <w:left w:val="single" w:sz="4" w:space="0" w:color="auto"/>
              <w:right w:val="single" w:sz="4" w:space="0" w:color="auto"/>
            </w:tcBorders>
            <w:vAlign w:val="center"/>
          </w:tcPr>
          <w:p w14:paraId="791AE88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0,785</w:t>
            </w:r>
          </w:p>
        </w:tc>
        <w:tc>
          <w:tcPr>
            <w:tcW w:w="1030" w:type="dxa"/>
            <w:tcBorders>
              <w:top w:val="single" w:sz="4" w:space="0" w:color="auto"/>
              <w:left w:val="single" w:sz="4" w:space="0" w:color="auto"/>
              <w:right w:val="single" w:sz="4" w:space="0" w:color="auto"/>
            </w:tcBorders>
            <w:vAlign w:val="center"/>
          </w:tcPr>
          <w:p w14:paraId="1858647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4,632</w:t>
            </w:r>
          </w:p>
        </w:tc>
      </w:tr>
      <w:tr w:rsidR="00A9409C" w:rsidRPr="00145B66" w14:paraId="77B52F3C" w14:textId="77777777" w:rsidTr="00094F6F">
        <w:trPr>
          <w:jc w:val="center"/>
        </w:trPr>
        <w:tc>
          <w:tcPr>
            <w:tcW w:w="9639" w:type="dxa"/>
            <w:gridSpan w:val="12"/>
            <w:tcBorders>
              <w:top w:val="single" w:sz="4" w:space="0" w:color="auto"/>
              <w:left w:val="single" w:sz="4" w:space="0" w:color="auto"/>
              <w:bottom w:val="single" w:sz="4" w:space="0" w:color="auto"/>
              <w:right w:val="single" w:sz="4" w:space="0" w:color="auto"/>
            </w:tcBorders>
            <w:vAlign w:val="center"/>
          </w:tcPr>
          <w:p w14:paraId="14435F8C"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Степень дифференцировки</w:t>
            </w:r>
          </w:p>
        </w:tc>
      </w:tr>
      <w:tr w:rsidR="00A9409C" w:rsidRPr="00145B66" w14:paraId="6B04E574" w14:textId="77777777" w:rsidTr="00094F6F">
        <w:trPr>
          <w:jc w:val="center"/>
        </w:trPr>
        <w:tc>
          <w:tcPr>
            <w:tcW w:w="2689" w:type="dxa"/>
            <w:tcBorders>
              <w:top w:val="single" w:sz="4" w:space="0" w:color="auto"/>
              <w:left w:val="single" w:sz="4" w:space="0" w:color="auto"/>
              <w:bottom w:val="single" w:sz="4" w:space="0" w:color="auto"/>
              <w:right w:val="single" w:sz="4" w:space="0" w:color="auto"/>
            </w:tcBorders>
            <w:vAlign w:val="center"/>
          </w:tcPr>
          <w:p w14:paraId="7CE20588" w14:textId="77777777" w:rsidR="00A9409C" w:rsidRPr="0000621F" w:rsidRDefault="00A9409C" w:rsidP="00094F6F">
            <w:pPr>
              <w:spacing w:after="0" w:line="240" w:lineRule="auto"/>
              <w:rPr>
                <w:rFonts w:ascii="Times New Roman" w:hAnsi="Times New Roman"/>
                <w:bCs/>
                <w:i/>
                <w:iCs/>
                <w:sz w:val="24"/>
                <w:szCs w:val="24"/>
                <w:lang w:eastAsia="en-US"/>
              </w:rPr>
            </w:pPr>
            <w:r w:rsidRPr="0000621F">
              <w:rPr>
                <w:rFonts w:ascii="Times New Roman" w:hAnsi="Times New Roman"/>
                <w:bCs/>
                <w:i/>
                <w:iCs/>
                <w:sz w:val="24"/>
                <w:szCs w:val="24"/>
                <w:lang w:eastAsia="en-US"/>
              </w:rPr>
              <w:t xml:space="preserve">Низкая </w:t>
            </w:r>
          </w:p>
        </w:tc>
        <w:tc>
          <w:tcPr>
            <w:tcW w:w="1021" w:type="dxa"/>
            <w:tcBorders>
              <w:top w:val="single" w:sz="4" w:space="0" w:color="auto"/>
              <w:left w:val="single" w:sz="4" w:space="0" w:color="auto"/>
              <w:bottom w:val="single" w:sz="4" w:space="0" w:color="auto"/>
              <w:right w:val="single" w:sz="4" w:space="0" w:color="auto"/>
            </w:tcBorders>
            <w:vAlign w:val="center"/>
          </w:tcPr>
          <w:p w14:paraId="05FB329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1,765</w:t>
            </w:r>
          </w:p>
        </w:tc>
        <w:tc>
          <w:tcPr>
            <w:tcW w:w="840" w:type="dxa"/>
            <w:gridSpan w:val="3"/>
            <w:tcBorders>
              <w:top w:val="single" w:sz="4" w:space="0" w:color="auto"/>
              <w:left w:val="single" w:sz="4" w:space="0" w:color="auto"/>
              <w:bottom w:val="single" w:sz="4" w:space="0" w:color="auto"/>
              <w:right w:val="single" w:sz="4" w:space="0" w:color="auto"/>
            </w:tcBorders>
            <w:vAlign w:val="center"/>
          </w:tcPr>
          <w:p w14:paraId="10D15C6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0,389</w:t>
            </w:r>
          </w:p>
        </w:tc>
        <w:tc>
          <w:tcPr>
            <w:tcW w:w="812" w:type="dxa"/>
            <w:tcBorders>
              <w:top w:val="single" w:sz="4" w:space="0" w:color="auto"/>
              <w:left w:val="single" w:sz="4" w:space="0" w:color="auto"/>
              <w:bottom w:val="single" w:sz="4" w:space="0" w:color="auto"/>
              <w:right w:val="single" w:sz="4" w:space="0" w:color="auto"/>
            </w:tcBorders>
            <w:vAlign w:val="center"/>
          </w:tcPr>
          <w:p w14:paraId="4AD3553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5,625</w:t>
            </w:r>
          </w:p>
        </w:tc>
        <w:tc>
          <w:tcPr>
            <w:tcW w:w="489" w:type="dxa"/>
            <w:tcBorders>
              <w:top w:val="single" w:sz="4" w:space="0" w:color="auto"/>
              <w:left w:val="single" w:sz="4" w:space="0" w:color="auto"/>
              <w:bottom w:val="single" w:sz="4" w:space="0" w:color="auto"/>
              <w:right w:val="single" w:sz="4" w:space="0" w:color="auto"/>
            </w:tcBorders>
            <w:vAlign w:val="center"/>
          </w:tcPr>
          <w:p w14:paraId="2879828A"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5891B442" w14:textId="77777777" w:rsidR="00A9409C" w:rsidRPr="0000621F" w:rsidRDefault="00A9409C" w:rsidP="00094F6F">
            <w:pPr>
              <w:tabs>
                <w:tab w:val="left" w:pos="0"/>
              </w:tabs>
              <w:spacing w:after="0" w:line="240" w:lineRule="auto"/>
              <w:jc w:val="center"/>
              <w:rPr>
                <w:rFonts w:ascii="Times New Roman" w:hAnsi="Times New Roman"/>
                <w:b/>
                <w:bCs/>
                <w:sz w:val="24"/>
                <w:szCs w:val="24"/>
                <w:lang w:eastAsia="en-US"/>
              </w:rPr>
            </w:pPr>
            <w:r w:rsidRPr="0000621F">
              <w:rPr>
                <w:rFonts w:ascii="Times New Roman" w:hAnsi="Times New Roman"/>
                <w:b/>
                <w:bCs/>
                <w:sz w:val="24"/>
                <w:szCs w:val="24"/>
                <w:lang w:eastAsia="en-US"/>
              </w:rPr>
              <w:t>0,028</w:t>
            </w:r>
          </w:p>
        </w:tc>
        <w:tc>
          <w:tcPr>
            <w:tcW w:w="924" w:type="dxa"/>
            <w:gridSpan w:val="2"/>
            <w:tcBorders>
              <w:top w:val="single" w:sz="4" w:space="0" w:color="auto"/>
              <w:left w:val="single" w:sz="4" w:space="0" w:color="auto"/>
              <w:bottom w:val="single" w:sz="4" w:space="0" w:color="auto"/>
              <w:right w:val="single" w:sz="4" w:space="0" w:color="auto"/>
            </w:tcBorders>
            <w:vAlign w:val="center"/>
          </w:tcPr>
          <w:p w14:paraId="68BD36C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3,281</w:t>
            </w:r>
          </w:p>
        </w:tc>
        <w:tc>
          <w:tcPr>
            <w:tcW w:w="994" w:type="dxa"/>
            <w:tcBorders>
              <w:top w:val="single" w:sz="4" w:space="0" w:color="auto"/>
              <w:left w:val="single" w:sz="4" w:space="0" w:color="auto"/>
              <w:bottom w:val="single" w:sz="4" w:space="0" w:color="auto"/>
              <w:right w:val="single" w:sz="4" w:space="0" w:color="auto"/>
            </w:tcBorders>
            <w:vAlign w:val="center"/>
          </w:tcPr>
          <w:p w14:paraId="3DEBFC6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1,426</w:t>
            </w:r>
          </w:p>
        </w:tc>
        <w:tc>
          <w:tcPr>
            <w:tcW w:w="1030" w:type="dxa"/>
            <w:tcBorders>
              <w:top w:val="single" w:sz="4" w:space="0" w:color="auto"/>
              <w:left w:val="single" w:sz="4" w:space="0" w:color="auto"/>
              <w:bottom w:val="single" w:sz="4" w:space="0" w:color="auto"/>
              <w:right w:val="single" w:sz="4" w:space="0" w:color="auto"/>
            </w:tcBorders>
            <w:vAlign w:val="center"/>
          </w:tcPr>
          <w:p w14:paraId="213E385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2,549</w:t>
            </w:r>
          </w:p>
        </w:tc>
      </w:tr>
      <w:tr w:rsidR="00A9409C" w:rsidRPr="00145B66" w14:paraId="101F2BA4" w14:textId="77777777" w:rsidTr="00094F6F">
        <w:trPr>
          <w:jc w:val="center"/>
        </w:trPr>
        <w:tc>
          <w:tcPr>
            <w:tcW w:w="2689" w:type="dxa"/>
            <w:tcBorders>
              <w:top w:val="single" w:sz="4" w:space="0" w:color="auto"/>
              <w:left w:val="single" w:sz="4" w:space="0" w:color="auto"/>
              <w:bottom w:val="single" w:sz="4" w:space="0" w:color="auto"/>
              <w:right w:val="single" w:sz="4" w:space="0" w:color="auto"/>
            </w:tcBorders>
            <w:vAlign w:val="center"/>
          </w:tcPr>
          <w:p w14:paraId="35E390A5" w14:textId="77777777" w:rsidR="00A9409C" w:rsidRPr="0000621F" w:rsidRDefault="00A9409C" w:rsidP="00094F6F">
            <w:pPr>
              <w:spacing w:after="0" w:line="240" w:lineRule="auto"/>
              <w:rPr>
                <w:rFonts w:ascii="Times New Roman" w:hAnsi="Times New Roman"/>
                <w:bCs/>
                <w:i/>
                <w:iCs/>
                <w:sz w:val="24"/>
                <w:szCs w:val="24"/>
                <w:lang w:eastAsia="en-US"/>
              </w:rPr>
            </w:pPr>
            <w:r w:rsidRPr="0000621F">
              <w:rPr>
                <w:rFonts w:ascii="Times New Roman" w:hAnsi="Times New Roman"/>
                <w:bCs/>
                <w:i/>
                <w:iCs/>
                <w:sz w:val="24"/>
                <w:szCs w:val="24"/>
                <w:lang w:eastAsia="en-US"/>
              </w:rPr>
              <w:t xml:space="preserve">Высокая </w:t>
            </w:r>
          </w:p>
        </w:tc>
        <w:tc>
          <w:tcPr>
            <w:tcW w:w="1021" w:type="dxa"/>
            <w:tcBorders>
              <w:top w:val="single" w:sz="4" w:space="0" w:color="auto"/>
              <w:left w:val="single" w:sz="4" w:space="0" w:color="auto"/>
              <w:bottom w:val="single" w:sz="4" w:space="0" w:color="auto"/>
              <w:right w:val="single" w:sz="4" w:space="0" w:color="auto"/>
            </w:tcBorders>
            <w:vAlign w:val="center"/>
          </w:tcPr>
          <w:p w14:paraId="7630ED5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4,841</w:t>
            </w:r>
          </w:p>
        </w:tc>
        <w:tc>
          <w:tcPr>
            <w:tcW w:w="840" w:type="dxa"/>
            <w:gridSpan w:val="3"/>
            <w:tcBorders>
              <w:top w:val="single" w:sz="4" w:space="0" w:color="auto"/>
              <w:left w:val="single" w:sz="4" w:space="0" w:color="auto"/>
              <w:bottom w:val="single" w:sz="4" w:space="0" w:color="auto"/>
              <w:right w:val="single" w:sz="4" w:space="0" w:color="auto"/>
            </w:tcBorders>
            <w:vAlign w:val="center"/>
          </w:tcPr>
          <w:p w14:paraId="4E0F30C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0,862</w:t>
            </w:r>
          </w:p>
        </w:tc>
        <w:tc>
          <w:tcPr>
            <w:tcW w:w="812" w:type="dxa"/>
            <w:tcBorders>
              <w:top w:val="single" w:sz="4" w:space="0" w:color="auto"/>
              <w:left w:val="single" w:sz="4" w:space="0" w:color="auto"/>
              <w:bottom w:val="single" w:sz="4" w:space="0" w:color="auto"/>
              <w:right w:val="single" w:sz="4" w:space="0" w:color="auto"/>
            </w:tcBorders>
            <w:vAlign w:val="center"/>
          </w:tcPr>
          <w:p w14:paraId="37CEFF1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5411</w:t>
            </w:r>
          </w:p>
        </w:tc>
        <w:tc>
          <w:tcPr>
            <w:tcW w:w="489" w:type="dxa"/>
            <w:tcBorders>
              <w:top w:val="single" w:sz="4" w:space="0" w:color="auto"/>
              <w:left w:val="single" w:sz="4" w:space="0" w:color="auto"/>
              <w:bottom w:val="single" w:sz="4" w:space="0" w:color="auto"/>
              <w:right w:val="single" w:sz="4" w:space="0" w:color="auto"/>
            </w:tcBorders>
            <w:vAlign w:val="center"/>
          </w:tcPr>
          <w:p w14:paraId="1B1BC83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13DC3FF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1,341</w:t>
            </w:r>
          </w:p>
        </w:tc>
        <w:tc>
          <w:tcPr>
            <w:tcW w:w="924" w:type="dxa"/>
            <w:gridSpan w:val="2"/>
            <w:tcBorders>
              <w:top w:val="single" w:sz="4" w:space="0" w:color="auto"/>
              <w:left w:val="single" w:sz="4" w:space="0" w:color="auto"/>
              <w:bottom w:val="single" w:sz="4" w:space="0" w:color="auto"/>
              <w:right w:val="single" w:sz="4" w:space="0" w:color="auto"/>
            </w:tcBorders>
            <w:vAlign w:val="center"/>
          </w:tcPr>
          <w:p w14:paraId="038FC99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0,981</w:t>
            </w:r>
          </w:p>
        </w:tc>
        <w:tc>
          <w:tcPr>
            <w:tcW w:w="994" w:type="dxa"/>
            <w:tcBorders>
              <w:top w:val="single" w:sz="4" w:space="0" w:color="auto"/>
              <w:left w:val="single" w:sz="4" w:space="0" w:color="auto"/>
              <w:bottom w:val="single" w:sz="4" w:space="0" w:color="auto"/>
              <w:right w:val="single" w:sz="4" w:space="0" w:color="auto"/>
            </w:tcBorders>
            <w:vAlign w:val="center"/>
          </w:tcPr>
          <w:p w14:paraId="3E35894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0,461</w:t>
            </w:r>
          </w:p>
        </w:tc>
        <w:tc>
          <w:tcPr>
            <w:tcW w:w="1030" w:type="dxa"/>
            <w:tcBorders>
              <w:top w:val="single" w:sz="4" w:space="0" w:color="auto"/>
              <w:left w:val="single" w:sz="4" w:space="0" w:color="auto"/>
              <w:bottom w:val="single" w:sz="4" w:space="0" w:color="auto"/>
              <w:right w:val="single" w:sz="4" w:space="0" w:color="auto"/>
            </w:tcBorders>
            <w:vAlign w:val="center"/>
          </w:tcPr>
          <w:p w14:paraId="26E090C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4,115</w:t>
            </w:r>
          </w:p>
        </w:tc>
      </w:tr>
      <w:tr w:rsidR="00A9409C" w:rsidRPr="00145B66" w14:paraId="400DDC40" w14:textId="77777777" w:rsidTr="00094F6F">
        <w:trPr>
          <w:jc w:val="center"/>
        </w:trPr>
        <w:tc>
          <w:tcPr>
            <w:tcW w:w="9639" w:type="dxa"/>
            <w:gridSpan w:val="12"/>
            <w:tcBorders>
              <w:top w:val="single" w:sz="4" w:space="0" w:color="auto"/>
              <w:left w:val="single" w:sz="4" w:space="0" w:color="auto"/>
              <w:bottom w:val="single" w:sz="4" w:space="0" w:color="auto"/>
              <w:right w:val="single" w:sz="4" w:space="0" w:color="auto"/>
            </w:tcBorders>
            <w:vAlign w:val="center"/>
          </w:tcPr>
          <w:p w14:paraId="16D9E409"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Локализация рака</w:t>
            </w:r>
          </w:p>
        </w:tc>
      </w:tr>
      <w:tr w:rsidR="00A9409C" w:rsidRPr="00145B66" w14:paraId="5F2D56E2" w14:textId="77777777" w:rsidTr="00094F6F">
        <w:trPr>
          <w:jc w:val="center"/>
        </w:trPr>
        <w:tc>
          <w:tcPr>
            <w:tcW w:w="2689" w:type="dxa"/>
            <w:tcBorders>
              <w:top w:val="single" w:sz="4" w:space="0" w:color="auto"/>
              <w:left w:val="single" w:sz="4" w:space="0" w:color="auto"/>
              <w:bottom w:val="single" w:sz="4" w:space="0" w:color="auto"/>
              <w:right w:val="single" w:sz="4" w:space="0" w:color="auto"/>
            </w:tcBorders>
            <w:vAlign w:val="center"/>
          </w:tcPr>
          <w:p w14:paraId="6EC758D1" w14:textId="77777777" w:rsidR="00A9409C" w:rsidRPr="0000621F" w:rsidRDefault="00A9409C" w:rsidP="00094F6F">
            <w:pPr>
              <w:spacing w:after="0" w:line="240" w:lineRule="auto"/>
              <w:rPr>
                <w:rFonts w:ascii="Times New Roman" w:hAnsi="Times New Roman"/>
                <w:bCs/>
                <w:i/>
                <w:iCs/>
                <w:sz w:val="24"/>
                <w:szCs w:val="24"/>
                <w:lang w:eastAsia="en-US"/>
              </w:rPr>
            </w:pPr>
            <w:r w:rsidRPr="0000621F">
              <w:rPr>
                <w:rFonts w:ascii="Times New Roman" w:hAnsi="Times New Roman"/>
                <w:bCs/>
                <w:i/>
                <w:iCs/>
                <w:sz w:val="24"/>
                <w:szCs w:val="24"/>
                <w:lang w:eastAsia="en-US"/>
              </w:rPr>
              <w:t>Восходящая ободочная кишка</w:t>
            </w:r>
          </w:p>
        </w:tc>
        <w:tc>
          <w:tcPr>
            <w:tcW w:w="1021" w:type="dxa"/>
            <w:tcBorders>
              <w:top w:val="single" w:sz="4" w:space="0" w:color="auto"/>
              <w:left w:val="single" w:sz="4" w:space="0" w:color="auto"/>
              <w:bottom w:val="single" w:sz="4" w:space="0" w:color="auto"/>
              <w:right w:val="single" w:sz="4" w:space="0" w:color="auto"/>
            </w:tcBorders>
            <w:vAlign w:val="center"/>
          </w:tcPr>
          <w:p w14:paraId="70A7346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4,331</w:t>
            </w:r>
          </w:p>
        </w:tc>
        <w:tc>
          <w:tcPr>
            <w:tcW w:w="840" w:type="dxa"/>
            <w:gridSpan w:val="3"/>
            <w:tcBorders>
              <w:top w:val="single" w:sz="4" w:space="0" w:color="auto"/>
              <w:left w:val="single" w:sz="4" w:space="0" w:color="auto"/>
              <w:bottom w:val="single" w:sz="4" w:space="0" w:color="auto"/>
              <w:right w:val="single" w:sz="4" w:space="0" w:color="auto"/>
            </w:tcBorders>
            <w:vAlign w:val="center"/>
          </w:tcPr>
          <w:p w14:paraId="59920B3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0,895</w:t>
            </w:r>
          </w:p>
        </w:tc>
        <w:tc>
          <w:tcPr>
            <w:tcW w:w="812" w:type="dxa"/>
            <w:tcBorders>
              <w:top w:val="single" w:sz="4" w:space="0" w:color="auto"/>
              <w:left w:val="single" w:sz="4" w:space="0" w:color="auto"/>
              <w:bottom w:val="single" w:sz="4" w:space="0" w:color="auto"/>
              <w:right w:val="single" w:sz="4" w:space="0" w:color="auto"/>
            </w:tcBorders>
            <w:vAlign w:val="center"/>
          </w:tcPr>
          <w:p w14:paraId="52C60970" w14:textId="77777777" w:rsidR="00A9409C" w:rsidRPr="00145B66" w:rsidRDefault="00A9409C" w:rsidP="00094F6F">
            <w:pPr>
              <w:tabs>
                <w:tab w:val="left" w:pos="0"/>
              </w:tabs>
              <w:spacing w:after="0" w:line="240" w:lineRule="auto"/>
              <w:ind w:right="-66"/>
              <w:jc w:val="center"/>
              <w:rPr>
                <w:rFonts w:ascii="Times New Roman" w:hAnsi="Times New Roman"/>
                <w:sz w:val="24"/>
                <w:szCs w:val="24"/>
                <w:lang w:eastAsia="en-US"/>
              </w:rPr>
            </w:pPr>
            <w:r w:rsidRPr="00145B66">
              <w:rPr>
                <w:rFonts w:ascii="Times New Roman" w:hAnsi="Times New Roman"/>
                <w:sz w:val="24"/>
                <w:szCs w:val="24"/>
                <w:lang w:eastAsia="en-US"/>
              </w:rPr>
              <w:t>11,451</w:t>
            </w:r>
          </w:p>
        </w:tc>
        <w:tc>
          <w:tcPr>
            <w:tcW w:w="489" w:type="dxa"/>
            <w:tcBorders>
              <w:top w:val="single" w:sz="4" w:space="0" w:color="auto"/>
              <w:left w:val="single" w:sz="4" w:space="0" w:color="auto"/>
              <w:bottom w:val="single" w:sz="4" w:space="0" w:color="auto"/>
              <w:right w:val="single" w:sz="4" w:space="0" w:color="auto"/>
            </w:tcBorders>
            <w:vAlign w:val="center"/>
          </w:tcPr>
          <w:p w14:paraId="1264E53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43B9DBB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0,841</w:t>
            </w:r>
          </w:p>
        </w:tc>
        <w:tc>
          <w:tcPr>
            <w:tcW w:w="910" w:type="dxa"/>
            <w:tcBorders>
              <w:top w:val="single" w:sz="4" w:space="0" w:color="auto"/>
              <w:left w:val="single" w:sz="4" w:space="0" w:color="auto"/>
              <w:bottom w:val="single" w:sz="4" w:space="0" w:color="auto"/>
              <w:right w:val="single" w:sz="4" w:space="0" w:color="auto"/>
            </w:tcBorders>
            <w:vAlign w:val="center"/>
          </w:tcPr>
          <w:p w14:paraId="4C2F2E4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0,711</w:t>
            </w:r>
          </w:p>
        </w:tc>
        <w:tc>
          <w:tcPr>
            <w:tcW w:w="1008" w:type="dxa"/>
            <w:gridSpan w:val="2"/>
            <w:tcBorders>
              <w:top w:val="single" w:sz="4" w:space="0" w:color="auto"/>
              <w:left w:val="single" w:sz="4" w:space="0" w:color="auto"/>
              <w:bottom w:val="single" w:sz="4" w:space="0" w:color="auto"/>
              <w:right w:val="single" w:sz="4" w:space="0" w:color="auto"/>
            </w:tcBorders>
            <w:vAlign w:val="center"/>
          </w:tcPr>
          <w:p w14:paraId="490E82F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0,051</w:t>
            </w:r>
          </w:p>
        </w:tc>
        <w:tc>
          <w:tcPr>
            <w:tcW w:w="1030" w:type="dxa"/>
            <w:tcBorders>
              <w:top w:val="single" w:sz="4" w:space="0" w:color="auto"/>
              <w:left w:val="single" w:sz="4" w:space="0" w:color="auto"/>
              <w:bottom w:val="single" w:sz="4" w:space="0" w:color="auto"/>
              <w:right w:val="single" w:sz="4" w:space="0" w:color="auto"/>
            </w:tcBorders>
            <w:vAlign w:val="center"/>
          </w:tcPr>
          <w:p w14:paraId="4CC2907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13,451</w:t>
            </w:r>
          </w:p>
        </w:tc>
      </w:tr>
      <w:tr w:rsidR="00A9409C" w:rsidRPr="00145B66" w14:paraId="63F97A6A" w14:textId="77777777" w:rsidTr="00094F6F">
        <w:trPr>
          <w:jc w:val="center"/>
        </w:trPr>
        <w:tc>
          <w:tcPr>
            <w:tcW w:w="2689" w:type="dxa"/>
            <w:tcBorders>
              <w:top w:val="single" w:sz="4" w:space="0" w:color="auto"/>
              <w:left w:val="single" w:sz="4" w:space="0" w:color="auto"/>
              <w:bottom w:val="single" w:sz="4" w:space="0" w:color="auto"/>
              <w:right w:val="single" w:sz="4" w:space="0" w:color="auto"/>
            </w:tcBorders>
            <w:vAlign w:val="center"/>
          </w:tcPr>
          <w:p w14:paraId="696B0FA4" w14:textId="77777777" w:rsidR="00A9409C" w:rsidRPr="0000621F" w:rsidRDefault="00A9409C" w:rsidP="00094F6F">
            <w:pPr>
              <w:spacing w:after="0" w:line="240" w:lineRule="auto"/>
              <w:rPr>
                <w:rFonts w:ascii="Times New Roman" w:hAnsi="Times New Roman"/>
                <w:bCs/>
                <w:i/>
                <w:iCs/>
                <w:sz w:val="24"/>
                <w:szCs w:val="24"/>
                <w:lang w:eastAsia="en-US"/>
              </w:rPr>
            </w:pPr>
            <w:r w:rsidRPr="0000621F">
              <w:rPr>
                <w:rFonts w:ascii="Times New Roman" w:hAnsi="Times New Roman"/>
                <w:bCs/>
                <w:i/>
                <w:iCs/>
                <w:sz w:val="24"/>
                <w:szCs w:val="24"/>
                <w:lang w:eastAsia="en-US"/>
              </w:rPr>
              <w:t>Поперечно-ободочная кишка</w:t>
            </w:r>
          </w:p>
        </w:tc>
        <w:tc>
          <w:tcPr>
            <w:tcW w:w="1021" w:type="dxa"/>
            <w:tcBorders>
              <w:top w:val="single" w:sz="4" w:space="0" w:color="auto"/>
              <w:left w:val="single" w:sz="4" w:space="0" w:color="auto"/>
              <w:bottom w:val="single" w:sz="4" w:space="0" w:color="auto"/>
              <w:right w:val="single" w:sz="4" w:space="0" w:color="auto"/>
            </w:tcBorders>
            <w:vAlign w:val="center"/>
          </w:tcPr>
          <w:p w14:paraId="4B43E3D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1,321</w:t>
            </w:r>
          </w:p>
        </w:tc>
        <w:tc>
          <w:tcPr>
            <w:tcW w:w="840" w:type="dxa"/>
            <w:gridSpan w:val="3"/>
            <w:tcBorders>
              <w:top w:val="single" w:sz="4" w:space="0" w:color="auto"/>
              <w:left w:val="single" w:sz="4" w:space="0" w:color="auto"/>
              <w:bottom w:val="single" w:sz="4" w:space="0" w:color="auto"/>
              <w:right w:val="single" w:sz="4" w:space="0" w:color="auto"/>
            </w:tcBorders>
            <w:vAlign w:val="center"/>
          </w:tcPr>
          <w:p w14:paraId="0689749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0,843</w:t>
            </w:r>
          </w:p>
        </w:tc>
        <w:tc>
          <w:tcPr>
            <w:tcW w:w="812" w:type="dxa"/>
            <w:tcBorders>
              <w:top w:val="single" w:sz="4" w:space="0" w:color="auto"/>
              <w:left w:val="single" w:sz="4" w:space="0" w:color="auto"/>
              <w:bottom w:val="single" w:sz="4" w:space="0" w:color="auto"/>
              <w:right w:val="single" w:sz="4" w:space="0" w:color="auto"/>
            </w:tcBorders>
            <w:vAlign w:val="center"/>
          </w:tcPr>
          <w:p w14:paraId="624AC6D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0,351</w:t>
            </w:r>
          </w:p>
        </w:tc>
        <w:tc>
          <w:tcPr>
            <w:tcW w:w="489" w:type="dxa"/>
            <w:tcBorders>
              <w:top w:val="single" w:sz="4" w:space="0" w:color="auto"/>
              <w:left w:val="single" w:sz="4" w:space="0" w:color="auto"/>
              <w:bottom w:val="single" w:sz="4" w:space="0" w:color="auto"/>
              <w:right w:val="single" w:sz="4" w:space="0" w:color="auto"/>
            </w:tcBorders>
            <w:vAlign w:val="center"/>
          </w:tcPr>
          <w:p w14:paraId="69BB9F0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5DD0460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1,382</w:t>
            </w:r>
          </w:p>
        </w:tc>
        <w:tc>
          <w:tcPr>
            <w:tcW w:w="910" w:type="dxa"/>
            <w:tcBorders>
              <w:top w:val="single" w:sz="4" w:space="0" w:color="auto"/>
              <w:left w:val="single" w:sz="4" w:space="0" w:color="auto"/>
              <w:bottom w:val="single" w:sz="4" w:space="0" w:color="auto"/>
              <w:right w:val="single" w:sz="4" w:space="0" w:color="auto"/>
            </w:tcBorders>
            <w:vAlign w:val="center"/>
          </w:tcPr>
          <w:p w14:paraId="1A1B51C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0,071</w:t>
            </w:r>
          </w:p>
        </w:tc>
        <w:tc>
          <w:tcPr>
            <w:tcW w:w="1008" w:type="dxa"/>
            <w:gridSpan w:val="2"/>
            <w:tcBorders>
              <w:top w:val="single" w:sz="4" w:space="0" w:color="auto"/>
              <w:left w:val="single" w:sz="4" w:space="0" w:color="auto"/>
              <w:bottom w:val="single" w:sz="4" w:space="0" w:color="auto"/>
              <w:right w:val="single" w:sz="4" w:space="0" w:color="auto"/>
            </w:tcBorders>
            <w:vAlign w:val="center"/>
          </w:tcPr>
          <w:p w14:paraId="251C69C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0,004</w:t>
            </w:r>
          </w:p>
        </w:tc>
        <w:tc>
          <w:tcPr>
            <w:tcW w:w="1030" w:type="dxa"/>
            <w:tcBorders>
              <w:top w:val="single" w:sz="4" w:space="0" w:color="auto"/>
              <w:left w:val="single" w:sz="4" w:space="0" w:color="auto"/>
              <w:bottom w:val="single" w:sz="4" w:space="0" w:color="auto"/>
              <w:right w:val="single" w:sz="4" w:space="0" w:color="auto"/>
            </w:tcBorders>
            <w:vAlign w:val="center"/>
          </w:tcPr>
          <w:p w14:paraId="4E13ADA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5,671</w:t>
            </w:r>
          </w:p>
        </w:tc>
      </w:tr>
      <w:tr w:rsidR="00A9409C" w:rsidRPr="00145B66" w14:paraId="53987536" w14:textId="77777777" w:rsidTr="00094F6F">
        <w:trPr>
          <w:jc w:val="center"/>
        </w:trPr>
        <w:tc>
          <w:tcPr>
            <w:tcW w:w="2689" w:type="dxa"/>
            <w:tcBorders>
              <w:top w:val="single" w:sz="4" w:space="0" w:color="auto"/>
              <w:left w:val="single" w:sz="4" w:space="0" w:color="auto"/>
              <w:bottom w:val="single" w:sz="4" w:space="0" w:color="auto"/>
              <w:right w:val="single" w:sz="4" w:space="0" w:color="auto"/>
            </w:tcBorders>
            <w:vAlign w:val="center"/>
            <w:hideMark/>
          </w:tcPr>
          <w:p w14:paraId="74DA2ECA" w14:textId="77777777" w:rsidR="00A9409C" w:rsidRPr="0000621F" w:rsidRDefault="00A9409C" w:rsidP="00094F6F">
            <w:pPr>
              <w:tabs>
                <w:tab w:val="left" w:pos="0"/>
              </w:tabs>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Нисходящая ободочная кишка</w:t>
            </w:r>
          </w:p>
        </w:tc>
        <w:tc>
          <w:tcPr>
            <w:tcW w:w="1021" w:type="dxa"/>
            <w:tcBorders>
              <w:top w:val="single" w:sz="4" w:space="0" w:color="auto"/>
              <w:left w:val="single" w:sz="4" w:space="0" w:color="auto"/>
              <w:bottom w:val="single" w:sz="4" w:space="0" w:color="auto"/>
              <w:right w:val="single" w:sz="4" w:space="0" w:color="auto"/>
            </w:tcBorders>
            <w:vAlign w:val="center"/>
          </w:tcPr>
          <w:p w14:paraId="7141E60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2,532</w:t>
            </w:r>
          </w:p>
        </w:tc>
        <w:tc>
          <w:tcPr>
            <w:tcW w:w="840" w:type="dxa"/>
            <w:gridSpan w:val="3"/>
            <w:tcBorders>
              <w:top w:val="single" w:sz="4" w:space="0" w:color="auto"/>
              <w:left w:val="single" w:sz="4" w:space="0" w:color="auto"/>
              <w:bottom w:val="single" w:sz="4" w:space="0" w:color="auto"/>
              <w:right w:val="single" w:sz="4" w:space="0" w:color="auto"/>
            </w:tcBorders>
            <w:vAlign w:val="center"/>
          </w:tcPr>
          <w:p w14:paraId="0821A07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0,786</w:t>
            </w:r>
          </w:p>
        </w:tc>
        <w:tc>
          <w:tcPr>
            <w:tcW w:w="812" w:type="dxa"/>
            <w:tcBorders>
              <w:top w:val="single" w:sz="4" w:space="0" w:color="auto"/>
              <w:left w:val="single" w:sz="4" w:space="0" w:color="auto"/>
              <w:bottom w:val="single" w:sz="4" w:space="0" w:color="auto"/>
              <w:right w:val="single" w:sz="4" w:space="0" w:color="auto"/>
            </w:tcBorders>
            <w:vAlign w:val="center"/>
          </w:tcPr>
          <w:p w14:paraId="0D16931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4,511</w:t>
            </w:r>
          </w:p>
        </w:tc>
        <w:tc>
          <w:tcPr>
            <w:tcW w:w="489" w:type="dxa"/>
            <w:tcBorders>
              <w:top w:val="single" w:sz="4" w:space="0" w:color="auto"/>
              <w:left w:val="single" w:sz="4" w:space="0" w:color="auto"/>
              <w:bottom w:val="single" w:sz="4" w:space="0" w:color="auto"/>
              <w:right w:val="single" w:sz="4" w:space="0" w:color="auto"/>
            </w:tcBorders>
            <w:vAlign w:val="center"/>
          </w:tcPr>
          <w:p w14:paraId="361564E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6DCC7DF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5,841</w:t>
            </w:r>
          </w:p>
        </w:tc>
        <w:tc>
          <w:tcPr>
            <w:tcW w:w="910" w:type="dxa"/>
            <w:tcBorders>
              <w:top w:val="single" w:sz="4" w:space="0" w:color="auto"/>
              <w:left w:val="single" w:sz="4" w:space="0" w:color="auto"/>
              <w:bottom w:val="single" w:sz="4" w:space="0" w:color="auto"/>
              <w:right w:val="single" w:sz="4" w:space="0" w:color="auto"/>
            </w:tcBorders>
            <w:vAlign w:val="center"/>
          </w:tcPr>
          <w:p w14:paraId="5909E96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0,731</w:t>
            </w:r>
          </w:p>
        </w:tc>
        <w:tc>
          <w:tcPr>
            <w:tcW w:w="1008" w:type="dxa"/>
            <w:gridSpan w:val="2"/>
            <w:tcBorders>
              <w:top w:val="single" w:sz="4" w:space="0" w:color="auto"/>
              <w:left w:val="single" w:sz="4" w:space="0" w:color="auto"/>
              <w:bottom w:val="single" w:sz="4" w:space="0" w:color="auto"/>
              <w:right w:val="single" w:sz="4" w:space="0" w:color="auto"/>
            </w:tcBorders>
            <w:vAlign w:val="center"/>
          </w:tcPr>
          <w:p w14:paraId="6C4B67AF"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0,532</w:t>
            </w:r>
          </w:p>
        </w:tc>
        <w:tc>
          <w:tcPr>
            <w:tcW w:w="1030" w:type="dxa"/>
            <w:tcBorders>
              <w:top w:val="single" w:sz="4" w:space="0" w:color="auto"/>
              <w:left w:val="single" w:sz="4" w:space="0" w:color="auto"/>
              <w:bottom w:val="single" w:sz="4" w:space="0" w:color="auto"/>
              <w:right w:val="single" w:sz="4" w:space="0" w:color="auto"/>
            </w:tcBorders>
            <w:vAlign w:val="center"/>
          </w:tcPr>
          <w:p w14:paraId="23D593E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4,564</w:t>
            </w:r>
          </w:p>
        </w:tc>
      </w:tr>
      <w:tr w:rsidR="00A9409C" w:rsidRPr="00145B66" w14:paraId="3A51F2BD" w14:textId="77777777" w:rsidTr="00094F6F">
        <w:trPr>
          <w:jc w:val="center"/>
        </w:trPr>
        <w:tc>
          <w:tcPr>
            <w:tcW w:w="2689" w:type="dxa"/>
            <w:tcBorders>
              <w:top w:val="single" w:sz="4" w:space="0" w:color="auto"/>
              <w:left w:val="single" w:sz="4" w:space="0" w:color="auto"/>
              <w:bottom w:val="single" w:sz="4" w:space="0" w:color="auto"/>
              <w:right w:val="single" w:sz="4" w:space="0" w:color="auto"/>
            </w:tcBorders>
            <w:vAlign w:val="center"/>
            <w:hideMark/>
          </w:tcPr>
          <w:p w14:paraId="1AD58677" w14:textId="77777777" w:rsidR="00A9409C" w:rsidRPr="0000621F" w:rsidRDefault="00A9409C" w:rsidP="00094F6F">
            <w:pPr>
              <w:tabs>
                <w:tab w:val="left" w:pos="0"/>
              </w:tabs>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Сигмовидная кишка</w:t>
            </w:r>
          </w:p>
        </w:tc>
        <w:tc>
          <w:tcPr>
            <w:tcW w:w="1021" w:type="dxa"/>
            <w:tcBorders>
              <w:top w:val="single" w:sz="4" w:space="0" w:color="auto"/>
              <w:left w:val="single" w:sz="4" w:space="0" w:color="auto"/>
              <w:bottom w:val="single" w:sz="4" w:space="0" w:color="auto"/>
              <w:right w:val="single" w:sz="4" w:space="0" w:color="auto"/>
            </w:tcBorders>
            <w:vAlign w:val="center"/>
          </w:tcPr>
          <w:p w14:paraId="0C9441A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0,351</w:t>
            </w:r>
          </w:p>
        </w:tc>
        <w:tc>
          <w:tcPr>
            <w:tcW w:w="840" w:type="dxa"/>
            <w:gridSpan w:val="3"/>
            <w:tcBorders>
              <w:top w:val="single" w:sz="4" w:space="0" w:color="auto"/>
              <w:left w:val="single" w:sz="4" w:space="0" w:color="auto"/>
              <w:bottom w:val="single" w:sz="4" w:space="0" w:color="auto"/>
              <w:right w:val="single" w:sz="4" w:space="0" w:color="auto"/>
            </w:tcBorders>
            <w:vAlign w:val="center"/>
          </w:tcPr>
          <w:p w14:paraId="2EA73C8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0,781</w:t>
            </w:r>
          </w:p>
        </w:tc>
        <w:tc>
          <w:tcPr>
            <w:tcW w:w="812" w:type="dxa"/>
            <w:tcBorders>
              <w:top w:val="single" w:sz="4" w:space="0" w:color="auto"/>
              <w:left w:val="single" w:sz="4" w:space="0" w:color="auto"/>
              <w:bottom w:val="single" w:sz="4" w:space="0" w:color="auto"/>
              <w:right w:val="single" w:sz="4" w:space="0" w:color="auto"/>
            </w:tcBorders>
            <w:vAlign w:val="center"/>
          </w:tcPr>
          <w:p w14:paraId="60CA860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0,846</w:t>
            </w:r>
          </w:p>
        </w:tc>
        <w:tc>
          <w:tcPr>
            <w:tcW w:w="489" w:type="dxa"/>
            <w:tcBorders>
              <w:top w:val="single" w:sz="4" w:space="0" w:color="auto"/>
              <w:left w:val="single" w:sz="4" w:space="0" w:color="auto"/>
              <w:bottom w:val="single" w:sz="4" w:space="0" w:color="auto"/>
              <w:right w:val="single" w:sz="4" w:space="0" w:color="auto"/>
            </w:tcBorders>
            <w:vAlign w:val="center"/>
          </w:tcPr>
          <w:p w14:paraId="548472B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78329F5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0,732</w:t>
            </w:r>
          </w:p>
        </w:tc>
        <w:tc>
          <w:tcPr>
            <w:tcW w:w="910" w:type="dxa"/>
            <w:tcBorders>
              <w:top w:val="single" w:sz="4" w:space="0" w:color="auto"/>
              <w:left w:val="single" w:sz="4" w:space="0" w:color="auto"/>
              <w:bottom w:val="single" w:sz="4" w:space="0" w:color="auto"/>
              <w:right w:val="single" w:sz="4" w:space="0" w:color="auto"/>
            </w:tcBorders>
            <w:vAlign w:val="center"/>
          </w:tcPr>
          <w:p w14:paraId="4917AEE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0,332</w:t>
            </w:r>
          </w:p>
        </w:tc>
        <w:tc>
          <w:tcPr>
            <w:tcW w:w="1008" w:type="dxa"/>
            <w:gridSpan w:val="2"/>
            <w:tcBorders>
              <w:top w:val="single" w:sz="4" w:space="0" w:color="auto"/>
              <w:left w:val="single" w:sz="4" w:space="0" w:color="auto"/>
              <w:bottom w:val="single" w:sz="4" w:space="0" w:color="auto"/>
              <w:right w:val="single" w:sz="4" w:space="0" w:color="auto"/>
            </w:tcBorders>
            <w:vAlign w:val="center"/>
          </w:tcPr>
          <w:p w14:paraId="2C9E067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0,041</w:t>
            </w:r>
          </w:p>
        </w:tc>
        <w:tc>
          <w:tcPr>
            <w:tcW w:w="1030" w:type="dxa"/>
            <w:tcBorders>
              <w:top w:val="single" w:sz="4" w:space="0" w:color="auto"/>
              <w:left w:val="single" w:sz="4" w:space="0" w:color="auto"/>
              <w:bottom w:val="single" w:sz="4" w:space="0" w:color="auto"/>
              <w:right w:val="single" w:sz="4" w:space="0" w:color="auto"/>
            </w:tcBorders>
            <w:vAlign w:val="center"/>
          </w:tcPr>
          <w:p w14:paraId="456B240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3,641</w:t>
            </w:r>
          </w:p>
        </w:tc>
      </w:tr>
      <w:tr w:rsidR="00A9409C" w:rsidRPr="00145B66" w14:paraId="6F1C4CF8" w14:textId="77777777" w:rsidTr="00094F6F">
        <w:trPr>
          <w:jc w:val="center"/>
        </w:trPr>
        <w:tc>
          <w:tcPr>
            <w:tcW w:w="9639" w:type="dxa"/>
            <w:gridSpan w:val="12"/>
            <w:tcBorders>
              <w:top w:val="single" w:sz="4" w:space="0" w:color="auto"/>
              <w:left w:val="single" w:sz="4" w:space="0" w:color="auto"/>
              <w:bottom w:val="single" w:sz="4" w:space="0" w:color="auto"/>
              <w:right w:val="single" w:sz="4" w:space="0" w:color="auto"/>
            </w:tcBorders>
            <w:vAlign w:val="center"/>
          </w:tcPr>
          <w:p w14:paraId="74DA2076"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Вид операции</w:t>
            </w:r>
          </w:p>
        </w:tc>
      </w:tr>
      <w:tr w:rsidR="00A9409C" w:rsidRPr="00145B66" w14:paraId="14E5159A" w14:textId="77777777" w:rsidTr="00094F6F">
        <w:trPr>
          <w:jc w:val="center"/>
        </w:trPr>
        <w:tc>
          <w:tcPr>
            <w:tcW w:w="2689" w:type="dxa"/>
            <w:tcBorders>
              <w:top w:val="single" w:sz="4" w:space="0" w:color="auto"/>
              <w:left w:val="single" w:sz="4" w:space="0" w:color="auto"/>
              <w:bottom w:val="single" w:sz="4" w:space="0" w:color="auto"/>
              <w:right w:val="single" w:sz="4" w:space="0" w:color="auto"/>
            </w:tcBorders>
            <w:vAlign w:val="center"/>
          </w:tcPr>
          <w:p w14:paraId="2BC1BAE9" w14:textId="77777777" w:rsidR="00A9409C" w:rsidRPr="0000621F" w:rsidRDefault="00A9409C" w:rsidP="00094F6F">
            <w:pPr>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Правосторонняя гемиколэктомия</w:t>
            </w:r>
          </w:p>
        </w:tc>
        <w:tc>
          <w:tcPr>
            <w:tcW w:w="1021" w:type="dxa"/>
            <w:tcBorders>
              <w:top w:val="single" w:sz="4" w:space="0" w:color="auto"/>
              <w:left w:val="single" w:sz="4" w:space="0" w:color="auto"/>
              <w:bottom w:val="single" w:sz="4" w:space="0" w:color="auto"/>
              <w:right w:val="single" w:sz="4" w:space="0" w:color="auto"/>
            </w:tcBorders>
            <w:vAlign w:val="center"/>
          </w:tcPr>
          <w:p w14:paraId="422C370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1,452</w:t>
            </w:r>
          </w:p>
        </w:tc>
        <w:tc>
          <w:tcPr>
            <w:tcW w:w="840" w:type="dxa"/>
            <w:gridSpan w:val="3"/>
            <w:tcBorders>
              <w:top w:val="single" w:sz="4" w:space="0" w:color="auto"/>
              <w:left w:val="single" w:sz="4" w:space="0" w:color="auto"/>
              <w:bottom w:val="single" w:sz="4" w:space="0" w:color="auto"/>
              <w:right w:val="single" w:sz="4" w:space="0" w:color="auto"/>
            </w:tcBorders>
            <w:vAlign w:val="center"/>
          </w:tcPr>
          <w:p w14:paraId="35475B0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3,453</w:t>
            </w:r>
          </w:p>
        </w:tc>
        <w:tc>
          <w:tcPr>
            <w:tcW w:w="812" w:type="dxa"/>
            <w:tcBorders>
              <w:top w:val="single" w:sz="4" w:space="0" w:color="auto"/>
              <w:left w:val="single" w:sz="4" w:space="0" w:color="auto"/>
              <w:bottom w:val="single" w:sz="4" w:space="0" w:color="auto"/>
              <w:right w:val="single" w:sz="4" w:space="0" w:color="auto"/>
            </w:tcBorders>
            <w:vAlign w:val="center"/>
          </w:tcPr>
          <w:p w14:paraId="0D7C462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4,611</w:t>
            </w:r>
          </w:p>
        </w:tc>
        <w:tc>
          <w:tcPr>
            <w:tcW w:w="489" w:type="dxa"/>
            <w:tcBorders>
              <w:top w:val="single" w:sz="4" w:space="0" w:color="auto"/>
              <w:left w:val="single" w:sz="4" w:space="0" w:color="auto"/>
              <w:bottom w:val="single" w:sz="4" w:space="0" w:color="auto"/>
              <w:right w:val="single" w:sz="4" w:space="0" w:color="auto"/>
            </w:tcBorders>
            <w:vAlign w:val="center"/>
          </w:tcPr>
          <w:p w14:paraId="739C36D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4AF176F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1,352</w:t>
            </w:r>
          </w:p>
        </w:tc>
        <w:tc>
          <w:tcPr>
            <w:tcW w:w="924" w:type="dxa"/>
            <w:gridSpan w:val="2"/>
            <w:tcBorders>
              <w:top w:val="single" w:sz="4" w:space="0" w:color="auto"/>
              <w:left w:val="single" w:sz="4" w:space="0" w:color="auto"/>
              <w:bottom w:val="single" w:sz="4" w:space="0" w:color="auto"/>
              <w:right w:val="single" w:sz="4" w:space="0" w:color="auto"/>
            </w:tcBorders>
            <w:vAlign w:val="center"/>
          </w:tcPr>
          <w:p w14:paraId="2C6D512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0,781</w:t>
            </w:r>
          </w:p>
        </w:tc>
        <w:tc>
          <w:tcPr>
            <w:tcW w:w="994" w:type="dxa"/>
            <w:tcBorders>
              <w:top w:val="single" w:sz="4" w:space="0" w:color="auto"/>
              <w:left w:val="single" w:sz="4" w:space="0" w:color="auto"/>
              <w:bottom w:val="single" w:sz="4" w:space="0" w:color="auto"/>
              <w:right w:val="single" w:sz="4" w:space="0" w:color="auto"/>
            </w:tcBorders>
            <w:vAlign w:val="center"/>
          </w:tcPr>
          <w:p w14:paraId="78CFD95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0,510</w:t>
            </w:r>
          </w:p>
        </w:tc>
        <w:tc>
          <w:tcPr>
            <w:tcW w:w="1030" w:type="dxa"/>
            <w:tcBorders>
              <w:top w:val="single" w:sz="4" w:space="0" w:color="auto"/>
              <w:left w:val="single" w:sz="4" w:space="0" w:color="auto"/>
              <w:bottom w:val="single" w:sz="4" w:space="0" w:color="auto"/>
              <w:right w:val="single" w:sz="4" w:space="0" w:color="auto"/>
            </w:tcBorders>
            <w:vAlign w:val="center"/>
          </w:tcPr>
          <w:p w14:paraId="58D23FC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4,632</w:t>
            </w:r>
          </w:p>
        </w:tc>
      </w:tr>
      <w:tr w:rsidR="00A9409C" w:rsidRPr="00145B66" w14:paraId="39F82655" w14:textId="77777777" w:rsidTr="00094F6F">
        <w:trPr>
          <w:jc w:val="center"/>
        </w:trPr>
        <w:tc>
          <w:tcPr>
            <w:tcW w:w="2689" w:type="dxa"/>
            <w:tcBorders>
              <w:top w:val="single" w:sz="4" w:space="0" w:color="auto"/>
              <w:left w:val="single" w:sz="4" w:space="0" w:color="auto"/>
              <w:bottom w:val="single" w:sz="4" w:space="0" w:color="auto"/>
              <w:right w:val="single" w:sz="4" w:space="0" w:color="auto"/>
            </w:tcBorders>
            <w:vAlign w:val="center"/>
          </w:tcPr>
          <w:p w14:paraId="337A6ECB" w14:textId="77777777" w:rsidR="00A9409C" w:rsidRPr="0000621F" w:rsidRDefault="00A9409C" w:rsidP="00094F6F">
            <w:pPr>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Резекция поперечно-ободочной кишки</w:t>
            </w:r>
          </w:p>
        </w:tc>
        <w:tc>
          <w:tcPr>
            <w:tcW w:w="1021" w:type="dxa"/>
            <w:tcBorders>
              <w:top w:val="single" w:sz="4" w:space="0" w:color="auto"/>
              <w:left w:val="single" w:sz="4" w:space="0" w:color="auto"/>
              <w:bottom w:val="single" w:sz="4" w:space="0" w:color="auto"/>
              <w:right w:val="single" w:sz="4" w:space="0" w:color="auto"/>
            </w:tcBorders>
            <w:vAlign w:val="center"/>
          </w:tcPr>
          <w:p w14:paraId="7AF91DE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0,732</w:t>
            </w:r>
          </w:p>
        </w:tc>
        <w:tc>
          <w:tcPr>
            <w:tcW w:w="840" w:type="dxa"/>
            <w:gridSpan w:val="3"/>
            <w:tcBorders>
              <w:top w:val="single" w:sz="4" w:space="0" w:color="auto"/>
              <w:left w:val="single" w:sz="4" w:space="0" w:color="auto"/>
              <w:bottom w:val="single" w:sz="4" w:space="0" w:color="auto"/>
              <w:right w:val="single" w:sz="4" w:space="0" w:color="auto"/>
            </w:tcBorders>
            <w:vAlign w:val="center"/>
          </w:tcPr>
          <w:p w14:paraId="41FD6E6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0,312</w:t>
            </w:r>
          </w:p>
        </w:tc>
        <w:tc>
          <w:tcPr>
            <w:tcW w:w="812" w:type="dxa"/>
            <w:tcBorders>
              <w:top w:val="single" w:sz="4" w:space="0" w:color="auto"/>
              <w:left w:val="single" w:sz="4" w:space="0" w:color="auto"/>
              <w:bottom w:val="single" w:sz="4" w:space="0" w:color="auto"/>
              <w:right w:val="single" w:sz="4" w:space="0" w:color="auto"/>
            </w:tcBorders>
            <w:vAlign w:val="center"/>
          </w:tcPr>
          <w:p w14:paraId="3280471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0,642</w:t>
            </w:r>
          </w:p>
        </w:tc>
        <w:tc>
          <w:tcPr>
            <w:tcW w:w="489" w:type="dxa"/>
            <w:tcBorders>
              <w:top w:val="single" w:sz="4" w:space="0" w:color="auto"/>
              <w:left w:val="single" w:sz="4" w:space="0" w:color="auto"/>
              <w:bottom w:val="single" w:sz="4" w:space="0" w:color="auto"/>
              <w:right w:val="single" w:sz="4" w:space="0" w:color="auto"/>
            </w:tcBorders>
            <w:vAlign w:val="center"/>
          </w:tcPr>
          <w:p w14:paraId="7E3444F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3646FBD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1,751</w:t>
            </w:r>
          </w:p>
        </w:tc>
        <w:tc>
          <w:tcPr>
            <w:tcW w:w="924" w:type="dxa"/>
            <w:gridSpan w:val="2"/>
            <w:tcBorders>
              <w:top w:val="single" w:sz="4" w:space="0" w:color="auto"/>
              <w:left w:val="single" w:sz="4" w:space="0" w:color="auto"/>
              <w:bottom w:val="single" w:sz="4" w:space="0" w:color="auto"/>
              <w:right w:val="single" w:sz="4" w:space="0" w:color="auto"/>
            </w:tcBorders>
            <w:vAlign w:val="center"/>
          </w:tcPr>
          <w:p w14:paraId="5C37686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0,431</w:t>
            </w:r>
          </w:p>
        </w:tc>
        <w:tc>
          <w:tcPr>
            <w:tcW w:w="994" w:type="dxa"/>
            <w:tcBorders>
              <w:top w:val="single" w:sz="4" w:space="0" w:color="auto"/>
              <w:left w:val="single" w:sz="4" w:space="0" w:color="auto"/>
              <w:bottom w:val="single" w:sz="4" w:space="0" w:color="auto"/>
              <w:right w:val="single" w:sz="4" w:space="0" w:color="auto"/>
            </w:tcBorders>
            <w:vAlign w:val="center"/>
          </w:tcPr>
          <w:p w14:paraId="54AD0B5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0,310</w:t>
            </w:r>
          </w:p>
        </w:tc>
        <w:tc>
          <w:tcPr>
            <w:tcW w:w="1030" w:type="dxa"/>
            <w:tcBorders>
              <w:top w:val="single" w:sz="4" w:space="0" w:color="auto"/>
              <w:left w:val="single" w:sz="4" w:space="0" w:color="auto"/>
              <w:bottom w:val="single" w:sz="4" w:space="0" w:color="auto"/>
              <w:right w:val="single" w:sz="4" w:space="0" w:color="auto"/>
            </w:tcBorders>
            <w:vAlign w:val="center"/>
          </w:tcPr>
          <w:p w14:paraId="0D98CCD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2,846</w:t>
            </w:r>
          </w:p>
        </w:tc>
      </w:tr>
      <w:tr w:rsidR="00A9409C" w:rsidRPr="00145B66" w14:paraId="3807EE45" w14:textId="77777777" w:rsidTr="00094F6F">
        <w:trPr>
          <w:jc w:val="center"/>
        </w:trPr>
        <w:tc>
          <w:tcPr>
            <w:tcW w:w="2689" w:type="dxa"/>
            <w:tcBorders>
              <w:top w:val="single" w:sz="4" w:space="0" w:color="auto"/>
              <w:left w:val="single" w:sz="4" w:space="0" w:color="auto"/>
              <w:bottom w:val="single" w:sz="4" w:space="0" w:color="auto"/>
              <w:right w:val="single" w:sz="4" w:space="0" w:color="auto"/>
            </w:tcBorders>
            <w:vAlign w:val="center"/>
            <w:hideMark/>
          </w:tcPr>
          <w:p w14:paraId="7FE361DE" w14:textId="77777777" w:rsidR="00A9409C" w:rsidRPr="0000621F" w:rsidRDefault="00A9409C" w:rsidP="00094F6F">
            <w:pPr>
              <w:spacing w:after="0" w:line="240" w:lineRule="auto"/>
              <w:rPr>
                <w:rFonts w:ascii="Times New Roman" w:hAnsi="Times New Roman"/>
                <w:i/>
                <w:iCs/>
                <w:sz w:val="24"/>
                <w:szCs w:val="24"/>
                <w:lang w:eastAsia="en-US"/>
              </w:rPr>
            </w:pPr>
            <w:r w:rsidRPr="0000621F">
              <w:rPr>
                <w:rFonts w:ascii="Times New Roman" w:hAnsi="Times New Roman"/>
                <w:i/>
                <w:iCs/>
                <w:sz w:val="24"/>
                <w:szCs w:val="24"/>
                <w:lang w:eastAsia="en-US"/>
              </w:rPr>
              <w:t>Левосторонняя гемиколэктомия</w:t>
            </w:r>
          </w:p>
        </w:tc>
        <w:tc>
          <w:tcPr>
            <w:tcW w:w="1021" w:type="dxa"/>
            <w:tcBorders>
              <w:top w:val="single" w:sz="4" w:space="0" w:color="auto"/>
              <w:left w:val="single" w:sz="4" w:space="0" w:color="auto"/>
              <w:bottom w:val="single" w:sz="4" w:space="0" w:color="auto"/>
              <w:right w:val="single" w:sz="4" w:space="0" w:color="auto"/>
            </w:tcBorders>
            <w:vAlign w:val="center"/>
          </w:tcPr>
          <w:p w14:paraId="512E7D6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3,841</w:t>
            </w:r>
          </w:p>
        </w:tc>
        <w:tc>
          <w:tcPr>
            <w:tcW w:w="840" w:type="dxa"/>
            <w:gridSpan w:val="3"/>
            <w:tcBorders>
              <w:top w:val="single" w:sz="4" w:space="0" w:color="auto"/>
              <w:left w:val="single" w:sz="4" w:space="0" w:color="auto"/>
              <w:bottom w:val="single" w:sz="4" w:space="0" w:color="auto"/>
              <w:right w:val="single" w:sz="4" w:space="0" w:color="auto"/>
            </w:tcBorders>
            <w:vAlign w:val="center"/>
          </w:tcPr>
          <w:p w14:paraId="7F8EC17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1,511</w:t>
            </w:r>
          </w:p>
        </w:tc>
        <w:tc>
          <w:tcPr>
            <w:tcW w:w="812" w:type="dxa"/>
            <w:tcBorders>
              <w:top w:val="single" w:sz="4" w:space="0" w:color="auto"/>
              <w:left w:val="single" w:sz="4" w:space="0" w:color="auto"/>
              <w:bottom w:val="single" w:sz="4" w:space="0" w:color="auto"/>
              <w:right w:val="single" w:sz="4" w:space="0" w:color="auto"/>
            </w:tcBorders>
            <w:vAlign w:val="center"/>
          </w:tcPr>
          <w:p w14:paraId="22A20B7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0,786</w:t>
            </w:r>
          </w:p>
        </w:tc>
        <w:tc>
          <w:tcPr>
            <w:tcW w:w="489" w:type="dxa"/>
            <w:tcBorders>
              <w:top w:val="single" w:sz="4" w:space="0" w:color="auto"/>
              <w:left w:val="single" w:sz="4" w:space="0" w:color="auto"/>
              <w:bottom w:val="single" w:sz="4" w:space="0" w:color="auto"/>
              <w:right w:val="single" w:sz="4" w:space="0" w:color="auto"/>
            </w:tcBorders>
            <w:vAlign w:val="center"/>
          </w:tcPr>
          <w:p w14:paraId="3D9F990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2EBF24A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1,781</w:t>
            </w:r>
          </w:p>
        </w:tc>
        <w:tc>
          <w:tcPr>
            <w:tcW w:w="924" w:type="dxa"/>
            <w:gridSpan w:val="2"/>
            <w:tcBorders>
              <w:top w:val="single" w:sz="4" w:space="0" w:color="auto"/>
              <w:left w:val="single" w:sz="4" w:space="0" w:color="auto"/>
              <w:bottom w:val="single" w:sz="4" w:space="0" w:color="auto"/>
              <w:right w:val="single" w:sz="4" w:space="0" w:color="auto"/>
            </w:tcBorders>
            <w:vAlign w:val="center"/>
          </w:tcPr>
          <w:p w14:paraId="75EDAC2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1,311</w:t>
            </w:r>
          </w:p>
        </w:tc>
        <w:tc>
          <w:tcPr>
            <w:tcW w:w="994" w:type="dxa"/>
            <w:tcBorders>
              <w:top w:val="single" w:sz="4" w:space="0" w:color="auto"/>
              <w:left w:val="single" w:sz="4" w:space="0" w:color="auto"/>
              <w:bottom w:val="single" w:sz="4" w:space="0" w:color="auto"/>
              <w:right w:val="single" w:sz="4" w:space="0" w:color="auto"/>
            </w:tcBorders>
            <w:vAlign w:val="center"/>
          </w:tcPr>
          <w:p w14:paraId="39F12DD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0,452</w:t>
            </w:r>
          </w:p>
        </w:tc>
        <w:tc>
          <w:tcPr>
            <w:tcW w:w="1030" w:type="dxa"/>
            <w:tcBorders>
              <w:top w:val="single" w:sz="4" w:space="0" w:color="auto"/>
              <w:left w:val="single" w:sz="4" w:space="0" w:color="auto"/>
              <w:bottom w:val="single" w:sz="4" w:space="0" w:color="auto"/>
              <w:right w:val="single" w:sz="4" w:space="0" w:color="auto"/>
            </w:tcBorders>
            <w:vAlign w:val="center"/>
          </w:tcPr>
          <w:p w14:paraId="7477EE90"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4,215</w:t>
            </w:r>
          </w:p>
        </w:tc>
      </w:tr>
      <w:tr w:rsidR="00A9409C" w:rsidRPr="00145B66" w14:paraId="4AB8117A" w14:textId="77777777" w:rsidTr="00094F6F">
        <w:trPr>
          <w:jc w:val="center"/>
        </w:trPr>
        <w:tc>
          <w:tcPr>
            <w:tcW w:w="9639" w:type="dxa"/>
            <w:gridSpan w:val="12"/>
            <w:tcBorders>
              <w:top w:val="single" w:sz="4" w:space="0" w:color="auto"/>
              <w:left w:val="single" w:sz="4" w:space="0" w:color="auto"/>
              <w:bottom w:val="single" w:sz="4" w:space="0" w:color="auto"/>
              <w:right w:val="single" w:sz="4" w:space="0" w:color="auto"/>
            </w:tcBorders>
            <w:vAlign w:val="center"/>
          </w:tcPr>
          <w:p w14:paraId="234C8C88"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Вид осложнений</w:t>
            </w:r>
          </w:p>
        </w:tc>
      </w:tr>
      <w:tr w:rsidR="00A9409C" w:rsidRPr="00145B66" w14:paraId="4C319AF2" w14:textId="77777777" w:rsidTr="00094F6F">
        <w:trPr>
          <w:jc w:val="center"/>
        </w:trPr>
        <w:tc>
          <w:tcPr>
            <w:tcW w:w="2689" w:type="dxa"/>
            <w:tcBorders>
              <w:top w:val="single" w:sz="4" w:space="0" w:color="auto"/>
              <w:left w:val="single" w:sz="4" w:space="0" w:color="auto"/>
              <w:bottom w:val="single" w:sz="4" w:space="0" w:color="auto"/>
              <w:right w:val="single" w:sz="4" w:space="0" w:color="BFBFBF"/>
            </w:tcBorders>
            <w:vAlign w:val="center"/>
          </w:tcPr>
          <w:p w14:paraId="12834785" w14:textId="77777777" w:rsidR="00A9409C" w:rsidRPr="00145B66" w:rsidRDefault="00A9409C" w:rsidP="00094F6F">
            <w:pPr>
              <w:spacing w:after="0" w:line="240" w:lineRule="auto"/>
              <w:rPr>
                <w:rFonts w:ascii="Times New Roman" w:hAnsi="Times New Roman"/>
                <w:bCs/>
                <w:sz w:val="24"/>
                <w:szCs w:val="24"/>
                <w:lang w:val="en-US" w:eastAsia="en-US"/>
              </w:rPr>
            </w:pPr>
            <w:r w:rsidRPr="00145B66">
              <w:rPr>
                <w:rFonts w:ascii="Times New Roman" w:hAnsi="Times New Roman"/>
                <w:bCs/>
                <w:sz w:val="24"/>
                <w:szCs w:val="24"/>
                <w:lang w:eastAsia="en-US"/>
              </w:rPr>
              <w:t>Хирургические осложнения</w:t>
            </w:r>
          </w:p>
        </w:tc>
        <w:tc>
          <w:tcPr>
            <w:tcW w:w="1021" w:type="dxa"/>
            <w:tcBorders>
              <w:top w:val="single" w:sz="4" w:space="0" w:color="auto"/>
              <w:left w:val="single" w:sz="4" w:space="0" w:color="auto"/>
              <w:bottom w:val="single" w:sz="4" w:space="0" w:color="auto"/>
              <w:right w:val="single" w:sz="4" w:space="0" w:color="auto"/>
            </w:tcBorders>
            <w:vAlign w:val="center"/>
          </w:tcPr>
          <w:p w14:paraId="515B76C2"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0,148</w:t>
            </w:r>
          </w:p>
        </w:tc>
        <w:tc>
          <w:tcPr>
            <w:tcW w:w="826" w:type="dxa"/>
            <w:gridSpan w:val="2"/>
            <w:tcBorders>
              <w:top w:val="single" w:sz="4" w:space="0" w:color="auto"/>
              <w:left w:val="single" w:sz="4" w:space="0" w:color="auto"/>
              <w:bottom w:val="single" w:sz="4" w:space="0" w:color="auto"/>
              <w:right w:val="single" w:sz="4" w:space="0" w:color="auto"/>
            </w:tcBorders>
            <w:vAlign w:val="center"/>
          </w:tcPr>
          <w:p w14:paraId="3CE7C838"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0,284</w:t>
            </w:r>
          </w:p>
        </w:tc>
        <w:tc>
          <w:tcPr>
            <w:tcW w:w="826" w:type="dxa"/>
            <w:gridSpan w:val="2"/>
            <w:tcBorders>
              <w:top w:val="single" w:sz="4" w:space="0" w:color="auto"/>
              <w:left w:val="single" w:sz="4" w:space="0" w:color="auto"/>
              <w:bottom w:val="single" w:sz="4" w:space="0" w:color="auto"/>
              <w:right w:val="single" w:sz="4" w:space="0" w:color="auto"/>
            </w:tcBorders>
            <w:vAlign w:val="center"/>
          </w:tcPr>
          <w:p w14:paraId="22F8DAB9"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0,273</w:t>
            </w:r>
          </w:p>
        </w:tc>
        <w:tc>
          <w:tcPr>
            <w:tcW w:w="489" w:type="dxa"/>
            <w:tcBorders>
              <w:top w:val="single" w:sz="4" w:space="0" w:color="auto"/>
              <w:left w:val="single" w:sz="4" w:space="0" w:color="auto"/>
              <w:bottom w:val="single" w:sz="4" w:space="0" w:color="auto"/>
              <w:right w:val="single" w:sz="4" w:space="0" w:color="auto"/>
            </w:tcBorders>
            <w:vAlign w:val="center"/>
          </w:tcPr>
          <w:p w14:paraId="3FEB9E89"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4D2DB181"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0,601</w:t>
            </w:r>
          </w:p>
        </w:tc>
        <w:tc>
          <w:tcPr>
            <w:tcW w:w="924" w:type="dxa"/>
            <w:gridSpan w:val="2"/>
            <w:tcBorders>
              <w:top w:val="single" w:sz="4" w:space="0" w:color="auto"/>
              <w:left w:val="single" w:sz="4" w:space="0" w:color="auto"/>
              <w:bottom w:val="single" w:sz="4" w:space="0" w:color="auto"/>
              <w:right w:val="single" w:sz="4" w:space="0" w:color="auto"/>
            </w:tcBorders>
            <w:vAlign w:val="center"/>
          </w:tcPr>
          <w:p w14:paraId="6CFF837E"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0,862</w:t>
            </w:r>
          </w:p>
        </w:tc>
        <w:tc>
          <w:tcPr>
            <w:tcW w:w="994" w:type="dxa"/>
            <w:tcBorders>
              <w:top w:val="single" w:sz="4" w:space="0" w:color="auto"/>
              <w:left w:val="single" w:sz="4" w:space="0" w:color="auto"/>
              <w:bottom w:val="single" w:sz="4" w:space="0" w:color="auto"/>
              <w:right w:val="single" w:sz="4" w:space="0" w:color="auto"/>
            </w:tcBorders>
            <w:vAlign w:val="center"/>
          </w:tcPr>
          <w:p w14:paraId="21646C9D"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0,495</w:t>
            </w:r>
          </w:p>
        </w:tc>
        <w:tc>
          <w:tcPr>
            <w:tcW w:w="1030" w:type="dxa"/>
            <w:tcBorders>
              <w:top w:val="single" w:sz="4" w:space="0" w:color="auto"/>
              <w:left w:val="single" w:sz="4" w:space="0" w:color="auto"/>
              <w:bottom w:val="single" w:sz="4" w:space="0" w:color="auto"/>
              <w:right w:val="single" w:sz="4" w:space="0" w:color="auto"/>
            </w:tcBorders>
            <w:vAlign w:val="center"/>
          </w:tcPr>
          <w:p w14:paraId="24A795FC" w14:textId="77777777" w:rsidR="00A9409C" w:rsidRPr="00145B66" w:rsidRDefault="00A9409C" w:rsidP="00094F6F">
            <w:pPr>
              <w:tabs>
                <w:tab w:val="left" w:pos="0"/>
              </w:tabs>
              <w:spacing w:after="0" w:line="240" w:lineRule="auto"/>
              <w:jc w:val="center"/>
              <w:rPr>
                <w:rFonts w:ascii="Times New Roman" w:hAnsi="Times New Roman"/>
                <w:sz w:val="24"/>
                <w:szCs w:val="24"/>
                <w:lang w:val="en-US" w:eastAsia="en-US"/>
              </w:rPr>
            </w:pPr>
            <w:r w:rsidRPr="00145B66">
              <w:rPr>
                <w:rFonts w:ascii="Times New Roman" w:hAnsi="Times New Roman"/>
                <w:sz w:val="24"/>
                <w:szCs w:val="24"/>
                <w:lang w:val="en-US" w:eastAsia="en-US"/>
              </w:rPr>
              <w:t>1,503</w:t>
            </w:r>
          </w:p>
        </w:tc>
      </w:tr>
      <w:tr w:rsidR="00A9409C" w:rsidRPr="00145B66" w14:paraId="24F15094" w14:textId="77777777" w:rsidTr="00094F6F">
        <w:trPr>
          <w:jc w:val="center"/>
        </w:trPr>
        <w:tc>
          <w:tcPr>
            <w:tcW w:w="2689" w:type="dxa"/>
            <w:tcBorders>
              <w:top w:val="single" w:sz="4" w:space="0" w:color="auto"/>
              <w:left w:val="single" w:sz="4" w:space="0" w:color="auto"/>
              <w:bottom w:val="single" w:sz="4" w:space="0" w:color="auto"/>
              <w:right w:val="single" w:sz="4" w:space="0" w:color="BFBFBF"/>
            </w:tcBorders>
            <w:vAlign w:val="center"/>
          </w:tcPr>
          <w:p w14:paraId="26120ACF" w14:textId="77777777" w:rsidR="00A9409C" w:rsidRPr="00145B66" w:rsidRDefault="00A9409C" w:rsidP="00094F6F">
            <w:pPr>
              <w:spacing w:after="0" w:line="240" w:lineRule="auto"/>
              <w:rPr>
                <w:rFonts w:ascii="Times New Roman" w:hAnsi="Times New Roman"/>
                <w:bCs/>
                <w:sz w:val="24"/>
                <w:szCs w:val="24"/>
                <w:lang w:eastAsia="en-US"/>
              </w:rPr>
            </w:pPr>
            <w:r w:rsidRPr="00145B66">
              <w:rPr>
                <w:rFonts w:ascii="Times New Roman" w:hAnsi="Times New Roman"/>
                <w:bCs/>
                <w:sz w:val="24"/>
                <w:szCs w:val="24"/>
                <w:lang w:eastAsia="en-US"/>
              </w:rPr>
              <w:t xml:space="preserve">Функциональные осложнения </w:t>
            </w:r>
          </w:p>
        </w:tc>
        <w:tc>
          <w:tcPr>
            <w:tcW w:w="1021" w:type="dxa"/>
            <w:tcBorders>
              <w:top w:val="single" w:sz="4" w:space="0" w:color="auto"/>
              <w:left w:val="single" w:sz="4" w:space="0" w:color="auto"/>
              <w:bottom w:val="single" w:sz="4" w:space="0" w:color="auto"/>
              <w:right w:val="single" w:sz="4" w:space="0" w:color="auto"/>
            </w:tcBorders>
            <w:vAlign w:val="center"/>
          </w:tcPr>
          <w:p w14:paraId="1D35795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0,636</w:t>
            </w:r>
          </w:p>
        </w:tc>
        <w:tc>
          <w:tcPr>
            <w:tcW w:w="826" w:type="dxa"/>
            <w:gridSpan w:val="2"/>
            <w:tcBorders>
              <w:top w:val="single" w:sz="4" w:space="0" w:color="auto"/>
              <w:left w:val="single" w:sz="4" w:space="0" w:color="auto"/>
              <w:bottom w:val="single" w:sz="4" w:space="0" w:color="auto"/>
              <w:right w:val="single" w:sz="4" w:space="0" w:color="auto"/>
            </w:tcBorders>
            <w:vAlign w:val="center"/>
          </w:tcPr>
          <w:p w14:paraId="277C1BA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0,230</w:t>
            </w:r>
          </w:p>
        </w:tc>
        <w:tc>
          <w:tcPr>
            <w:tcW w:w="826" w:type="dxa"/>
            <w:gridSpan w:val="2"/>
            <w:tcBorders>
              <w:top w:val="single" w:sz="4" w:space="0" w:color="auto"/>
              <w:left w:val="single" w:sz="4" w:space="0" w:color="auto"/>
              <w:bottom w:val="single" w:sz="4" w:space="0" w:color="auto"/>
              <w:right w:val="single" w:sz="4" w:space="0" w:color="auto"/>
            </w:tcBorders>
            <w:vAlign w:val="center"/>
          </w:tcPr>
          <w:p w14:paraId="5F3CA4FC"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7,670</w:t>
            </w:r>
          </w:p>
        </w:tc>
        <w:tc>
          <w:tcPr>
            <w:tcW w:w="489" w:type="dxa"/>
            <w:tcBorders>
              <w:top w:val="single" w:sz="4" w:space="0" w:color="auto"/>
              <w:left w:val="single" w:sz="4" w:space="0" w:color="auto"/>
              <w:bottom w:val="single" w:sz="4" w:space="0" w:color="auto"/>
              <w:right w:val="single" w:sz="4" w:space="0" w:color="auto"/>
            </w:tcBorders>
            <w:vAlign w:val="center"/>
          </w:tcPr>
          <w:p w14:paraId="34924BE9"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6B7706D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0,125</w:t>
            </w:r>
          </w:p>
        </w:tc>
        <w:tc>
          <w:tcPr>
            <w:tcW w:w="924" w:type="dxa"/>
            <w:gridSpan w:val="2"/>
            <w:tcBorders>
              <w:top w:val="single" w:sz="4" w:space="0" w:color="auto"/>
              <w:left w:val="single" w:sz="4" w:space="0" w:color="auto"/>
              <w:bottom w:val="single" w:sz="4" w:space="0" w:color="auto"/>
              <w:right w:val="single" w:sz="4" w:space="0" w:color="auto"/>
            </w:tcBorders>
            <w:vAlign w:val="center"/>
          </w:tcPr>
          <w:p w14:paraId="504ED7E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0,289</w:t>
            </w:r>
          </w:p>
        </w:tc>
        <w:tc>
          <w:tcPr>
            <w:tcW w:w="994" w:type="dxa"/>
            <w:tcBorders>
              <w:top w:val="single" w:sz="4" w:space="0" w:color="auto"/>
              <w:left w:val="single" w:sz="4" w:space="0" w:color="auto"/>
              <w:bottom w:val="single" w:sz="4" w:space="0" w:color="auto"/>
              <w:right w:val="single" w:sz="4" w:space="0" w:color="auto"/>
            </w:tcBorders>
            <w:vAlign w:val="center"/>
          </w:tcPr>
          <w:p w14:paraId="7BBD7262"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1,204</w:t>
            </w:r>
          </w:p>
        </w:tc>
        <w:tc>
          <w:tcPr>
            <w:tcW w:w="1030" w:type="dxa"/>
            <w:tcBorders>
              <w:top w:val="single" w:sz="4" w:space="0" w:color="auto"/>
              <w:left w:val="single" w:sz="4" w:space="0" w:color="auto"/>
              <w:bottom w:val="single" w:sz="4" w:space="0" w:color="auto"/>
              <w:right w:val="single" w:sz="4" w:space="0" w:color="auto"/>
            </w:tcBorders>
            <w:vAlign w:val="center"/>
          </w:tcPr>
          <w:p w14:paraId="2DDA2605"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2,963</w:t>
            </w:r>
          </w:p>
        </w:tc>
      </w:tr>
      <w:tr w:rsidR="00A9409C" w:rsidRPr="00145B66" w14:paraId="7C47447E" w14:textId="77777777" w:rsidTr="00094F6F">
        <w:trPr>
          <w:jc w:val="center"/>
        </w:trPr>
        <w:tc>
          <w:tcPr>
            <w:tcW w:w="2689" w:type="dxa"/>
            <w:tcBorders>
              <w:top w:val="single" w:sz="4" w:space="0" w:color="auto"/>
              <w:left w:val="single" w:sz="4" w:space="0" w:color="auto"/>
              <w:bottom w:val="single" w:sz="4" w:space="0" w:color="auto"/>
              <w:right w:val="single" w:sz="4" w:space="0" w:color="auto"/>
            </w:tcBorders>
            <w:vAlign w:val="center"/>
            <w:hideMark/>
          </w:tcPr>
          <w:p w14:paraId="58AD1189"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Сопутствующая патология</w:t>
            </w:r>
          </w:p>
        </w:tc>
        <w:tc>
          <w:tcPr>
            <w:tcW w:w="1021" w:type="dxa"/>
            <w:tcBorders>
              <w:top w:val="single" w:sz="4" w:space="0" w:color="auto"/>
              <w:left w:val="single" w:sz="4" w:space="0" w:color="auto"/>
              <w:bottom w:val="single" w:sz="4" w:space="0" w:color="auto"/>
              <w:right w:val="single" w:sz="4" w:space="0" w:color="auto"/>
            </w:tcBorders>
            <w:vAlign w:val="center"/>
          </w:tcPr>
          <w:p w14:paraId="02869176"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0,415</w:t>
            </w:r>
          </w:p>
        </w:tc>
        <w:tc>
          <w:tcPr>
            <w:tcW w:w="826" w:type="dxa"/>
            <w:gridSpan w:val="2"/>
            <w:tcBorders>
              <w:top w:val="single" w:sz="4" w:space="0" w:color="auto"/>
              <w:left w:val="single" w:sz="4" w:space="0" w:color="auto"/>
              <w:bottom w:val="single" w:sz="4" w:space="0" w:color="auto"/>
              <w:right w:val="single" w:sz="4" w:space="0" w:color="auto"/>
            </w:tcBorders>
            <w:vAlign w:val="center"/>
          </w:tcPr>
          <w:p w14:paraId="7F87036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0,392</w:t>
            </w:r>
          </w:p>
        </w:tc>
        <w:tc>
          <w:tcPr>
            <w:tcW w:w="826" w:type="dxa"/>
            <w:gridSpan w:val="2"/>
            <w:tcBorders>
              <w:top w:val="single" w:sz="4" w:space="0" w:color="auto"/>
              <w:left w:val="single" w:sz="4" w:space="0" w:color="auto"/>
              <w:bottom w:val="single" w:sz="4" w:space="0" w:color="auto"/>
              <w:right w:val="single" w:sz="4" w:space="0" w:color="auto"/>
            </w:tcBorders>
            <w:vAlign w:val="center"/>
          </w:tcPr>
          <w:p w14:paraId="799B693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3,525</w:t>
            </w:r>
          </w:p>
        </w:tc>
        <w:tc>
          <w:tcPr>
            <w:tcW w:w="489" w:type="dxa"/>
            <w:tcBorders>
              <w:top w:val="single" w:sz="4" w:space="0" w:color="auto"/>
              <w:left w:val="single" w:sz="4" w:space="0" w:color="auto"/>
              <w:bottom w:val="single" w:sz="4" w:space="0" w:color="auto"/>
              <w:right w:val="single" w:sz="4" w:space="0" w:color="auto"/>
            </w:tcBorders>
            <w:vAlign w:val="center"/>
          </w:tcPr>
          <w:p w14:paraId="5A1FE35B"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1461F074"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0,060</w:t>
            </w:r>
          </w:p>
        </w:tc>
        <w:tc>
          <w:tcPr>
            <w:tcW w:w="924" w:type="dxa"/>
            <w:gridSpan w:val="2"/>
            <w:tcBorders>
              <w:top w:val="single" w:sz="4" w:space="0" w:color="auto"/>
              <w:left w:val="single" w:sz="4" w:space="0" w:color="auto"/>
              <w:bottom w:val="single" w:sz="4" w:space="0" w:color="auto"/>
              <w:right w:val="single" w:sz="4" w:space="0" w:color="auto"/>
            </w:tcBorders>
            <w:vAlign w:val="center"/>
          </w:tcPr>
          <w:p w14:paraId="0C52562E"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0,736</w:t>
            </w:r>
          </w:p>
        </w:tc>
        <w:tc>
          <w:tcPr>
            <w:tcW w:w="994" w:type="dxa"/>
            <w:tcBorders>
              <w:top w:val="single" w:sz="4" w:space="0" w:color="auto"/>
              <w:left w:val="single" w:sz="4" w:space="0" w:color="auto"/>
              <w:bottom w:val="single" w:sz="4" w:space="0" w:color="auto"/>
              <w:right w:val="single" w:sz="4" w:space="0" w:color="auto"/>
            </w:tcBorders>
            <w:vAlign w:val="center"/>
          </w:tcPr>
          <w:p w14:paraId="4DC0D37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0,968</w:t>
            </w:r>
          </w:p>
        </w:tc>
        <w:tc>
          <w:tcPr>
            <w:tcW w:w="1030" w:type="dxa"/>
            <w:tcBorders>
              <w:top w:val="single" w:sz="4" w:space="0" w:color="auto"/>
              <w:left w:val="single" w:sz="4" w:space="0" w:color="auto"/>
              <w:bottom w:val="single" w:sz="4" w:space="0" w:color="auto"/>
              <w:right w:val="single" w:sz="4" w:space="0" w:color="auto"/>
            </w:tcBorders>
            <w:vAlign w:val="center"/>
          </w:tcPr>
          <w:p w14:paraId="797E45C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4,506</w:t>
            </w:r>
          </w:p>
        </w:tc>
      </w:tr>
      <w:tr w:rsidR="00A9409C" w:rsidRPr="00145B66" w14:paraId="23AF635B" w14:textId="77777777" w:rsidTr="00094F6F">
        <w:trPr>
          <w:jc w:val="center"/>
        </w:trPr>
        <w:tc>
          <w:tcPr>
            <w:tcW w:w="2689" w:type="dxa"/>
            <w:tcBorders>
              <w:top w:val="single" w:sz="4" w:space="0" w:color="auto"/>
              <w:left w:val="single" w:sz="4" w:space="0" w:color="auto"/>
              <w:bottom w:val="single" w:sz="4" w:space="0" w:color="auto"/>
              <w:right w:val="single" w:sz="4" w:space="0" w:color="auto"/>
            </w:tcBorders>
            <w:vAlign w:val="center"/>
            <w:hideMark/>
          </w:tcPr>
          <w:p w14:paraId="551BA350" w14:textId="77777777" w:rsidR="00A9409C" w:rsidRPr="00145B66" w:rsidRDefault="00A9409C" w:rsidP="00094F6F">
            <w:pPr>
              <w:tabs>
                <w:tab w:val="left" w:pos="0"/>
              </w:tabs>
              <w:spacing w:after="0" w:line="240" w:lineRule="auto"/>
              <w:rPr>
                <w:rFonts w:ascii="Times New Roman" w:hAnsi="Times New Roman"/>
                <w:sz w:val="24"/>
                <w:szCs w:val="24"/>
                <w:lang w:eastAsia="en-US"/>
              </w:rPr>
            </w:pPr>
            <w:r w:rsidRPr="00145B66">
              <w:rPr>
                <w:rFonts w:ascii="Times New Roman" w:hAnsi="Times New Roman"/>
                <w:sz w:val="24"/>
                <w:szCs w:val="24"/>
                <w:lang w:eastAsia="en-US"/>
              </w:rPr>
              <w:t>Адьювантная химиотерапия</w:t>
            </w:r>
          </w:p>
        </w:tc>
        <w:tc>
          <w:tcPr>
            <w:tcW w:w="1021" w:type="dxa"/>
            <w:tcBorders>
              <w:top w:val="single" w:sz="4" w:space="0" w:color="auto"/>
              <w:left w:val="single" w:sz="4" w:space="0" w:color="auto"/>
              <w:bottom w:val="single" w:sz="4" w:space="0" w:color="auto"/>
              <w:right w:val="single" w:sz="4" w:space="0" w:color="auto"/>
            </w:tcBorders>
            <w:vAlign w:val="center"/>
          </w:tcPr>
          <w:p w14:paraId="2055128D"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Pr>
                <w:rFonts w:ascii="Times New Roman" w:hAnsi="Times New Roman"/>
                <w:sz w:val="24"/>
                <w:szCs w:val="24"/>
                <w:lang w:eastAsia="en-US"/>
              </w:rPr>
              <w:t>−</w:t>
            </w:r>
            <w:r w:rsidRPr="00145B66">
              <w:rPr>
                <w:rFonts w:ascii="Times New Roman" w:hAnsi="Times New Roman"/>
                <w:sz w:val="24"/>
                <w:szCs w:val="24"/>
                <w:lang w:eastAsia="en-US"/>
              </w:rPr>
              <w:t>3,411</w:t>
            </w:r>
          </w:p>
        </w:tc>
        <w:tc>
          <w:tcPr>
            <w:tcW w:w="826" w:type="dxa"/>
            <w:gridSpan w:val="2"/>
            <w:tcBorders>
              <w:top w:val="single" w:sz="4" w:space="0" w:color="auto"/>
              <w:left w:val="single" w:sz="4" w:space="0" w:color="auto"/>
              <w:bottom w:val="single" w:sz="4" w:space="0" w:color="auto"/>
              <w:right w:val="single" w:sz="4" w:space="0" w:color="auto"/>
            </w:tcBorders>
            <w:vAlign w:val="center"/>
          </w:tcPr>
          <w:p w14:paraId="7AB5609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0,781</w:t>
            </w:r>
          </w:p>
        </w:tc>
        <w:tc>
          <w:tcPr>
            <w:tcW w:w="826" w:type="dxa"/>
            <w:gridSpan w:val="2"/>
            <w:tcBorders>
              <w:top w:val="single" w:sz="4" w:space="0" w:color="auto"/>
              <w:left w:val="single" w:sz="4" w:space="0" w:color="auto"/>
              <w:bottom w:val="single" w:sz="4" w:space="0" w:color="auto"/>
              <w:right w:val="single" w:sz="4" w:space="0" w:color="auto"/>
            </w:tcBorders>
            <w:vAlign w:val="center"/>
          </w:tcPr>
          <w:p w14:paraId="1B46A778"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4,512</w:t>
            </w:r>
          </w:p>
        </w:tc>
        <w:tc>
          <w:tcPr>
            <w:tcW w:w="489" w:type="dxa"/>
            <w:tcBorders>
              <w:top w:val="single" w:sz="4" w:space="0" w:color="auto"/>
              <w:left w:val="single" w:sz="4" w:space="0" w:color="auto"/>
              <w:bottom w:val="single" w:sz="4" w:space="0" w:color="auto"/>
              <w:right w:val="single" w:sz="4" w:space="0" w:color="auto"/>
            </w:tcBorders>
            <w:vAlign w:val="center"/>
          </w:tcPr>
          <w:p w14:paraId="009365C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w:t>
            </w:r>
          </w:p>
        </w:tc>
        <w:tc>
          <w:tcPr>
            <w:tcW w:w="840" w:type="dxa"/>
            <w:tcBorders>
              <w:top w:val="single" w:sz="4" w:space="0" w:color="auto"/>
              <w:left w:val="single" w:sz="4" w:space="0" w:color="auto"/>
              <w:bottom w:val="single" w:sz="4" w:space="0" w:color="auto"/>
              <w:right w:val="single" w:sz="4" w:space="0" w:color="auto"/>
            </w:tcBorders>
            <w:vAlign w:val="center"/>
          </w:tcPr>
          <w:p w14:paraId="31B3A20A"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0,784</w:t>
            </w:r>
          </w:p>
        </w:tc>
        <w:tc>
          <w:tcPr>
            <w:tcW w:w="924" w:type="dxa"/>
            <w:gridSpan w:val="2"/>
            <w:tcBorders>
              <w:top w:val="single" w:sz="4" w:space="0" w:color="auto"/>
              <w:left w:val="single" w:sz="4" w:space="0" w:color="auto"/>
              <w:bottom w:val="single" w:sz="4" w:space="0" w:color="auto"/>
              <w:right w:val="single" w:sz="4" w:space="0" w:color="auto"/>
            </w:tcBorders>
            <w:vAlign w:val="center"/>
          </w:tcPr>
          <w:p w14:paraId="535C15F3"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4,561</w:t>
            </w:r>
          </w:p>
        </w:tc>
        <w:tc>
          <w:tcPr>
            <w:tcW w:w="994" w:type="dxa"/>
            <w:tcBorders>
              <w:top w:val="single" w:sz="4" w:space="0" w:color="auto"/>
              <w:left w:val="single" w:sz="4" w:space="0" w:color="auto"/>
              <w:bottom w:val="single" w:sz="4" w:space="0" w:color="auto"/>
              <w:right w:val="single" w:sz="4" w:space="0" w:color="auto"/>
            </w:tcBorders>
            <w:vAlign w:val="center"/>
          </w:tcPr>
          <w:p w14:paraId="0EC2F917"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0,321</w:t>
            </w:r>
          </w:p>
        </w:tc>
        <w:tc>
          <w:tcPr>
            <w:tcW w:w="1030" w:type="dxa"/>
            <w:tcBorders>
              <w:top w:val="single" w:sz="4" w:space="0" w:color="auto"/>
              <w:left w:val="single" w:sz="4" w:space="0" w:color="auto"/>
              <w:bottom w:val="single" w:sz="4" w:space="0" w:color="auto"/>
              <w:right w:val="single" w:sz="4" w:space="0" w:color="auto"/>
            </w:tcBorders>
            <w:vAlign w:val="center"/>
          </w:tcPr>
          <w:p w14:paraId="68DA8F11" w14:textId="77777777" w:rsidR="00A9409C" w:rsidRPr="00145B66" w:rsidRDefault="00A9409C" w:rsidP="00094F6F">
            <w:pPr>
              <w:tabs>
                <w:tab w:val="left" w:pos="0"/>
              </w:tabs>
              <w:spacing w:after="0" w:line="240" w:lineRule="auto"/>
              <w:jc w:val="center"/>
              <w:rPr>
                <w:rFonts w:ascii="Times New Roman" w:hAnsi="Times New Roman"/>
                <w:sz w:val="24"/>
                <w:szCs w:val="24"/>
                <w:lang w:eastAsia="en-US"/>
              </w:rPr>
            </w:pPr>
            <w:r w:rsidRPr="00145B66">
              <w:rPr>
                <w:rFonts w:ascii="Times New Roman" w:hAnsi="Times New Roman"/>
                <w:sz w:val="24"/>
                <w:szCs w:val="24"/>
                <w:lang w:eastAsia="en-US"/>
              </w:rPr>
              <w:t>11,211</w:t>
            </w:r>
          </w:p>
        </w:tc>
      </w:tr>
    </w:tbl>
    <w:p w14:paraId="1A836E48" w14:textId="77777777" w:rsidR="00A9409C" w:rsidRPr="00870ADF" w:rsidRDefault="00A9409C" w:rsidP="00A9409C">
      <w:pPr>
        <w:autoSpaceDE w:val="0"/>
        <w:autoSpaceDN w:val="0"/>
        <w:adjustRightInd w:val="0"/>
        <w:spacing w:after="0" w:line="240" w:lineRule="auto"/>
        <w:rPr>
          <w:rFonts w:ascii="Times New Roman" w:hAnsi="Times New Roman"/>
          <w:sz w:val="28"/>
          <w:szCs w:val="28"/>
        </w:rPr>
      </w:pPr>
    </w:p>
    <w:p w14:paraId="3F2A79ED" w14:textId="10DAFF06" w:rsidR="00A9409C" w:rsidRDefault="00A9409C" w:rsidP="00A9409C">
      <w:pPr>
        <w:tabs>
          <w:tab w:val="left" w:pos="0"/>
        </w:tabs>
        <w:spacing w:after="0" w:line="240" w:lineRule="auto"/>
        <w:jc w:val="both"/>
        <w:rPr>
          <w:rFonts w:ascii="Times New Roman" w:hAnsi="Times New Roman"/>
          <w:sz w:val="28"/>
          <w:szCs w:val="28"/>
        </w:rPr>
      </w:pPr>
    </w:p>
    <w:p w14:paraId="3C765229" w14:textId="77777777" w:rsidR="00E50262" w:rsidRPr="00145B66" w:rsidRDefault="00E50262" w:rsidP="00A9409C">
      <w:pPr>
        <w:tabs>
          <w:tab w:val="left" w:pos="0"/>
        </w:tabs>
        <w:spacing w:after="0" w:line="240" w:lineRule="auto"/>
        <w:jc w:val="both"/>
        <w:rPr>
          <w:rFonts w:ascii="Times New Roman" w:hAnsi="Times New Roman"/>
          <w:sz w:val="28"/>
          <w:szCs w:val="28"/>
        </w:rPr>
      </w:pPr>
    </w:p>
    <w:p w14:paraId="5B9454A9" w14:textId="77777777" w:rsidR="00A9409C" w:rsidRDefault="00A9409C" w:rsidP="00A9409C">
      <w:pPr>
        <w:tabs>
          <w:tab w:val="left" w:pos="0"/>
        </w:tabs>
        <w:spacing w:after="0" w:line="240" w:lineRule="auto"/>
        <w:jc w:val="both"/>
        <w:rPr>
          <w:rFonts w:ascii="Times New Roman" w:hAnsi="Times New Roman"/>
          <w:sz w:val="28"/>
          <w:szCs w:val="28"/>
        </w:rPr>
      </w:pPr>
      <w:r w:rsidRPr="00145B66">
        <w:rPr>
          <w:rFonts w:ascii="Times New Roman" w:hAnsi="Times New Roman"/>
          <w:sz w:val="28"/>
          <w:szCs w:val="28"/>
        </w:rPr>
        <w:lastRenderedPageBreak/>
        <w:t xml:space="preserve">Таблица </w:t>
      </w:r>
      <w:r>
        <w:rPr>
          <w:rFonts w:ascii="Times New Roman" w:hAnsi="Times New Roman"/>
          <w:sz w:val="28"/>
          <w:szCs w:val="28"/>
        </w:rPr>
        <w:t>28</w:t>
      </w:r>
      <w:r w:rsidRPr="00145B66">
        <w:rPr>
          <w:rFonts w:ascii="Times New Roman" w:hAnsi="Times New Roman"/>
          <w:sz w:val="28"/>
          <w:szCs w:val="28"/>
        </w:rPr>
        <w:t xml:space="preserve"> </w:t>
      </w:r>
      <w:r>
        <w:rPr>
          <w:rFonts w:ascii="Times New Roman" w:hAnsi="Times New Roman"/>
          <w:sz w:val="28"/>
          <w:szCs w:val="28"/>
        </w:rPr>
        <w:t>–</w:t>
      </w:r>
      <w:r w:rsidRPr="00145B66">
        <w:rPr>
          <w:rFonts w:ascii="Times New Roman" w:hAnsi="Times New Roman"/>
          <w:sz w:val="28"/>
          <w:szCs w:val="28"/>
        </w:rPr>
        <w:t xml:space="preserve"> Многофакторная модель Кокса пропорциональных рисков развития неблагоприятного исхода (смерти) у больных в течение 1 года после хирургического лечения рака ободочной кишки</w:t>
      </w:r>
    </w:p>
    <w:tbl>
      <w:tblPr>
        <w:tblW w:w="9611" w:type="dxa"/>
        <w:jc w:val="center"/>
        <w:tblLayout w:type="fixed"/>
        <w:tblLook w:val="04A0" w:firstRow="1" w:lastRow="0" w:firstColumn="1" w:lastColumn="0" w:noHBand="0" w:noVBand="1"/>
      </w:tblPr>
      <w:tblGrid>
        <w:gridCol w:w="2127"/>
        <w:gridCol w:w="993"/>
        <w:gridCol w:w="850"/>
        <w:gridCol w:w="992"/>
        <w:gridCol w:w="426"/>
        <w:gridCol w:w="850"/>
        <w:gridCol w:w="992"/>
        <w:gridCol w:w="993"/>
        <w:gridCol w:w="1388"/>
      </w:tblGrid>
      <w:tr w:rsidR="00A9409C" w:rsidRPr="00534C59" w14:paraId="048C455A" w14:textId="77777777" w:rsidTr="00094F6F">
        <w:trPr>
          <w:trHeight w:val="227"/>
          <w:jc w:val="center"/>
        </w:trPr>
        <w:tc>
          <w:tcPr>
            <w:tcW w:w="2127" w:type="dxa"/>
            <w:vMerge w:val="restart"/>
            <w:tcBorders>
              <w:top w:val="single" w:sz="4" w:space="0" w:color="auto"/>
              <w:left w:val="single" w:sz="4" w:space="0" w:color="auto"/>
              <w:bottom w:val="single" w:sz="4" w:space="0" w:color="auto"/>
              <w:right w:val="single" w:sz="4" w:space="0" w:color="auto"/>
            </w:tcBorders>
            <w:vAlign w:val="center"/>
            <w:hideMark/>
          </w:tcPr>
          <w:p w14:paraId="37E85ECC"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Факторы</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14:paraId="68898EF3"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В</w:t>
            </w:r>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14:paraId="003DEE20" w14:textId="77777777" w:rsidR="00A9409C" w:rsidRPr="00F84A31" w:rsidRDefault="00A9409C" w:rsidP="00094F6F">
            <w:pPr>
              <w:tabs>
                <w:tab w:val="left" w:pos="0"/>
              </w:tabs>
              <w:spacing w:after="0" w:line="240" w:lineRule="auto"/>
              <w:jc w:val="center"/>
              <w:rPr>
                <w:rFonts w:ascii="Times New Roman" w:hAnsi="Times New Roman"/>
                <w:lang w:val="en-US" w:eastAsia="en-US"/>
              </w:rPr>
            </w:pPr>
            <w:r w:rsidRPr="00F84A31">
              <w:rPr>
                <w:rFonts w:ascii="Times New Roman" w:hAnsi="Times New Roman"/>
                <w:lang w:val="en-US" w:eastAsia="en-US"/>
              </w:rPr>
              <w:t>SE</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62E5000A" w14:textId="77777777" w:rsidR="00A9409C" w:rsidRPr="00F84A31" w:rsidRDefault="00A9409C" w:rsidP="00094F6F">
            <w:pPr>
              <w:tabs>
                <w:tab w:val="left" w:pos="0"/>
              </w:tabs>
              <w:spacing w:after="0" w:line="240" w:lineRule="auto"/>
              <w:jc w:val="center"/>
              <w:rPr>
                <w:rFonts w:ascii="Times New Roman" w:hAnsi="Times New Roman"/>
                <w:lang w:val="kk-KZ" w:eastAsia="en-US"/>
              </w:rPr>
            </w:pPr>
            <w:r w:rsidRPr="00F84A31">
              <w:rPr>
                <w:rFonts w:ascii="Times New Roman" w:hAnsi="Times New Roman"/>
                <w:lang w:val="en-US" w:eastAsia="en-US"/>
              </w:rPr>
              <w:t>Wald</w:t>
            </w:r>
          </w:p>
        </w:tc>
        <w:tc>
          <w:tcPr>
            <w:tcW w:w="426" w:type="dxa"/>
            <w:vMerge w:val="restart"/>
            <w:tcBorders>
              <w:top w:val="single" w:sz="4" w:space="0" w:color="auto"/>
              <w:left w:val="single" w:sz="4" w:space="0" w:color="auto"/>
              <w:bottom w:val="single" w:sz="4" w:space="0" w:color="auto"/>
              <w:right w:val="single" w:sz="4" w:space="0" w:color="auto"/>
            </w:tcBorders>
            <w:vAlign w:val="center"/>
            <w:hideMark/>
          </w:tcPr>
          <w:p w14:paraId="063F653E" w14:textId="77777777" w:rsidR="00A9409C" w:rsidRPr="00F84A31" w:rsidRDefault="00A9409C" w:rsidP="00094F6F">
            <w:pPr>
              <w:tabs>
                <w:tab w:val="left" w:pos="0"/>
              </w:tabs>
              <w:spacing w:after="0" w:line="240" w:lineRule="auto"/>
              <w:jc w:val="center"/>
              <w:rPr>
                <w:rFonts w:ascii="Times New Roman" w:hAnsi="Times New Roman"/>
                <w:lang w:val="en-US" w:eastAsia="en-US"/>
              </w:rPr>
            </w:pPr>
            <w:proofErr w:type="spellStart"/>
            <w:r w:rsidRPr="00F84A31">
              <w:rPr>
                <w:rFonts w:ascii="Times New Roman" w:hAnsi="Times New Roman"/>
                <w:lang w:val="en-US" w:eastAsia="en-US"/>
              </w:rPr>
              <w:t>df</w:t>
            </w:r>
            <w:proofErr w:type="spellEnd"/>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14:paraId="491BA2B6" w14:textId="77777777" w:rsidR="00A9409C" w:rsidRPr="00F84A31" w:rsidRDefault="00A9409C" w:rsidP="00094F6F">
            <w:pPr>
              <w:tabs>
                <w:tab w:val="left" w:pos="0"/>
              </w:tabs>
              <w:spacing w:after="0" w:line="240" w:lineRule="auto"/>
              <w:jc w:val="center"/>
              <w:rPr>
                <w:rFonts w:ascii="Times New Roman" w:hAnsi="Times New Roman"/>
                <w:lang w:eastAsia="en-US"/>
              </w:rPr>
            </w:pPr>
            <w:proofErr w:type="gramStart"/>
            <w:r w:rsidRPr="00F84A31">
              <w:rPr>
                <w:rFonts w:ascii="Times New Roman" w:hAnsi="Times New Roman"/>
                <w:lang w:eastAsia="en-US"/>
              </w:rPr>
              <w:t>р</w:t>
            </w:r>
            <w:proofErr w:type="gramEnd"/>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443DF9E2" w14:textId="77777777" w:rsidR="00A9409C" w:rsidRPr="00F84A31" w:rsidRDefault="00A9409C" w:rsidP="00094F6F">
            <w:pPr>
              <w:tabs>
                <w:tab w:val="left" w:pos="0"/>
              </w:tabs>
              <w:spacing w:after="0" w:line="240" w:lineRule="auto"/>
              <w:jc w:val="center"/>
              <w:rPr>
                <w:rFonts w:ascii="Times New Roman" w:hAnsi="Times New Roman"/>
                <w:lang w:val="en-US" w:eastAsia="en-US"/>
              </w:rPr>
            </w:pPr>
            <w:proofErr w:type="spellStart"/>
            <w:r w:rsidRPr="00F84A31">
              <w:rPr>
                <w:rFonts w:ascii="Times New Roman" w:hAnsi="Times New Roman"/>
                <w:lang w:val="en-US" w:eastAsia="en-US"/>
              </w:rPr>
              <w:t>Exp</w:t>
            </w:r>
            <w:proofErr w:type="spellEnd"/>
            <w:r w:rsidRPr="00F84A31">
              <w:rPr>
                <w:rFonts w:ascii="Times New Roman" w:hAnsi="Times New Roman"/>
                <w:lang w:eastAsia="en-US"/>
              </w:rPr>
              <w:t>(</w:t>
            </w:r>
            <w:r w:rsidRPr="00F84A31">
              <w:rPr>
                <w:rFonts w:ascii="Times New Roman" w:hAnsi="Times New Roman"/>
                <w:lang w:val="en-US" w:eastAsia="en-US"/>
              </w:rPr>
              <w:t>B</w:t>
            </w:r>
            <w:r w:rsidRPr="00F84A31">
              <w:rPr>
                <w:rFonts w:ascii="Times New Roman" w:hAnsi="Times New Roman"/>
                <w:lang w:eastAsia="en-US"/>
              </w:rPr>
              <w:t>)</w:t>
            </w:r>
          </w:p>
        </w:tc>
        <w:tc>
          <w:tcPr>
            <w:tcW w:w="2381" w:type="dxa"/>
            <w:gridSpan w:val="2"/>
            <w:tcBorders>
              <w:top w:val="single" w:sz="4" w:space="0" w:color="auto"/>
              <w:left w:val="single" w:sz="4" w:space="0" w:color="auto"/>
              <w:bottom w:val="single" w:sz="4" w:space="0" w:color="auto"/>
              <w:right w:val="single" w:sz="4" w:space="0" w:color="auto"/>
            </w:tcBorders>
            <w:vAlign w:val="center"/>
            <w:hideMark/>
          </w:tcPr>
          <w:p w14:paraId="18A81DCF"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95% ДИ</w:t>
            </w:r>
          </w:p>
        </w:tc>
      </w:tr>
      <w:tr w:rsidR="00A9409C" w:rsidRPr="00534C59" w14:paraId="05744B32" w14:textId="77777777" w:rsidTr="00094F6F">
        <w:trPr>
          <w:trHeight w:val="227"/>
          <w:jc w:val="center"/>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144D352F" w14:textId="77777777" w:rsidR="00A9409C" w:rsidRPr="00F84A31" w:rsidRDefault="00A9409C" w:rsidP="00094F6F">
            <w:pPr>
              <w:spacing w:after="0" w:line="240" w:lineRule="auto"/>
              <w:rPr>
                <w:rFonts w:ascii="Times New Roman" w:hAnsi="Times New Roman"/>
                <w:lang w:eastAsia="en-US"/>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70FE1B58" w14:textId="77777777" w:rsidR="00A9409C" w:rsidRPr="00F84A31" w:rsidRDefault="00A9409C" w:rsidP="00094F6F">
            <w:pPr>
              <w:spacing w:after="0" w:line="240" w:lineRule="auto"/>
              <w:jc w:val="center"/>
              <w:rPr>
                <w:rFonts w:ascii="Times New Roman" w:hAnsi="Times New Roman"/>
                <w:lang w:eastAsia="en-US"/>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5F6C05EA" w14:textId="77777777" w:rsidR="00A9409C" w:rsidRPr="00F84A31" w:rsidRDefault="00A9409C" w:rsidP="00094F6F">
            <w:pPr>
              <w:spacing w:after="0" w:line="240" w:lineRule="auto"/>
              <w:jc w:val="center"/>
              <w:rPr>
                <w:rFonts w:ascii="Times New Roman" w:hAnsi="Times New Roman"/>
                <w:lang w:val="en-US"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E2BC117" w14:textId="77777777" w:rsidR="00A9409C" w:rsidRPr="00F84A31" w:rsidRDefault="00A9409C" w:rsidP="00094F6F">
            <w:pPr>
              <w:spacing w:after="0" w:line="240" w:lineRule="auto"/>
              <w:jc w:val="center"/>
              <w:rPr>
                <w:rFonts w:ascii="Times New Roman" w:hAnsi="Times New Roman"/>
                <w:lang w:val="kk-KZ" w:eastAsia="en-US"/>
              </w:rPr>
            </w:pPr>
          </w:p>
        </w:tc>
        <w:tc>
          <w:tcPr>
            <w:tcW w:w="426" w:type="dxa"/>
            <w:vMerge/>
            <w:tcBorders>
              <w:top w:val="single" w:sz="4" w:space="0" w:color="auto"/>
              <w:left w:val="single" w:sz="4" w:space="0" w:color="auto"/>
              <w:bottom w:val="single" w:sz="4" w:space="0" w:color="auto"/>
              <w:right w:val="single" w:sz="4" w:space="0" w:color="auto"/>
            </w:tcBorders>
            <w:vAlign w:val="center"/>
            <w:hideMark/>
          </w:tcPr>
          <w:p w14:paraId="7F9B7C73" w14:textId="77777777" w:rsidR="00A9409C" w:rsidRPr="00F84A31" w:rsidRDefault="00A9409C" w:rsidP="00094F6F">
            <w:pPr>
              <w:spacing w:after="0" w:line="240" w:lineRule="auto"/>
              <w:jc w:val="center"/>
              <w:rPr>
                <w:rFonts w:ascii="Times New Roman" w:hAnsi="Times New Roman"/>
                <w:lang w:val="en-US" w:eastAsia="en-US"/>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0B02339A" w14:textId="77777777" w:rsidR="00A9409C" w:rsidRPr="00F84A31" w:rsidRDefault="00A9409C" w:rsidP="00094F6F">
            <w:pPr>
              <w:spacing w:after="0" w:line="240" w:lineRule="auto"/>
              <w:jc w:val="center"/>
              <w:rPr>
                <w:rFonts w:ascii="Times New Roman" w:hAnsi="Times New Roman"/>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E825D1B" w14:textId="77777777" w:rsidR="00A9409C" w:rsidRPr="00F84A31" w:rsidRDefault="00A9409C" w:rsidP="00094F6F">
            <w:pPr>
              <w:spacing w:after="0" w:line="240" w:lineRule="auto"/>
              <w:jc w:val="center"/>
              <w:rPr>
                <w:rFonts w:ascii="Times New Roman" w:hAnsi="Times New Roman"/>
                <w:lang w:val="en-US" w:eastAsia="en-US"/>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1A3ABD90" w14:textId="77777777" w:rsidR="00A9409C" w:rsidRPr="00F84A31" w:rsidRDefault="00A9409C" w:rsidP="00094F6F">
            <w:pPr>
              <w:tabs>
                <w:tab w:val="left" w:pos="0"/>
              </w:tabs>
              <w:spacing w:after="0" w:line="240" w:lineRule="auto"/>
              <w:jc w:val="center"/>
              <w:rPr>
                <w:rFonts w:ascii="Times New Roman" w:hAnsi="Times New Roman"/>
                <w:lang w:eastAsia="en-US"/>
              </w:rPr>
            </w:pPr>
            <w:proofErr w:type="gramStart"/>
            <w:r w:rsidRPr="00F84A31">
              <w:rPr>
                <w:rFonts w:ascii="Times New Roman" w:hAnsi="Times New Roman"/>
                <w:lang w:eastAsia="en-US"/>
              </w:rPr>
              <w:t>нижняя</w:t>
            </w:r>
            <w:proofErr w:type="gramEnd"/>
          </w:p>
        </w:tc>
        <w:tc>
          <w:tcPr>
            <w:tcW w:w="1388" w:type="dxa"/>
            <w:tcBorders>
              <w:top w:val="single" w:sz="4" w:space="0" w:color="auto"/>
              <w:left w:val="single" w:sz="4" w:space="0" w:color="auto"/>
              <w:bottom w:val="single" w:sz="4" w:space="0" w:color="auto"/>
              <w:right w:val="single" w:sz="4" w:space="0" w:color="auto"/>
            </w:tcBorders>
            <w:vAlign w:val="center"/>
            <w:hideMark/>
          </w:tcPr>
          <w:p w14:paraId="5A86EE64" w14:textId="77777777" w:rsidR="00A9409C" w:rsidRPr="00F84A31" w:rsidRDefault="00A9409C" w:rsidP="00094F6F">
            <w:pPr>
              <w:tabs>
                <w:tab w:val="left" w:pos="0"/>
              </w:tabs>
              <w:spacing w:after="0" w:line="240" w:lineRule="auto"/>
              <w:jc w:val="center"/>
              <w:rPr>
                <w:rFonts w:ascii="Times New Roman" w:hAnsi="Times New Roman"/>
                <w:lang w:eastAsia="en-US"/>
              </w:rPr>
            </w:pPr>
            <w:proofErr w:type="gramStart"/>
            <w:r w:rsidRPr="00F84A31">
              <w:rPr>
                <w:rFonts w:ascii="Times New Roman" w:hAnsi="Times New Roman"/>
                <w:lang w:eastAsia="en-US"/>
              </w:rPr>
              <w:t>верхняя</w:t>
            </w:r>
            <w:proofErr w:type="gramEnd"/>
          </w:p>
        </w:tc>
      </w:tr>
      <w:tr w:rsidR="00A9409C" w:rsidRPr="00534C59" w14:paraId="075C5A49" w14:textId="77777777" w:rsidTr="00094F6F">
        <w:trPr>
          <w:trHeight w:val="227"/>
          <w:jc w:val="center"/>
        </w:trPr>
        <w:tc>
          <w:tcPr>
            <w:tcW w:w="2127" w:type="dxa"/>
            <w:tcBorders>
              <w:top w:val="single" w:sz="4" w:space="0" w:color="auto"/>
              <w:left w:val="single" w:sz="4" w:space="0" w:color="auto"/>
              <w:bottom w:val="single" w:sz="4" w:space="0" w:color="auto"/>
              <w:right w:val="single" w:sz="4" w:space="0" w:color="auto"/>
            </w:tcBorders>
            <w:vAlign w:val="center"/>
          </w:tcPr>
          <w:p w14:paraId="597580F9" w14:textId="77777777" w:rsidR="00A9409C" w:rsidRPr="00F84A31" w:rsidRDefault="00A9409C" w:rsidP="00094F6F">
            <w:pPr>
              <w:tabs>
                <w:tab w:val="left" w:pos="0"/>
              </w:tabs>
              <w:spacing w:after="0" w:line="240" w:lineRule="auto"/>
              <w:rPr>
                <w:rFonts w:ascii="Times New Roman" w:hAnsi="Times New Roman"/>
                <w:lang w:eastAsia="en-US"/>
              </w:rPr>
            </w:pPr>
            <w:r w:rsidRPr="00F84A31">
              <w:rPr>
                <w:rFonts w:ascii="Times New Roman" w:hAnsi="Times New Roman"/>
                <w:lang w:eastAsia="en-US"/>
              </w:rPr>
              <w:t xml:space="preserve">Возраст </w:t>
            </w:r>
          </w:p>
        </w:tc>
        <w:tc>
          <w:tcPr>
            <w:tcW w:w="993" w:type="dxa"/>
            <w:tcBorders>
              <w:top w:val="single" w:sz="4" w:space="0" w:color="auto"/>
              <w:left w:val="single" w:sz="4" w:space="0" w:color="auto"/>
              <w:bottom w:val="single" w:sz="4" w:space="0" w:color="auto"/>
              <w:right w:val="single" w:sz="4" w:space="0" w:color="auto"/>
            </w:tcBorders>
            <w:vAlign w:val="center"/>
          </w:tcPr>
          <w:p w14:paraId="0BE1B90F"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1,203</w:t>
            </w:r>
          </w:p>
        </w:tc>
        <w:tc>
          <w:tcPr>
            <w:tcW w:w="850" w:type="dxa"/>
            <w:tcBorders>
              <w:top w:val="single" w:sz="4" w:space="0" w:color="auto"/>
              <w:left w:val="single" w:sz="4" w:space="0" w:color="auto"/>
              <w:bottom w:val="single" w:sz="4" w:space="0" w:color="auto"/>
              <w:right w:val="single" w:sz="4" w:space="0" w:color="auto"/>
            </w:tcBorders>
            <w:vAlign w:val="center"/>
          </w:tcPr>
          <w:p w14:paraId="6D853DCD"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0,465</w:t>
            </w:r>
          </w:p>
        </w:tc>
        <w:tc>
          <w:tcPr>
            <w:tcW w:w="992" w:type="dxa"/>
            <w:tcBorders>
              <w:top w:val="single" w:sz="4" w:space="0" w:color="auto"/>
              <w:left w:val="single" w:sz="4" w:space="0" w:color="auto"/>
              <w:bottom w:val="single" w:sz="4" w:space="0" w:color="auto"/>
              <w:right w:val="single" w:sz="4" w:space="0" w:color="auto"/>
            </w:tcBorders>
            <w:vAlign w:val="center"/>
          </w:tcPr>
          <w:p w14:paraId="2BA0DB02"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0,689</w:t>
            </w:r>
          </w:p>
        </w:tc>
        <w:tc>
          <w:tcPr>
            <w:tcW w:w="426" w:type="dxa"/>
            <w:tcBorders>
              <w:top w:val="single" w:sz="4" w:space="0" w:color="auto"/>
              <w:left w:val="single" w:sz="4" w:space="0" w:color="auto"/>
              <w:bottom w:val="single" w:sz="4" w:space="0" w:color="auto"/>
              <w:right w:val="single" w:sz="4" w:space="0" w:color="auto"/>
            </w:tcBorders>
            <w:vAlign w:val="center"/>
          </w:tcPr>
          <w:p w14:paraId="54FEA72E"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850" w:type="dxa"/>
            <w:tcBorders>
              <w:top w:val="single" w:sz="4" w:space="0" w:color="auto"/>
              <w:left w:val="single" w:sz="4" w:space="0" w:color="auto"/>
              <w:bottom w:val="single" w:sz="4" w:space="0" w:color="auto"/>
              <w:right w:val="single" w:sz="4" w:space="0" w:color="auto"/>
            </w:tcBorders>
            <w:vAlign w:val="center"/>
          </w:tcPr>
          <w:p w14:paraId="4860662E"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0,012</w:t>
            </w:r>
          </w:p>
        </w:tc>
        <w:tc>
          <w:tcPr>
            <w:tcW w:w="992" w:type="dxa"/>
            <w:tcBorders>
              <w:top w:val="single" w:sz="4" w:space="0" w:color="auto"/>
              <w:left w:val="single" w:sz="4" w:space="0" w:color="auto"/>
              <w:bottom w:val="single" w:sz="4" w:space="0" w:color="auto"/>
              <w:right w:val="single" w:sz="4" w:space="0" w:color="auto"/>
            </w:tcBorders>
            <w:vAlign w:val="center"/>
          </w:tcPr>
          <w:p w14:paraId="353CBDB7"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1,565</w:t>
            </w:r>
          </w:p>
        </w:tc>
        <w:tc>
          <w:tcPr>
            <w:tcW w:w="993" w:type="dxa"/>
            <w:tcBorders>
              <w:top w:val="single" w:sz="4" w:space="0" w:color="auto"/>
              <w:left w:val="single" w:sz="4" w:space="0" w:color="auto"/>
              <w:bottom w:val="single" w:sz="4" w:space="0" w:color="auto"/>
              <w:right w:val="single" w:sz="4" w:space="0" w:color="auto"/>
            </w:tcBorders>
            <w:vAlign w:val="center"/>
          </w:tcPr>
          <w:p w14:paraId="7646E87F"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1,495</w:t>
            </w:r>
          </w:p>
        </w:tc>
        <w:tc>
          <w:tcPr>
            <w:tcW w:w="1388" w:type="dxa"/>
            <w:tcBorders>
              <w:top w:val="single" w:sz="4" w:space="0" w:color="auto"/>
              <w:left w:val="single" w:sz="4" w:space="0" w:color="auto"/>
              <w:bottom w:val="single" w:sz="4" w:space="0" w:color="auto"/>
              <w:right w:val="single" w:sz="4" w:space="0" w:color="auto"/>
            </w:tcBorders>
            <w:vAlign w:val="center"/>
          </w:tcPr>
          <w:p w14:paraId="19525A3B"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3,514</w:t>
            </w:r>
          </w:p>
        </w:tc>
      </w:tr>
      <w:tr w:rsidR="00A9409C" w:rsidRPr="00534C59" w14:paraId="7A5168BB" w14:textId="77777777" w:rsidTr="00094F6F">
        <w:trPr>
          <w:trHeight w:val="227"/>
          <w:jc w:val="center"/>
        </w:trPr>
        <w:tc>
          <w:tcPr>
            <w:tcW w:w="2127" w:type="dxa"/>
            <w:tcBorders>
              <w:top w:val="single" w:sz="4" w:space="0" w:color="auto"/>
              <w:left w:val="single" w:sz="4" w:space="0" w:color="auto"/>
              <w:bottom w:val="single" w:sz="4" w:space="0" w:color="auto"/>
              <w:right w:val="single" w:sz="4" w:space="0" w:color="auto"/>
            </w:tcBorders>
            <w:vAlign w:val="center"/>
          </w:tcPr>
          <w:p w14:paraId="7D00559E" w14:textId="77777777" w:rsidR="00A9409C" w:rsidRPr="00F84A31" w:rsidRDefault="00A9409C" w:rsidP="00094F6F">
            <w:pPr>
              <w:tabs>
                <w:tab w:val="left" w:pos="0"/>
              </w:tabs>
              <w:spacing w:after="0" w:line="240" w:lineRule="auto"/>
              <w:rPr>
                <w:rFonts w:ascii="Times New Roman" w:hAnsi="Times New Roman"/>
                <w:lang w:eastAsia="en-US"/>
              </w:rPr>
            </w:pPr>
            <w:r w:rsidRPr="00F84A31">
              <w:rPr>
                <w:rFonts w:ascii="Times New Roman" w:hAnsi="Times New Roman"/>
                <w:lang w:val="en-US" w:eastAsia="en-US"/>
              </w:rPr>
              <w:t>III</w:t>
            </w:r>
            <w:r w:rsidRPr="00F84A31">
              <w:rPr>
                <w:rFonts w:ascii="Times New Roman" w:hAnsi="Times New Roman"/>
                <w:lang w:eastAsia="en-US"/>
              </w:rPr>
              <w:t xml:space="preserve"> стадия рака ободочной кишки</w:t>
            </w:r>
          </w:p>
        </w:tc>
        <w:tc>
          <w:tcPr>
            <w:tcW w:w="993" w:type="dxa"/>
            <w:tcBorders>
              <w:top w:val="single" w:sz="4" w:space="0" w:color="auto"/>
              <w:left w:val="single" w:sz="4" w:space="0" w:color="auto"/>
              <w:bottom w:val="single" w:sz="4" w:space="0" w:color="auto"/>
              <w:right w:val="single" w:sz="4" w:space="0" w:color="auto"/>
            </w:tcBorders>
            <w:vAlign w:val="center"/>
          </w:tcPr>
          <w:p w14:paraId="10E189F5"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1,522</w:t>
            </w:r>
          </w:p>
        </w:tc>
        <w:tc>
          <w:tcPr>
            <w:tcW w:w="850" w:type="dxa"/>
            <w:tcBorders>
              <w:top w:val="single" w:sz="4" w:space="0" w:color="auto"/>
              <w:left w:val="single" w:sz="4" w:space="0" w:color="auto"/>
              <w:bottom w:val="single" w:sz="4" w:space="0" w:color="auto"/>
              <w:right w:val="single" w:sz="4" w:space="0" w:color="auto"/>
            </w:tcBorders>
            <w:vAlign w:val="center"/>
          </w:tcPr>
          <w:p w14:paraId="377643B6"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0,635</w:t>
            </w:r>
          </w:p>
        </w:tc>
        <w:tc>
          <w:tcPr>
            <w:tcW w:w="992" w:type="dxa"/>
            <w:tcBorders>
              <w:top w:val="single" w:sz="4" w:space="0" w:color="auto"/>
              <w:left w:val="single" w:sz="4" w:space="0" w:color="auto"/>
              <w:bottom w:val="single" w:sz="4" w:space="0" w:color="auto"/>
              <w:right w:val="single" w:sz="4" w:space="0" w:color="auto"/>
            </w:tcBorders>
            <w:vAlign w:val="center"/>
          </w:tcPr>
          <w:p w14:paraId="4F107070"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2,355</w:t>
            </w:r>
          </w:p>
        </w:tc>
        <w:tc>
          <w:tcPr>
            <w:tcW w:w="426" w:type="dxa"/>
            <w:tcBorders>
              <w:top w:val="single" w:sz="4" w:space="0" w:color="auto"/>
              <w:left w:val="single" w:sz="4" w:space="0" w:color="auto"/>
              <w:bottom w:val="single" w:sz="4" w:space="0" w:color="auto"/>
              <w:right w:val="single" w:sz="4" w:space="0" w:color="auto"/>
            </w:tcBorders>
            <w:vAlign w:val="center"/>
          </w:tcPr>
          <w:p w14:paraId="44B651ED"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850" w:type="dxa"/>
            <w:tcBorders>
              <w:top w:val="single" w:sz="4" w:space="0" w:color="auto"/>
              <w:left w:val="single" w:sz="4" w:space="0" w:color="auto"/>
              <w:bottom w:val="single" w:sz="4" w:space="0" w:color="auto"/>
              <w:right w:val="single" w:sz="4" w:space="0" w:color="auto"/>
            </w:tcBorders>
            <w:vAlign w:val="center"/>
          </w:tcPr>
          <w:p w14:paraId="2171D7C0"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0,000</w:t>
            </w:r>
          </w:p>
        </w:tc>
        <w:tc>
          <w:tcPr>
            <w:tcW w:w="992" w:type="dxa"/>
            <w:tcBorders>
              <w:top w:val="single" w:sz="4" w:space="0" w:color="auto"/>
              <w:left w:val="single" w:sz="4" w:space="0" w:color="auto"/>
              <w:bottom w:val="single" w:sz="4" w:space="0" w:color="auto"/>
              <w:right w:val="single" w:sz="4" w:space="0" w:color="auto"/>
            </w:tcBorders>
            <w:vAlign w:val="center"/>
          </w:tcPr>
          <w:p w14:paraId="276EB4BF"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0,425</w:t>
            </w:r>
          </w:p>
        </w:tc>
        <w:tc>
          <w:tcPr>
            <w:tcW w:w="993" w:type="dxa"/>
            <w:tcBorders>
              <w:top w:val="single" w:sz="4" w:space="0" w:color="auto"/>
              <w:left w:val="single" w:sz="4" w:space="0" w:color="auto"/>
              <w:bottom w:val="single" w:sz="4" w:space="0" w:color="auto"/>
              <w:right w:val="single" w:sz="4" w:space="0" w:color="auto"/>
            </w:tcBorders>
            <w:vAlign w:val="center"/>
          </w:tcPr>
          <w:p w14:paraId="5D18CE9D"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0,123</w:t>
            </w:r>
          </w:p>
        </w:tc>
        <w:tc>
          <w:tcPr>
            <w:tcW w:w="1388" w:type="dxa"/>
            <w:tcBorders>
              <w:top w:val="single" w:sz="4" w:space="0" w:color="auto"/>
              <w:left w:val="single" w:sz="4" w:space="0" w:color="auto"/>
              <w:bottom w:val="single" w:sz="4" w:space="0" w:color="auto"/>
              <w:right w:val="single" w:sz="4" w:space="0" w:color="auto"/>
            </w:tcBorders>
            <w:vAlign w:val="center"/>
          </w:tcPr>
          <w:p w14:paraId="1BBB44F7"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0,985</w:t>
            </w:r>
          </w:p>
        </w:tc>
      </w:tr>
      <w:tr w:rsidR="00A9409C" w:rsidRPr="00534C59" w14:paraId="6601FF2B" w14:textId="77777777" w:rsidTr="00094F6F">
        <w:trPr>
          <w:trHeight w:val="227"/>
          <w:jc w:val="center"/>
        </w:trPr>
        <w:tc>
          <w:tcPr>
            <w:tcW w:w="2127" w:type="dxa"/>
            <w:tcBorders>
              <w:top w:val="single" w:sz="4" w:space="0" w:color="auto"/>
              <w:left w:val="single" w:sz="4" w:space="0" w:color="auto"/>
              <w:bottom w:val="single" w:sz="4" w:space="0" w:color="auto"/>
              <w:right w:val="single" w:sz="4" w:space="0" w:color="auto"/>
            </w:tcBorders>
            <w:vAlign w:val="center"/>
          </w:tcPr>
          <w:p w14:paraId="202BC632" w14:textId="77777777" w:rsidR="00A9409C" w:rsidRPr="00F84A31" w:rsidRDefault="00A9409C" w:rsidP="00094F6F">
            <w:pPr>
              <w:spacing w:after="0" w:line="240" w:lineRule="auto"/>
              <w:rPr>
                <w:rFonts w:ascii="Times New Roman" w:hAnsi="Times New Roman"/>
                <w:bCs/>
                <w:lang w:eastAsia="en-US"/>
              </w:rPr>
            </w:pPr>
            <w:r w:rsidRPr="00F84A31">
              <w:rPr>
                <w:rFonts w:ascii="Times New Roman" w:hAnsi="Times New Roman"/>
                <w:bCs/>
                <w:lang w:eastAsia="en-US"/>
              </w:rPr>
              <w:t xml:space="preserve">Низкая </w:t>
            </w:r>
            <w:r w:rsidRPr="00F84A31">
              <w:rPr>
                <w:rFonts w:ascii="Times New Roman" w:hAnsi="Times New Roman"/>
                <w:lang w:eastAsia="en-US"/>
              </w:rPr>
              <w:t xml:space="preserve">степень дифференцировки </w:t>
            </w:r>
          </w:p>
        </w:tc>
        <w:tc>
          <w:tcPr>
            <w:tcW w:w="993" w:type="dxa"/>
            <w:tcBorders>
              <w:top w:val="single" w:sz="4" w:space="0" w:color="auto"/>
              <w:left w:val="single" w:sz="4" w:space="0" w:color="auto"/>
              <w:bottom w:val="single" w:sz="4" w:space="0" w:color="auto"/>
              <w:right w:val="single" w:sz="4" w:space="0" w:color="auto"/>
            </w:tcBorders>
            <w:vAlign w:val="center"/>
          </w:tcPr>
          <w:p w14:paraId="4A5F342B"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0,952</w:t>
            </w:r>
          </w:p>
        </w:tc>
        <w:tc>
          <w:tcPr>
            <w:tcW w:w="850" w:type="dxa"/>
            <w:tcBorders>
              <w:top w:val="single" w:sz="4" w:space="0" w:color="auto"/>
              <w:left w:val="single" w:sz="4" w:space="0" w:color="auto"/>
              <w:bottom w:val="single" w:sz="4" w:space="0" w:color="auto"/>
              <w:right w:val="single" w:sz="4" w:space="0" w:color="auto"/>
            </w:tcBorders>
            <w:vAlign w:val="center"/>
          </w:tcPr>
          <w:p w14:paraId="416144D1"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0,127</w:t>
            </w:r>
          </w:p>
        </w:tc>
        <w:tc>
          <w:tcPr>
            <w:tcW w:w="992" w:type="dxa"/>
            <w:tcBorders>
              <w:top w:val="single" w:sz="4" w:space="0" w:color="auto"/>
              <w:left w:val="single" w:sz="4" w:space="0" w:color="auto"/>
              <w:bottom w:val="single" w:sz="4" w:space="0" w:color="auto"/>
              <w:right w:val="single" w:sz="4" w:space="0" w:color="auto"/>
            </w:tcBorders>
            <w:vAlign w:val="center"/>
          </w:tcPr>
          <w:p w14:paraId="4B99CEAE"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0,935</w:t>
            </w:r>
          </w:p>
        </w:tc>
        <w:tc>
          <w:tcPr>
            <w:tcW w:w="426" w:type="dxa"/>
            <w:tcBorders>
              <w:top w:val="single" w:sz="4" w:space="0" w:color="auto"/>
              <w:left w:val="single" w:sz="4" w:space="0" w:color="auto"/>
              <w:bottom w:val="single" w:sz="4" w:space="0" w:color="auto"/>
              <w:right w:val="single" w:sz="4" w:space="0" w:color="auto"/>
            </w:tcBorders>
            <w:vAlign w:val="center"/>
          </w:tcPr>
          <w:p w14:paraId="669AD15C"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850" w:type="dxa"/>
            <w:tcBorders>
              <w:top w:val="single" w:sz="4" w:space="0" w:color="auto"/>
              <w:left w:val="single" w:sz="4" w:space="0" w:color="auto"/>
              <w:bottom w:val="single" w:sz="4" w:space="0" w:color="auto"/>
              <w:right w:val="single" w:sz="4" w:space="0" w:color="auto"/>
            </w:tcBorders>
            <w:vAlign w:val="center"/>
          </w:tcPr>
          <w:p w14:paraId="5C5EA2B1"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0,000</w:t>
            </w:r>
          </w:p>
        </w:tc>
        <w:tc>
          <w:tcPr>
            <w:tcW w:w="992" w:type="dxa"/>
            <w:tcBorders>
              <w:top w:val="single" w:sz="4" w:space="0" w:color="auto"/>
              <w:left w:val="single" w:sz="4" w:space="0" w:color="auto"/>
              <w:bottom w:val="single" w:sz="4" w:space="0" w:color="auto"/>
              <w:right w:val="single" w:sz="4" w:space="0" w:color="auto"/>
            </w:tcBorders>
            <w:vAlign w:val="center"/>
          </w:tcPr>
          <w:p w14:paraId="35944C33"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0,524</w:t>
            </w:r>
          </w:p>
        </w:tc>
        <w:tc>
          <w:tcPr>
            <w:tcW w:w="993" w:type="dxa"/>
            <w:tcBorders>
              <w:top w:val="single" w:sz="4" w:space="0" w:color="auto"/>
              <w:left w:val="single" w:sz="4" w:space="0" w:color="auto"/>
              <w:bottom w:val="single" w:sz="4" w:space="0" w:color="auto"/>
              <w:right w:val="single" w:sz="4" w:space="0" w:color="auto"/>
            </w:tcBorders>
            <w:vAlign w:val="center"/>
          </w:tcPr>
          <w:p w14:paraId="153C0996"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0,147</w:t>
            </w:r>
          </w:p>
        </w:tc>
        <w:tc>
          <w:tcPr>
            <w:tcW w:w="1388" w:type="dxa"/>
            <w:tcBorders>
              <w:top w:val="single" w:sz="4" w:space="0" w:color="auto"/>
              <w:left w:val="single" w:sz="4" w:space="0" w:color="auto"/>
              <w:bottom w:val="single" w:sz="4" w:space="0" w:color="auto"/>
              <w:right w:val="single" w:sz="4" w:space="0" w:color="auto"/>
            </w:tcBorders>
            <w:vAlign w:val="center"/>
          </w:tcPr>
          <w:p w14:paraId="3B4876CA"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0,836</w:t>
            </w:r>
          </w:p>
        </w:tc>
      </w:tr>
      <w:tr w:rsidR="00A9409C" w:rsidRPr="00534C59" w14:paraId="7C90D0AA" w14:textId="77777777" w:rsidTr="00094F6F">
        <w:trPr>
          <w:trHeight w:val="227"/>
          <w:jc w:val="center"/>
        </w:trPr>
        <w:tc>
          <w:tcPr>
            <w:tcW w:w="2127" w:type="dxa"/>
            <w:tcBorders>
              <w:top w:val="single" w:sz="4" w:space="0" w:color="auto"/>
              <w:left w:val="single" w:sz="4" w:space="0" w:color="auto"/>
              <w:bottom w:val="single" w:sz="4" w:space="0" w:color="auto"/>
              <w:right w:val="single" w:sz="4" w:space="0" w:color="auto"/>
            </w:tcBorders>
            <w:vAlign w:val="center"/>
          </w:tcPr>
          <w:p w14:paraId="75A70203" w14:textId="77777777" w:rsidR="00A9409C" w:rsidRPr="00F84A31" w:rsidRDefault="00A9409C" w:rsidP="00094F6F">
            <w:pPr>
              <w:spacing w:after="0" w:line="240" w:lineRule="auto"/>
              <w:rPr>
                <w:rFonts w:ascii="Times New Roman" w:hAnsi="Times New Roman"/>
                <w:bCs/>
                <w:lang w:eastAsia="en-US"/>
              </w:rPr>
            </w:pPr>
            <w:r w:rsidRPr="00F84A31">
              <w:rPr>
                <w:rFonts w:ascii="Times New Roman" w:hAnsi="Times New Roman"/>
                <w:lang w:eastAsia="en-US"/>
              </w:rPr>
              <w:t>Недифференцированная карцинома</w:t>
            </w:r>
          </w:p>
        </w:tc>
        <w:tc>
          <w:tcPr>
            <w:tcW w:w="993" w:type="dxa"/>
            <w:tcBorders>
              <w:top w:val="single" w:sz="4" w:space="0" w:color="auto"/>
              <w:left w:val="single" w:sz="4" w:space="0" w:color="auto"/>
              <w:bottom w:val="single" w:sz="4" w:space="0" w:color="auto"/>
              <w:right w:val="single" w:sz="4" w:space="0" w:color="auto"/>
            </w:tcBorders>
            <w:vAlign w:val="center"/>
          </w:tcPr>
          <w:p w14:paraId="230534C9"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−0,469</w:t>
            </w:r>
          </w:p>
        </w:tc>
        <w:tc>
          <w:tcPr>
            <w:tcW w:w="850" w:type="dxa"/>
            <w:tcBorders>
              <w:top w:val="single" w:sz="4" w:space="0" w:color="auto"/>
              <w:left w:val="single" w:sz="4" w:space="0" w:color="auto"/>
              <w:bottom w:val="single" w:sz="4" w:space="0" w:color="auto"/>
              <w:right w:val="single" w:sz="4" w:space="0" w:color="auto"/>
            </w:tcBorders>
            <w:vAlign w:val="center"/>
          </w:tcPr>
          <w:p w14:paraId="19C6DB10"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0,124</w:t>
            </w:r>
          </w:p>
        </w:tc>
        <w:tc>
          <w:tcPr>
            <w:tcW w:w="992" w:type="dxa"/>
            <w:tcBorders>
              <w:top w:val="single" w:sz="4" w:space="0" w:color="auto"/>
              <w:left w:val="single" w:sz="4" w:space="0" w:color="auto"/>
              <w:bottom w:val="single" w:sz="4" w:space="0" w:color="auto"/>
              <w:right w:val="single" w:sz="4" w:space="0" w:color="auto"/>
            </w:tcBorders>
            <w:vAlign w:val="center"/>
          </w:tcPr>
          <w:p w14:paraId="7CCEB8B2"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0,824</w:t>
            </w:r>
          </w:p>
        </w:tc>
        <w:tc>
          <w:tcPr>
            <w:tcW w:w="426" w:type="dxa"/>
            <w:tcBorders>
              <w:top w:val="single" w:sz="4" w:space="0" w:color="auto"/>
              <w:left w:val="single" w:sz="4" w:space="0" w:color="auto"/>
              <w:bottom w:val="single" w:sz="4" w:space="0" w:color="auto"/>
              <w:right w:val="single" w:sz="4" w:space="0" w:color="auto"/>
            </w:tcBorders>
            <w:vAlign w:val="center"/>
          </w:tcPr>
          <w:p w14:paraId="2190743C"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850" w:type="dxa"/>
            <w:tcBorders>
              <w:top w:val="single" w:sz="4" w:space="0" w:color="auto"/>
              <w:left w:val="single" w:sz="4" w:space="0" w:color="auto"/>
              <w:bottom w:val="single" w:sz="4" w:space="0" w:color="auto"/>
              <w:right w:val="single" w:sz="4" w:space="0" w:color="auto"/>
            </w:tcBorders>
            <w:vAlign w:val="center"/>
          </w:tcPr>
          <w:p w14:paraId="3DC7E71B"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0,452</w:t>
            </w:r>
          </w:p>
        </w:tc>
        <w:tc>
          <w:tcPr>
            <w:tcW w:w="992" w:type="dxa"/>
            <w:tcBorders>
              <w:top w:val="single" w:sz="4" w:space="0" w:color="auto"/>
              <w:left w:val="single" w:sz="4" w:space="0" w:color="auto"/>
              <w:bottom w:val="single" w:sz="4" w:space="0" w:color="auto"/>
              <w:right w:val="single" w:sz="4" w:space="0" w:color="auto"/>
            </w:tcBorders>
            <w:vAlign w:val="center"/>
          </w:tcPr>
          <w:p w14:paraId="38F9D153"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0,012</w:t>
            </w:r>
          </w:p>
        </w:tc>
        <w:tc>
          <w:tcPr>
            <w:tcW w:w="993" w:type="dxa"/>
            <w:tcBorders>
              <w:top w:val="single" w:sz="4" w:space="0" w:color="auto"/>
              <w:left w:val="single" w:sz="4" w:space="0" w:color="auto"/>
              <w:bottom w:val="single" w:sz="4" w:space="0" w:color="auto"/>
              <w:right w:val="single" w:sz="4" w:space="0" w:color="auto"/>
            </w:tcBorders>
            <w:vAlign w:val="center"/>
          </w:tcPr>
          <w:p w14:paraId="62E020D0"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0,001</w:t>
            </w:r>
          </w:p>
        </w:tc>
        <w:tc>
          <w:tcPr>
            <w:tcW w:w="1388" w:type="dxa"/>
            <w:tcBorders>
              <w:top w:val="single" w:sz="4" w:space="0" w:color="auto"/>
              <w:left w:val="single" w:sz="4" w:space="0" w:color="auto"/>
              <w:bottom w:val="single" w:sz="4" w:space="0" w:color="auto"/>
              <w:right w:val="single" w:sz="4" w:space="0" w:color="auto"/>
            </w:tcBorders>
            <w:vAlign w:val="center"/>
          </w:tcPr>
          <w:p w14:paraId="4B57A63A"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5,625</w:t>
            </w:r>
          </w:p>
        </w:tc>
      </w:tr>
      <w:tr w:rsidR="00A9409C" w:rsidRPr="00534C59" w14:paraId="756115E5" w14:textId="77777777" w:rsidTr="00094F6F">
        <w:trPr>
          <w:trHeight w:val="227"/>
          <w:jc w:val="center"/>
        </w:trPr>
        <w:tc>
          <w:tcPr>
            <w:tcW w:w="2127" w:type="dxa"/>
            <w:tcBorders>
              <w:top w:val="single" w:sz="4" w:space="0" w:color="auto"/>
              <w:left w:val="single" w:sz="4" w:space="0" w:color="auto"/>
              <w:bottom w:val="single" w:sz="4" w:space="0" w:color="auto"/>
              <w:right w:val="single" w:sz="4" w:space="0" w:color="BFBFBF"/>
            </w:tcBorders>
            <w:vAlign w:val="center"/>
          </w:tcPr>
          <w:p w14:paraId="5AA2028A" w14:textId="77777777" w:rsidR="00A9409C" w:rsidRPr="00F84A31" w:rsidRDefault="00A9409C" w:rsidP="00094F6F">
            <w:pPr>
              <w:spacing w:after="0" w:line="240" w:lineRule="auto"/>
              <w:rPr>
                <w:rFonts w:ascii="Times New Roman" w:hAnsi="Times New Roman"/>
                <w:bCs/>
                <w:lang w:eastAsia="en-US"/>
              </w:rPr>
            </w:pPr>
            <w:r w:rsidRPr="00F84A31">
              <w:rPr>
                <w:rFonts w:ascii="Times New Roman" w:hAnsi="Times New Roman"/>
                <w:bCs/>
                <w:lang w:eastAsia="en-US"/>
              </w:rPr>
              <w:t xml:space="preserve">Функциональные осложнения </w:t>
            </w:r>
          </w:p>
        </w:tc>
        <w:tc>
          <w:tcPr>
            <w:tcW w:w="993" w:type="dxa"/>
            <w:tcBorders>
              <w:top w:val="single" w:sz="4" w:space="0" w:color="auto"/>
              <w:left w:val="single" w:sz="4" w:space="0" w:color="auto"/>
              <w:bottom w:val="single" w:sz="4" w:space="0" w:color="auto"/>
              <w:right w:val="single" w:sz="4" w:space="0" w:color="auto"/>
            </w:tcBorders>
            <w:vAlign w:val="center"/>
          </w:tcPr>
          <w:p w14:paraId="144860D8"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1,552</w:t>
            </w:r>
          </w:p>
        </w:tc>
        <w:tc>
          <w:tcPr>
            <w:tcW w:w="850" w:type="dxa"/>
            <w:tcBorders>
              <w:top w:val="single" w:sz="4" w:space="0" w:color="auto"/>
              <w:left w:val="single" w:sz="4" w:space="0" w:color="auto"/>
              <w:bottom w:val="single" w:sz="4" w:space="0" w:color="auto"/>
              <w:right w:val="single" w:sz="4" w:space="0" w:color="auto"/>
            </w:tcBorders>
            <w:vAlign w:val="center"/>
          </w:tcPr>
          <w:p w14:paraId="37B809D9"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0,114</w:t>
            </w:r>
          </w:p>
        </w:tc>
        <w:tc>
          <w:tcPr>
            <w:tcW w:w="992" w:type="dxa"/>
            <w:tcBorders>
              <w:top w:val="single" w:sz="4" w:space="0" w:color="auto"/>
              <w:left w:val="single" w:sz="4" w:space="0" w:color="auto"/>
              <w:bottom w:val="single" w:sz="4" w:space="0" w:color="auto"/>
              <w:right w:val="single" w:sz="4" w:space="0" w:color="auto"/>
            </w:tcBorders>
            <w:vAlign w:val="center"/>
          </w:tcPr>
          <w:p w14:paraId="2A5E9955"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5,261</w:t>
            </w:r>
          </w:p>
        </w:tc>
        <w:tc>
          <w:tcPr>
            <w:tcW w:w="426" w:type="dxa"/>
            <w:tcBorders>
              <w:top w:val="single" w:sz="4" w:space="0" w:color="auto"/>
              <w:left w:val="single" w:sz="4" w:space="0" w:color="auto"/>
              <w:bottom w:val="single" w:sz="4" w:space="0" w:color="auto"/>
              <w:right w:val="single" w:sz="4" w:space="0" w:color="auto"/>
            </w:tcBorders>
            <w:vAlign w:val="center"/>
          </w:tcPr>
          <w:p w14:paraId="0A2D2102"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850" w:type="dxa"/>
            <w:tcBorders>
              <w:top w:val="single" w:sz="4" w:space="0" w:color="auto"/>
              <w:left w:val="single" w:sz="4" w:space="0" w:color="auto"/>
              <w:bottom w:val="single" w:sz="4" w:space="0" w:color="auto"/>
              <w:right w:val="single" w:sz="4" w:space="0" w:color="auto"/>
            </w:tcBorders>
            <w:vAlign w:val="center"/>
          </w:tcPr>
          <w:p w14:paraId="0057F603"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0,002</w:t>
            </w:r>
          </w:p>
        </w:tc>
        <w:tc>
          <w:tcPr>
            <w:tcW w:w="992" w:type="dxa"/>
            <w:tcBorders>
              <w:top w:val="single" w:sz="4" w:space="0" w:color="auto"/>
              <w:left w:val="single" w:sz="4" w:space="0" w:color="auto"/>
              <w:bottom w:val="single" w:sz="4" w:space="0" w:color="auto"/>
              <w:right w:val="single" w:sz="4" w:space="0" w:color="auto"/>
            </w:tcBorders>
            <w:vAlign w:val="center"/>
          </w:tcPr>
          <w:p w14:paraId="498591FA"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1,925</w:t>
            </w:r>
          </w:p>
        </w:tc>
        <w:tc>
          <w:tcPr>
            <w:tcW w:w="993" w:type="dxa"/>
            <w:tcBorders>
              <w:top w:val="single" w:sz="4" w:space="0" w:color="auto"/>
              <w:left w:val="single" w:sz="4" w:space="0" w:color="auto"/>
              <w:bottom w:val="single" w:sz="4" w:space="0" w:color="auto"/>
              <w:right w:val="single" w:sz="4" w:space="0" w:color="auto"/>
            </w:tcBorders>
            <w:vAlign w:val="center"/>
          </w:tcPr>
          <w:p w14:paraId="243E0934"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1,236</w:t>
            </w:r>
          </w:p>
        </w:tc>
        <w:tc>
          <w:tcPr>
            <w:tcW w:w="1388" w:type="dxa"/>
            <w:tcBorders>
              <w:top w:val="single" w:sz="4" w:space="0" w:color="auto"/>
              <w:left w:val="single" w:sz="4" w:space="0" w:color="auto"/>
              <w:bottom w:val="single" w:sz="4" w:space="0" w:color="auto"/>
              <w:right w:val="single" w:sz="4" w:space="0" w:color="auto"/>
            </w:tcBorders>
            <w:vAlign w:val="center"/>
          </w:tcPr>
          <w:p w14:paraId="7AF3C888"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2,935</w:t>
            </w:r>
          </w:p>
        </w:tc>
      </w:tr>
      <w:tr w:rsidR="00A9409C" w:rsidRPr="00534C59" w14:paraId="2576876A" w14:textId="77777777" w:rsidTr="00094F6F">
        <w:trPr>
          <w:trHeight w:val="227"/>
          <w:jc w:val="center"/>
        </w:trPr>
        <w:tc>
          <w:tcPr>
            <w:tcW w:w="2127" w:type="dxa"/>
            <w:tcBorders>
              <w:top w:val="single" w:sz="4" w:space="0" w:color="auto"/>
              <w:left w:val="single" w:sz="4" w:space="0" w:color="auto"/>
              <w:bottom w:val="single" w:sz="4" w:space="0" w:color="auto"/>
              <w:right w:val="single" w:sz="4" w:space="0" w:color="BFBFBF"/>
            </w:tcBorders>
            <w:vAlign w:val="center"/>
          </w:tcPr>
          <w:p w14:paraId="2891E236" w14:textId="77777777" w:rsidR="00A9409C" w:rsidRPr="00F84A31" w:rsidRDefault="00A9409C" w:rsidP="00094F6F">
            <w:pPr>
              <w:spacing w:after="0" w:line="240" w:lineRule="auto"/>
              <w:rPr>
                <w:rFonts w:ascii="Times New Roman" w:hAnsi="Times New Roman"/>
                <w:bCs/>
                <w:lang w:eastAsia="en-US"/>
              </w:rPr>
            </w:pPr>
            <w:r w:rsidRPr="00F84A31">
              <w:rPr>
                <w:rFonts w:ascii="Times New Roman" w:hAnsi="Times New Roman"/>
              </w:rPr>
              <w:t>Сопутствующая патология</w:t>
            </w:r>
          </w:p>
        </w:tc>
        <w:tc>
          <w:tcPr>
            <w:tcW w:w="993" w:type="dxa"/>
            <w:tcBorders>
              <w:top w:val="single" w:sz="4" w:space="0" w:color="auto"/>
              <w:left w:val="single" w:sz="4" w:space="0" w:color="auto"/>
              <w:bottom w:val="single" w:sz="4" w:space="0" w:color="auto"/>
              <w:right w:val="single" w:sz="4" w:space="0" w:color="auto"/>
            </w:tcBorders>
            <w:vAlign w:val="center"/>
          </w:tcPr>
          <w:p w14:paraId="7F9FFA5E"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1,265</w:t>
            </w:r>
          </w:p>
        </w:tc>
        <w:tc>
          <w:tcPr>
            <w:tcW w:w="850" w:type="dxa"/>
            <w:tcBorders>
              <w:top w:val="single" w:sz="4" w:space="0" w:color="auto"/>
              <w:left w:val="single" w:sz="4" w:space="0" w:color="auto"/>
              <w:bottom w:val="single" w:sz="4" w:space="0" w:color="auto"/>
              <w:right w:val="single" w:sz="4" w:space="0" w:color="auto"/>
            </w:tcBorders>
            <w:vAlign w:val="center"/>
          </w:tcPr>
          <w:p w14:paraId="3754F6AA"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0,441</w:t>
            </w:r>
          </w:p>
        </w:tc>
        <w:tc>
          <w:tcPr>
            <w:tcW w:w="992" w:type="dxa"/>
            <w:tcBorders>
              <w:top w:val="single" w:sz="4" w:space="0" w:color="auto"/>
              <w:left w:val="single" w:sz="4" w:space="0" w:color="auto"/>
              <w:bottom w:val="single" w:sz="4" w:space="0" w:color="auto"/>
              <w:right w:val="single" w:sz="4" w:space="0" w:color="auto"/>
            </w:tcBorders>
            <w:vAlign w:val="center"/>
          </w:tcPr>
          <w:p w14:paraId="51879DD1"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2,323</w:t>
            </w:r>
          </w:p>
        </w:tc>
        <w:tc>
          <w:tcPr>
            <w:tcW w:w="426" w:type="dxa"/>
            <w:tcBorders>
              <w:top w:val="single" w:sz="4" w:space="0" w:color="auto"/>
              <w:left w:val="single" w:sz="4" w:space="0" w:color="auto"/>
              <w:bottom w:val="single" w:sz="4" w:space="0" w:color="auto"/>
              <w:right w:val="single" w:sz="4" w:space="0" w:color="auto"/>
            </w:tcBorders>
            <w:vAlign w:val="center"/>
          </w:tcPr>
          <w:p w14:paraId="5ABE2E65"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850" w:type="dxa"/>
            <w:tcBorders>
              <w:top w:val="single" w:sz="4" w:space="0" w:color="auto"/>
              <w:left w:val="single" w:sz="4" w:space="0" w:color="auto"/>
              <w:bottom w:val="single" w:sz="4" w:space="0" w:color="auto"/>
              <w:right w:val="single" w:sz="4" w:space="0" w:color="auto"/>
            </w:tcBorders>
            <w:vAlign w:val="center"/>
          </w:tcPr>
          <w:p w14:paraId="4D06BFDE"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0,040</w:t>
            </w:r>
          </w:p>
        </w:tc>
        <w:tc>
          <w:tcPr>
            <w:tcW w:w="992" w:type="dxa"/>
            <w:tcBorders>
              <w:top w:val="single" w:sz="4" w:space="0" w:color="auto"/>
              <w:left w:val="single" w:sz="4" w:space="0" w:color="auto"/>
              <w:bottom w:val="single" w:sz="4" w:space="0" w:color="auto"/>
              <w:right w:val="single" w:sz="4" w:space="0" w:color="auto"/>
            </w:tcBorders>
            <w:vAlign w:val="center"/>
          </w:tcPr>
          <w:p w14:paraId="16FB8610"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1,221</w:t>
            </w:r>
          </w:p>
        </w:tc>
        <w:tc>
          <w:tcPr>
            <w:tcW w:w="993" w:type="dxa"/>
            <w:tcBorders>
              <w:top w:val="single" w:sz="4" w:space="0" w:color="auto"/>
              <w:left w:val="single" w:sz="4" w:space="0" w:color="auto"/>
              <w:bottom w:val="single" w:sz="4" w:space="0" w:color="auto"/>
              <w:right w:val="single" w:sz="4" w:space="0" w:color="auto"/>
            </w:tcBorders>
            <w:vAlign w:val="center"/>
          </w:tcPr>
          <w:p w14:paraId="4A52C231"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0,212</w:t>
            </w:r>
          </w:p>
        </w:tc>
        <w:tc>
          <w:tcPr>
            <w:tcW w:w="1388" w:type="dxa"/>
            <w:tcBorders>
              <w:top w:val="single" w:sz="4" w:space="0" w:color="auto"/>
              <w:left w:val="single" w:sz="4" w:space="0" w:color="auto"/>
              <w:bottom w:val="single" w:sz="4" w:space="0" w:color="auto"/>
              <w:right w:val="single" w:sz="4" w:space="0" w:color="auto"/>
            </w:tcBorders>
            <w:vAlign w:val="center"/>
          </w:tcPr>
          <w:p w14:paraId="63F0BC59"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0,956</w:t>
            </w:r>
          </w:p>
        </w:tc>
      </w:tr>
    </w:tbl>
    <w:p w14:paraId="4F35A242" w14:textId="77777777" w:rsidR="00A9409C" w:rsidRDefault="00A9409C" w:rsidP="00A9409C">
      <w:pPr>
        <w:tabs>
          <w:tab w:val="left" w:pos="0"/>
        </w:tabs>
        <w:spacing w:after="0" w:line="240" w:lineRule="auto"/>
        <w:jc w:val="both"/>
        <w:rPr>
          <w:rFonts w:ascii="Times New Roman" w:hAnsi="Times New Roman"/>
          <w:sz w:val="28"/>
          <w:szCs w:val="28"/>
        </w:rPr>
      </w:pPr>
    </w:p>
    <w:p w14:paraId="797B06DF" w14:textId="77777777" w:rsidR="00A9409C" w:rsidRDefault="00A9409C" w:rsidP="00A9409C">
      <w:pPr>
        <w:tabs>
          <w:tab w:val="left" w:pos="0"/>
        </w:tabs>
        <w:spacing w:after="0" w:line="240" w:lineRule="auto"/>
        <w:jc w:val="both"/>
        <w:rPr>
          <w:rFonts w:ascii="Times New Roman" w:hAnsi="Times New Roman"/>
          <w:sz w:val="28"/>
          <w:szCs w:val="28"/>
        </w:rPr>
      </w:pPr>
      <w:r>
        <w:rPr>
          <w:rFonts w:ascii="Times New Roman" w:hAnsi="Times New Roman"/>
          <w:sz w:val="28"/>
          <w:szCs w:val="28"/>
        </w:rPr>
        <w:t>Таблица 29</w:t>
      </w:r>
      <w:r w:rsidRPr="00145B66">
        <w:rPr>
          <w:rFonts w:ascii="Times New Roman" w:hAnsi="Times New Roman"/>
          <w:sz w:val="28"/>
          <w:szCs w:val="28"/>
        </w:rPr>
        <w:t xml:space="preserve"> </w:t>
      </w:r>
      <w:r>
        <w:rPr>
          <w:rFonts w:ascii="Times New Roman" w:hAnsi="Times New Roman"/>
          <w:sz w:val="28"/>
          <w:szCs w:val="28"/>
        </w:rPr>
        <w:t>–</w:t>
      </w:r>
      <w:r w:rsidRPr="00145B66">
        <w:rPr>
          <w:rFonts w:ascii="Times New Roman" w:hAnsi="Times New Roman"/>
          <w:sz w:val="28"/>
          <w:szCs w:val="28"/>
        </w:rPr>
        <w:t xml:space="preserve"> Многофакторная модель Кокса пропорциональных рисков развития неблагоприятного исхода (смерти) у больных в течение 3-летнего периода после хирургического лечения рака ободочной кишки</w:t>
      </w:r>
    </w:p>
    <w:tbl>
      <w:tblPr>
        <w:tblW w:w="9611" w:type="dxa"/>
        <w:jc w:val="center"/>
        <w:tblLayout w:type="fixed"/>
        <w:tblLook w:val="04A0" w:firstRow="1" w:lastRow="0" w:firstColumn="1" w:lastColumn="0" w:noHBand="0" w:noVBand="1"/>
      </w:tblPr>
      <w:tblGrid>
        <w:gridCol w:w="2099"/>
        <w:gridCol w:w="1275"/>
        <w:gridCol w:w="868"/>
        <w:gridCol w:w="994"/>
        <w:gridCol w:w="517"/>
        <w:gridCol w:w="910"/>
        <w:gridCol w:w="840"/>
        <w:gridCol w:w="1036"/>
        <w:gridCol w:w="1072"/>
      </w:tblGrid>
      <w:tr w:rsidR="00A9409C" w:rsidRPr="00145B66" w14:paraId="068875FA" w14:textId="77777777" w:rsidTr="00094F6F">
        <w:trPr>
          <w:trHeight w:val="227"/>
          <w:jc w:val="center"/>
        </w:trPr>
        <w:tc>
          <w:tcPr>
            <w:tcW w:w="2099" w:type="dxa"/>
            <w:vMerge w:val="restart"/>
            <w:tcBorders>
              <w:top w:val="single" w:sz="4" w:space="0" w:color="auto"/>
              <w:left w:val="single" w:sz="4" w:space="0" w:color="auto"/>
              <w:bottom w:val="single" w:sz="4" w:space="0" w:color="auto"/>
              <w:right w:val="single" w:sz="4" w:space="0" w:color="auto"/>
            </w:tcBorders>
            <w:vAlign w:val="center"/>
            <w:hideMark/>
          </w:tcPr>
          <w:p w14:paraId="0D106DC9"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Факторы</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14:paraId="4A505FA8"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В</w:t>
            </w:r>
          </w:p>
        </w:tc>
        <w:tc>
          <w:tcPr>
            <w:tcW w:w="868" w:type="dxa"/>
            <w:vMerge w:val="restart"/>
            <w:tcBorders>
              <w:top w:val="single" w:sz="4" w:space="0" w:color="auto"/>
              <w:left w:val="single" w:sz="4" w:space="0" w:color="auto"/>
              <w:bottom w:val="single" w:sz="4" w:space="0" w:color="auto"/>
              <w:right w:val="single" w:sz="4" w:space="0" w:color="auto"/>
            </w:tcBorders>
            <w:vAlign w:val="center"/>
            <w:hideMark/>
          </w:tcPr>
          <w:p w14:paraId="08728D3F" w14:textId="77777777" w:rsidR="00A9409C" w:rsidRPr="00F84A31" w:rsidRDefault="00A9409C" w:rsidP="00094F6F">
            <w:pPr>
              <w:tabs>
                <w:tab w:val="left" w:pos="0"/>
              </w:tabs>
              <w:spacing w:after="0" w:line="240" w:lineRule="auto"/>
              <w:jc w:val="center"/>
              <w:rPr>
                <w:rFonts w:ascii="Times New Roman" w:hAnsi="Times New Roman"/>
                <w:lang w:val="en-US" w:eastAsia="en-US"/>
              </w:rPr>
            </w:pPr>
            <w:r w:rsidRPr="00F84A31">
              <w:rPr>
                <w:rFonts w:ascii="Times New Roman" w:hAnsi="Times New Roman"/>
                <w:lang w:val="en-US" w:eastAsia="en-US"/>
              </w:rPr>
              <w:t>SE</w:t>
            </w:r>
          </w:p>
        </w:tc>
        <w:tc>
          <w:tcPr>
            <w:tcW w:w="994" w:type="dxa"/>
            <w:vMerge w:val="restart"/>
            <w:tcBorders>
              <w:top w:val="single" w:sz="4" w:space="0" w:color="auto"/>
              <w:left w:val="single" w:sz="4" w:space="0" w:color="auto"/>
              <w:bottom w:val="single" w:sz="4" w:space="0" w:color="auto"/>
              <w:right w:val="single" w:sz="4" w:space="0" w:color="auto"/>
            </w:tcBorders>
            <w:vAlign w:val="center"/>
            <w:hideMark/>
          </w:tcPr>
          <w:p w14:paraId="2DA15BDE" w14:textId="77777777" w:rsidR="00A9409C" w:rsidRPr="00F84A31" w:rsidRDefault="00A9409C" w:rsidP="00094F6F">
            <w:pPr>
              <w:tabs>
                <w:tab w:val="left" w:pos="0"/>
              </w:tabs>
              <w:spacing w:after="0" w:line="240" w:lineRule="auto"/>
              <w:jc w:val="center"/>
              <w:rPr>
                <w:rFonts w:ascii="Times New Roman" w:hAnsi="Times New Roman"/>
                <w:lang w:val="kk-KZ" w:eastAsia="en-US"/>
              </w:rPr>
            </w:pPr>
            <w:r w:rsidRPr="00F84A31">
              <w:rPr>
                <w:rFonts w:ascii="Times New Roman" w:hAnsi="Times New Roman"/>
                <w:lang w:val="en-US" w:eastAsia="en-US"/>
              </w:rPr>
              <w:t>Wald</w:t>
            </w:r>
          </w:p>
        </w:tc>
        <w:tc>
          <w:tcPr>
            <w:tcW w:w="517" w:type="dxa"/>
            <w:vMerge w:val="restart"/>
            <w:tcBorders>
              <w:top w:val="single" w:sz="4" w:space="0" w:color="auto"/>
              <w:left w:val="single" w:sz="4" w:space="0" w:color="auto"/>
              <w:bottom w:val="single" w:sz="4" w:space="0" w:color="auto"/>
              <w:right w:val="single" w:sz="4" w:space="0" w:color="auto"/>
            </w:tcBorders>
            <w:vAlign w:val="center"/>
            <w:hideMark/>
          </w:tcPr>
          <w:p w14:paraId="224E0D0C" w14:textId="77777777" w:rsidR="00A9409C" w:rsidRPr="00F84A31" w:rsidRDefault="00A9409C" w:rsidP="00094F6F">
            <w:pPr>
              <w:tabs>
                <w:tab w:val="left" w:pos="0"/>
              </w:tabs>
              <w:spacing w:after="0" w:line="240" w:lineRule="auto"/>
              <w:jc w:val="center"/>
              <w:rPr>
                <w:rFonts w:ascii="Times New Roman" w:hAnsi="Times New Roman"/>
                <w:lang w:val="en-US" w:eastAsia="en-US"/>
              </w:rPr>
            </w:pPr>
            <w:proofErr w:type="spellStart"/>
            <w:r w:rsidRPr="00F84A31">
              <w:rPr>
                <w:rFonts w:ascii="Times New Roman" w:hAnsi="Times New Roman"/>
                <w:lang w:val="en-US" w:eastAsia="en-US"/>
              </w:rPr>
              <w:t>df</w:t>
            </w:r>
            <w:proofErr w:type="spellEnd"/>
          </w:p>
        </w:tc>
        <w:tc>
          <w:tcPr>
            <w:tcW w:w="910" w:type="dxa"/>
            <w:vMerge w:val="restart"/>
            <w:tcBorders>
              <w:top w:val="single" w:sz="4" w:space="0" w:color="auto"/>
              <w:left w:val="single" w:sz="4" w:space="0" w:color="auto"/>
              <w:bottom w:val="single" w:sz="4" w:space="0" w:color="auto"/>
              <w:right w:val="single" w:sz="4" w:space="0" w:color="auto"/>
            </w:tcBorders>
            <w:vAlign w:val="center"/>
            <w:hideMark/>
          </w:tcPr>
          <w:p w14:paraId="27573E15" w14:textId="77777777" w:rsidR="00A9409C" w:rsidRPr="00F84A31" w:rsidRDefault="00A9409C" w:rsidP="00094F6F">
            <w:pPr>
              <w:tabs>
                <w:tab w:val="left" w:pos="0"/>
              </w:tabs>
              <w:spacing w:after="0" w:line="240" w:lineRule="auto"/>
              <w:jc w:val="center"/>
              <w:rPr>
                <w:rFonts w:ascii="Times New Roman" w:hAnsi="Times New Roman"/>
                <w:lang w:eastAsia="en-US"/>
              </w:rPr>
            </w:pPr>
            <w:proofErr w:type="gramStart"/>
            <w:r w:rsidRPr="00F84A31">
              <w:rPr>
                <w:rFonts w:ascii="Times New Roman" w:hAnsi="Times New Roman"/>
                <w:lang w:eastAsia="en-US"/>
              </w:rPr>
              <w:t>р</w:t>
            </w:r>
            <w:proofErr w:type="gramEnd"/>
          </w:p>
        </w:tc>
        <w:tc>
          <w:tcPr>
            <w:tcW w:w="840" w:type="dxa"/>
            <w:vMerge w:val="restart"/>
            <w:tcBorders>
              <w:top w:val="single" w:sz="4" w:space="0" w:color="auto"/>
              <w:left w:val="single" w:sz="4" w:space="0" w:color="auto"/>
              <w:bottom w:val="single" w:sz="4" w:space="0" w:color="auto"/>
              <w:right w:val="single" w:sz="4" w:space="0" w:color="auto"/>
            </w:tcBorders>
            <w:vAlign w:val="center"/>
            <w:hideMark/>
          </w:tcPr>
          <w:p w14:paraId="58F5725C" w14:textId="77777777" w:rsidR="00A9409C" w:rsidRPr="00F84A31" w:rsidRDefault="00A9409C" w:rsidP="00094F6F">
            <w:pPr>
              <w:tabs>
                <w:tab w:val="left" w:pos="0"/>
              </w:tabs>
              <w:spacing w:after="0" w:line="240" w:lineRule="auto"/>
              <w:jc w:val="center"/>
              <w:rPr>
                <w:rFonts w:ascii="Times New Roman" w:hAnsi="Times New Roman"/>
                <w:lang w:val="en-US" w:eastAsia="en-US"/>
              </w:rPr>
            </w:pPr>
            <w:proofErr w:type="spellStart"/>
            <w:r w:rsidRPr="00F84A31">
              <w:rPr>
                <w:rFonts w:ascii="Times New Roman" w:hAnsi="Times New Roman"/>
                <w:lang w:val="en-US" w:eastAsia="en-US"/>
              </w:rPr>
              <w:t>Exp</w:t>
            </w:r>
            <w:proofErr w:type="spellEnd"/>
            <w:r w:rsidRPr="00F84A31">
              <w:rPr>
                <w:rFonts w:ascii="Times New Roman" w:hAnsi="Times New Roman"/>
                <w:lang w:eastAsia="en-US"/>
              </w:rPr>
              <w:t>(</w:t>
            </w:r>
            <w:r w:rsidRPr="00F84A31">
              <w:rPr>
                <w:rFonts w:ascii="Times New Roman" w:hAnsi="Times New Roman"/>
                <w:lang w:val="en-US" w:eastAsia="en-US"/>
              </w:rPr>
              <w:t>B</w:t>
            </w:r>
            <w:r w:rsidRPr="00F84A31">
              <w:rPr>
                <w:rFonts w:ascii="Times New Roman" w:hAnsi="Times New Roman"/>
                <w:lang w:eastAsia="en-US"/>
              </w:rPr>
              <w:t>)</w:t>
            </w:r>
          </w:p>
        </w:tc>
        <w:tc>
          <w:tcPr>
            <w:tcW w:w="2108" w:type="dxa"/>
            <w:gridSpan w:val="2"/>
            <w:tcBorders>
              <w:top w:val="single" w:sz="4" w:space="0" w:color="auto"/>
              <w:left w:val="single" w:sz="4" w:space="0" w:color="auto"/>
              <w:bottom w:val="single" w:sz="4" w:space="0" w:color="auto"/>
              <w:right w:val="single" w:sz="4" w:space="0" w:color="auto"/>
            </w:tcBorders>
            <w:vAlign w:val="center"/>
            <w:hideMark/>
          </w:tcPr>
          <w:p w14:paraId="5B311F3E"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95% ДИ</w:t>
            </w:r>
          </w:p>
        </w:tc>
      </w:tr>
      <w:tr w:rsidR="00A9409C" w:rsidRPr="00145B66" w14:paraId="3B07C32E" w14:textId="77777777" w:rsidTr="00094F6F">
        <w:trPr>
          <w:trHeight w:val="227"/>
          <w:jc w:val="center"/>
        </w:trPr>
        <w:tc>
          <w:tcPr>
            <w:tcW w:w="2099" w:type="dxa"/>
            <w:vMerge/>
            <w:tcBorders>
              <w:top w:val="single" w:sz="4" w:space="0" w:color="auto"/>
              <w:left w:val="single" w:sz="4" w:space="0" w:color="auto"/>
              <w:bottom w:val="single" w:sz="4" w:space="0" w:color="auto"/>
              <w:right w:val="single" w:sz="4" w:space="0" w:color="auto"/>
            </w:tcBorders>
            <w:vAlign w:val="center"/>
            <w:hideMark/>
          </w:tcPr>
          <w:p w14:paraId="3C22B33D" w14:textId="77777777" w:rsidR="00A9409C" w:rsidRPr="00F84A31" w:rsidRDefault="00A9409C" w:rsidP="00094F6F">
            <w:pPr>
              <w:spacing w:after="0" w:line="240" w:lineRule="auto"/>
              <w:jc w:val="center"/>
              <w:rPr>
                <w:rFonts w:ascii="Times New Roman" w:hAnsi="Times New Roman"/>
                <w:lang w:eastAsia="en-US"/>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1A430693" w14:textId="77777777" w:rsidR="00A9409C" w:rsidRPr="00F84A31" w:rsidRDefault="00A9409C" w:rsidP="00094F6F">
            <w:pPr>
              <w:spacing w:after="0" w:line="240" w:lineRule="auto"/>
              <w:jc w:val="center"/>
              <w:rPr>
                <w:rFonts w:ascii="Times New Roman" w:hAnsi="Times New Roman"/>
                <w:lang w:eastAsia="en-US"/>
              </w:rPr>
            </w:pPr>
          </w:p>
        </w:tc>
        <w:tc>
          <w:tcPr>
            <w:tcW w:w="868" w:type="dxa"/>
            <w:vMerge/>
            <w:tcBorders>
              <w:top w:val="single" w:sz="4" w:space="0" w:color="auto"/>
              <w:left w:val="single" w:sz="4" w:space="0" w:color="auto"/>
              <w:bottom w:val="single" w:sz="4" w:space="0" w:color="auto"/>
              <w:right w:val="single" w:sz="4" w:space="0" w:color="auto"/>
            </w:tcBorders>
            <w:vAlign w:val="center"/>
            <w:hideMark/>
          </w:tcPr>
          <w:p w14:paraId="185FFFF5" w14:textId="77777777" w:rsidR="00A9409C" w:rsidRPr="00F84A31" w:rsidRDefault="00A9409C" w:rsidP="00094F6F">
            <w:pPr>
              <w:spacing w:after="0" w:line="240" w:lineRule="auto"/>
              <w:jc w:val="center"/>
              <w:rPr>
                <w:rFonts w:ascii="Times New Roman" w:hAnsi="Times New Roman"/>
                <w:lang w:val="en-US" w:eastAsia="en-US"/>
              </w:rPr>
            </w:pPr>
          </w:p>
        </w:tc>
        <w:tc>
          <w:tcPr>
            <w:tcW w:w="994" w:type="dxa"/>
            <w:vMerge/>
            <w:tcBorders>
              <w:top w:val="single" w:sz="4" w:space="0" w:color="auto"/>
              <w:left w:val="single" w:sz="4" w:space="0" w:color="auto"/>
              <w:bottom w:val="single" w:sz="4" w:space="0" w:color="auto"/>
              <w:right w:val="single" w:sz="4" w:space="0" w:color="auto"/>
            </w:tcBorders>
            <w:vAlign w:val="center"/>
            <w:hideMark/>
          </w:tcPr>
          <w:p w14:paraId="35EB2994" w14:textId="77777777" w:rsidR="00A9409C" w:rsidRPr="00F84A31" w:rsidRDefault="00A9409C" w:rsidP="00094F6F">
            <w:pPr>
              <w:spacing w:after="0" w:line="240" w:lineRule="auto"/>
              <w:jc w:val="center"/>
              <w:rPr>
                <w:rFonts w:ascii="Times New Roman" w:hAnsi="Times New Roman"/>
                <w:lang w:val="kk-KZ" w:eastAsia="en-US"/>
              </w:rPr>
            </w:pPr>
          </w:p>
        </w:tc>
        <w:tc>
          <w:tcPr>
            <w:tcW w:w="517" w:type="dxa"/>
            <w:vMerge/>
            <w:tcBorders>
              <w:top w:val="single" w:sz="4" w:space="0" w:color="auto"/>
              <w:left w:val="single" w:sz="4" w:space="0" w:color="auto"/>
              <w:bottom w:val="single" w:sz="4" w:space="0" w:color="auto"/>
              <w:right w:val="single" w:sz="4" w:space="0" w:color="auto"/>
            </w:tcBorders>
            <w:vAlign w:val="center"/>
            <w:hideMark/>
          </w:tcPr>
          <w:p w14:paraId="19A6E8DC" w14:textId="77777777" w:rsidR="00A9409C" w:rsidRPr="00F84A31" w:rsidRDefault="00A9409C" w:rsidP="00094F6F">
            <w:pPr>
              <w:spacing w:after="0" w:line="240" w:lineRule="auto"/>
              <w:jc w:val="center"/>
              <w:rPr>
                <w:rFonts w:ascii="Times New Roman" w:hAnsi="Times New Roman"/>
                <w:lang w:val="en-US" w:eastAsia="en-US"/>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33400E73" w14:textId="77777777" w:rsidR="00A9409C" w:rsidRPr="00F84A31" w:rsidRDefault="00A9409C" w:rsidP="00094F6F">
            <w:pPr>
              <w:spacing w:after="0" w:line="240" w:lineRule="auto"/>
              <w:jc w:val="center"/>
              <w:rPr>
                <w:rFonts w:ascii="Times New Roman" w:hAnsi="Times New Roman"/>
                <w:lang w:eastAsia="en-US"/>
              </w:rPr>
            </w:pPr>
          </w:p>
        </w:tc>
        <w:tc>
          <w:tcPr>
            <w:tcW w:w="840" w:type="dxa"/>
            <w:vMerge/>
            <w:tcBorders>
              <w:top w:val="single" w:sz="4" w:space="0" w:color="auto"/>
              <w:left w:val="single" w:sz="4" w:space="0" w:color="auto"/>
              <w:bottom w:val="single" w:sz="4" w:space="0" w:color="auto"/>
              <w:right w:val="single" w:sz="4" w:space="0" w:color="auto"/>
            </w:tcBorders>
            <w:vAlign w:val="center"/>
            <w:hideMark/>
          </w:tcPr>
          <w:p w14:paraId="3B77130A" w14:textId="77777777" w:rsidR="00A9409C" w:rsidRPr="00F84A31" w:rsidRDefault="00A9409C" w:rsidP="00094F6F">
            <w:pPr>
              <w:spacing w:after="0" w:line="240" w:lineRule="auto"/>
              <w:jc w:val="center"/>
              <w:rPr>
                <w:rFonts w:ascii="Times New Roman" w:hAnsi="Times New Roman"/>
                <w:lang w:val="en-US" w:eastAsia="en-US"/>
              </w:rPr>
            </w:pPr>
          </w:p>
        </w:tc>
        <w:tc>
          <w:tcPr>
            <w:tcW w:w="1036" w:type="dxa"/>
            <w:tcBorders>
              <w:top w:val="single" w:sz="4" w:space="0" w:color="auto"/>
              <w:left w:val="single" w:sz="4" w:space="0" w:color="auto"/>
              <w:bottom w:val="single" w:sz="4" w:space="0" w:color="auto"/>
              <w:right w:val="single" w:sz="4" w:space="0" w:color="auto"/>
            </w:tcBorders>
            <w:vAlign w:val="center"/>
            <w:hideMark/>
          </w:tcPr>
          <w:p w14:paraId="6222487D" w14:textId="77777777" w:rsidR="00A9409C" w:rsidRPr="00F84A31" w:rsidRDefault="00A9409C" w:rsidP="00094F6F">
            <w:pPr>
              <w:tabs>
                <w:tab w:val="left" w:pos="0"/>
              </w:tabs>
              <w:spacing w:after="0" w:line="240" w:lineRule="auto"/>
              <w:jc w:val="center"/>
              <w:rPr>
                <w:rFonts w:ascii="Times New Roman" w:hAnsi="Times New Roman"/>
                <w:lang w:eastAsia="en-US"/>
              </w:rPr>
            </w:pPr>
            <w:proofErr w:type="gramStart"/>
            <w:r w:rsidRPr="00F84A31">
              <w:rPr>
                <w:rFonts w:ascii="Times New Roman" w:hAnsi="Times New Roman"/>
                <w:lang w:eastAsia="en-US"/>
              </w:rPr>
              <w:t>нижняя</w:t>
            </w:r>
            <w:proofErr w:type="gramEnd"/>
          </w:p>
        </w:tc>
        <w:tc>
          <w:tcPr>
            <w:tcW w:w="1072" w:type="dxa"/>
            <w:tcBorders>
              <w:top w:val="single" w:sz="4" w:space="0" w:color="auto"/>
              <w:left w:val="single" w:sz="4" w:space="0" w:color="auto"/>
              <w:bottom w:val="single" w:sz="4" w:space="0" w:color="auto"/>
              <w:right w:val="single" w:sz="4" w:space="0" w:color="auto"/>
            </w:tcBorders>
            <w:vAlign w:val="center"/>
            <w:hideMark/>
          </w:tcPr>
          <w:p w14:paraId="5843C5CA" w14:textId="77777777" w:rsidR="00A9409C" w:rsidRPr="00F84A31" w:rsidRDefault="00A9409C" w:rsidP="00094F6F">
            <w:pPr>
              <w:tabs>
                <w:tab w:val="left" w:pos="0"/>
              </w:tabs>
              <w:spacing w:after="0" w:line="240" w:lineRule="auto"/>
              <w:jc w:val="center"/>
              <w:rPr>
                <w:rFonts w:ascii="Times New Roman" w:hAnsi="Times New Roman"/>
                <w:lang w:eastAsia="en-US"/>
              </w:rPr>
            </w:pPr>
            <w:proofErr w:type="gramStart"/>
            <w:r w:rsidRPr="00F84A31">
              <w:rPr>
                <w:rFonts w:ascii="Times New Roman" w:hAnsi="Times New Roman"/>
                <w:lang w:eastAsia="en-US"/>
              </w:rPr>
              <w:t>верхняя</w:t>
            </w:r>
            <w:proofErr w:type="gramEnd"/>
          </w:p>
        </w:tc>
      </w:tr>
      <w:tr w:rsidR="00A9409C" w:rsidRPr="00145B66" w14:paraId="7C08C282" w14:textId="77777777" w:rsidTr="00094F6F">
        <w:trPr>
          <w:trHeight w:val="227"/>
          <w:jc w:val="center"/>
        </w:trPr>
        <w:tc>
          <w:tcPr>
            <w:tcW w:w="2099" w:type="dxa"/>
            <w:tcBorders>
              <w:top w:val="single" w:sz="4" w:space="0" w:color="auto"/>
              <w:left w:val="single" w:sz="4" w:space="0" w:color="auto"/>
              <w:right w:val="single" w:sz="4" w:space="0" w:color="auto"/>
            </w:tcBorders>
            <w:vAlign w:val="center"/>
          </w:tcPr>
          <w:p w14:paraId="33D78BA9" w14:textId="77777777" w:rsidR="00A9409C" w:rsidRPr="00F84A31" w:rsidRDefault="00A9409C" w:rsidP="00094F6F">
            <w:pPr>
              <w:tabs>
                <w:tab w:val="left" w:pos="0"/>
              </w:tabs>
              <w:spacing w:after="0" w:line="240" w:lineRule="auto"/>
              <w:rPr>
                <w:rFonts w:ascii="Times New Roman" w:hAnsi="Times New Roman"/>
                <w:lang w:eastAsia="en-US"/>
              </w:rPr>
            </w:pPr>
            <w:r w:rsidRPr="00F84A31">
              <w:rPr>
                <w:rFonts w:ascii="Times New Roman" w:hAnsi="Times New Roman"/>
                <w:lang w:eastAsia="en-US"/>
              </w:rPr>
              <w:t>Возраст</w:t>
            </w:r>
          </w:p>
        </w:tc>
        <w:tc>
          <w:tcPr>
            <w:tcW w:w="1275" w:type="dxa"/>
            <w:tcBorders>
              <w:top w:val="single" w:sz="4" w:space="0" w:color="auto"/>
              <w:left w:val="single" w:sz="4" w:space="0" w:color="auto"/>
              <w:right w:val="single" w:sz="4" w:space="0" w:color="auto"/>
            </w:tcBorders>
            <w:vAlign w:val="center"/>
          </w:tcPr>
          <w:p w14:paraId="6F15A4F7"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1,185</w:t>
            </w:r>
          </w:p>
        </w:tc>
        <w:tc>
          <w:tcPr>
            <w:tcW w:w="868" w:type="dxa"/>
            <w:tcBorders>
              <w:top w:val="single" w:sz="4" w:space="0" w:color="auto"/>
              <w:left w:val="single" w:sz="4" w:space="0" w:color="auto"/>
              <w:right w:val="single" w:sz="4" w:space="0" w:color="auto"/>
            </w:tcBorders>
            <w:vAlign w:val="center"/>
          </w:tcPr>
          <w:p w14:paraId="2C667804"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0,645</w:t>
            </w:r>
          </w:p>
        </w:tc>
        <w:tc>
          <w:tcPr>
            <w:tcW w:w="994" w:type="dxa"/>
            <w:tcBorders>
              <w:top w:val="single" w:sz="4" w:space="0" w:color="auto"/>
              <w:left w:val="single" w:sz="4" w:space="0" w:color="auto"/>
              <w:right w:val="single" w:sz="4" w:space="0" w:color="auto"/>
            </w:tcBorders>
            <w:vAlign w:val="center"/>
          </w:tcPr>
          <w:p w14:paraId="7216F4A9"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1,498</w:t>
            </w:r>
          </w:p>
        </w:tc>
        <w:tc>
          <w:tcPr>
            <w:tcW w:w="517" w:type="dxa"/>
            <w:tcBorders>
              <w:top w:val="single" w:sz="4" w:space="0" w:color="auto"/>
              <w:left w:val="single" w:sz="4" w:space="0" w:color="auto"/>
              <w:right w:val="single" w:sz="4" w:space="0" w:color="auto"/>
            </w:tcBorders>
            <w:vAlign w:val="center"/>
          </w:tcPr>
          <w:p w14:paraId="75B4F4F9"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910" w:type="dxa"/>
            <w:tcBorders>
              <w:top w:val="single" w:sz="4" w:space="0" w:color="auto"/>
              <w:left w:val="single" w:sz="4" w:space="0" w:color="auto"/>
              <w:right w:val="single" w:sz="4" w:space="0" w:color="auto"/>
            </w:tcBorders>
            <w:vAlign w:val="center"/>
          </w:tcPr>
          <w:p w14:paraId="3A26DEC8"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0,002</w:t>
            </w:r>
          </w:p>
        </w:tc>
        <w:tc>
          <w:tcPr>
            <w:tcW w:w="840" w:type="dxa"/>
            <w:tcBorders>
              <w:top w:val="single" w:sz="4" w:space="0" w:color="auto"/>
              <w:left w:val="single" w:sz="4" w:space="0" w:color="auto"/>
              <w:right w:val="single" w:sz="4" w:space="0" w:color="auto"/>
            </w:tcBorders>
            <w:vAlign w:val="center"/>
          </w:tcPr>
          <w:p w14:paraId="003D6EE9"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1,269</w:t>
            </w:r>
          </w:p>
        </w:tc>
        <w:tc>
          <w:tcPr>
            <w:tcW w:w="1036" w:type="dxa"/>
            <w:tcBorders>
              <w:top w:val="single" w:sz="4" w:space="0" w:color="auto"/>
              <w:left w:val="single" w:sz="4" w:space="0" w:color="auto"/>
              <w:right w:val="single" w:sz="4" w:space="0" w:color="auto"/>
            </w:tcBorders>
            <w:vAlign w:val="center"/>
          </w:tcPr>
          <w:p w14:paraId="4FD4825D"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1,048</w:t>
            </w:r>
          </w:p>
        </w:tc>
        <w:tc>
          <w:tcPr>
            <w:tcW w:w="1072" w:type="dxa"/>
            <w:tcBorders>
              <w:top w:val="single" w:sz="4" w:space="0" w:color="auto"/>
              <w:left w:val="single" w:sz="4" w:space="0" w:color="auto"/>
              <w:right w:val="single" w:sz="4" w:space="0" w:color="auto"/>
            </w:tcBorders>
            <w:vAlign w:val="center"/>
          </w:tcPr>
          <w:p w14:paraId="2699F996"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2,456</w:t>
            </w:r>
          </w:p>
        </w:tc>
      </w:tr>
      <w:tr w:rsidR="00A9409C" w:rsidRPr="00145B66" w14:paraId="54FD7CDC" w14:textId="77777777" w:rsidTr="00094F6F">
        <w:trPr>
          <w:trHeight w:val="227"/>
          <w:jc w:val="center"/>
        </w:trPr>
        <w:tc>
          <w:tcPr>
            <w:tcW w:w="2099" w:type="dxa"/>
            <w:tcBorders>
              <w:top w:val="single" w:sz="4" w:space="0" w:color="auto"/>
              <w:left w:val="single" w:sz="4" w:space="0" w:color="auto"/>
              <w:right w:val="single" w:sz="4" w:space="0" w:color="auto"/>
            </w:tcBorders>
            <w:vAlign w:val="center"/>
          </w:tcPr>
          <w:p w14:paraId="771AFF51" w14:textId="77777777" w:rsidR="00A9409C" w:rsidRPr="00F84A31" w:rsidRDefault="00A9409C" w:rsidP="00094F6F">
            <w:pPr>
              <w:tabs>
                <w:tab w:val="left" w:pos="0"/>
              </w:tabs>
              <w:spacing w:after="0" w:line="240" w:lineRule="auto"/>
              <w:rPr>
                <w:rFonts w:ascii="Times New Roman" w:hAnsi="Times New Roman"/>
                <w:lang w:eastAsia="en-US"/>
              </w:rPr>
            </w:pPr>
            <w:r w:rsidRPr="00F84A31">
              <w:rPr>
                <w:rFonts w:ascii="Times New Roman" w:hAnsi="Times New Roman"/>
                <w:lang w:val="en-US" w:eastAsia="en-US"/>
              </w:rPr>
              <w:t>III</w:t>
            </w:r>
            <w:r w:rsidRPr="00F84A31">
              <w:rPr>
                <w:rFonts w:ascii="Times New Roman" w:hAnsi="Times New Roman"/>
                <w:lang w:eastAsia="en-US"/>
              </w:rPr>
              <w:t xml:space="preserve"> стадия рака ободочной кишки</w:t>
            </w:r>
          </w:p>
        </w:tc>
        <w:tc>
          <w:tcPr>
            <w:tcW w:w="1275" w:type="dxa"/>
            <w:tcBorders>
              <w:top w:val="single" w:sz="4" w:space="0" w:color="auto"/>
              <w:left w:val="single" w:sz="4" w:space="0" w:color="auto"/>
              <w:right w:val="single" w:sz="4" w:space="0" w:color="auto"/>
            </w:tcBorders>
            <w:vAlign w:val="center"/>
          </w:tcPr>
          <w:p w14:paraId="61C1BDA3"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1,265</w:t>
            </w:r>
          </w:p>
        </w:tc>
        <w:tc>
          <w:tcPr>
            <w:tcW w:w="868" w:type="dxa"/>
            <w:tcBorders>
              <w:top w:val="single" w:sz="4" w:space="0" w:color="auto"/>
              <w:left w:val="single" w:sz="4" w:space="0" w:color="auto"/>
              <w:right w:val="single" w:sz="4" w:space="0" w:color="auto"/>
            </w:tcBorders>
            <w:vAlign w:val="center"/>
          </w:tcPr>
          <w:p w14:paraId="6094EFC1"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0,462</w:t>
            </w:r>
          </w:p>
        </w:tc>
        <w:tc>
          <w:tcPr>
            <w:tcW w:w="994" w:type="dxa"/>
            <w:tcBorders>
              <w:top w:val="single" w:sz="4" w:space="0" w:color="auto"/>
              <w:left w:val="single" w:sz="4" w:space="0" w:color="auto"/>
              <w:right w:val="single" w:sz="4" w:space="0" w:color="auto"/>
            </w:tcBorders>
            <w:vAlign w:val="center"/>
          </w:tcPr>
          <w:p w14:paraId="4CBE9B46"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1,726</w:t>
            </w:r>
          </w:p>
        </w:tc>
        <w:tc>
          <w:tcPr>
            <w:tcW w:w="517" w:type="dxa"/>
            <w:tcBorders>
              <w:top w:val="single" w:sz="4" w:space="0" w:color="auto"/>
              <w:left w:val="single" w:sz="4" w:space="0" w:color="auto"/>
              <w:right w:val="single" w:sz="4" w:space="0" w:color="auto"/>
            </w:tcBorders>
            <w:vAlign w:val="center"/>
          </w:tcPr>
          <w:p w14:paraId="4757B64E"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910" w:type="dxa"/>
            <w:tcBorders>
              <w:top w:val="single" w:sz="4" w:space="0" w:color="auto"/>
              <w:left w:val="single" w:sz="4" w:space="0" w:color="auto"/>
              <w:right w:val="single" w:sz="4" w:space="0" w:color="auto"/>
            </w:tcBorders>
            <w:vAlign w:val="center"/>
          </w:tcPr>
          <w:p w14:paraId="0AF99B11"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0,018</w:t>
            </w:r>
          </w:p>
        </w:tc>
        <w:tc>
          <w:tcPr>
            <w:tcW w:w="840" w:type="dxa"/>
            <w:tcBorders>
              <w:top w:val="single" w:sz="4" w:space="0" w:color="auto"/>
              <w:left w:val="single" w:sz="4" w:space="0" w:color="auto"/>
              <w:right w:val="single" w:sz="4" w:space="0" w:color="auto"/>
            </w:tcBorders>
            <w:vAlign w:val="center"/>
          </w:tcPr>
          <w:p w14:paraId="24BE8EA7"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1,083</w:t>
            </w:r>
          </w:p>
        </w:tc>
        <w:tc>
          <w:tcPr>
            <w:tcW w:w="1036" w:type="dxa"/>
            <w:tcBorders>
              <w:top w:val="single" w:sz="4" w:space="0" w:color="auto"/>
              <w:left w:val="single" w:sz="4" w:space="0" w:color="auto"/>
              <w:right w:val="single" w:sz="4" w:space="0" w:color="auto"/>
            </w:tcBorders>
            <w:vAlign w:val="center"/>
          </w:tcPr>
          <w:p w14:paraId="3D736E57"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1,005</w:t>
            </w:r>
          </w:p>
        </w:tc>
        <w:tc>
          <w:tcPr>
            <w:tcW w:w="1072" w:type="dxa"/>
            <w:tcBorders>
              <w:top w:val="single" w:sz="4" w:space="0" w:color="auto"/>
              <w:left w:val="single" w:sz="4" w:space="0" w:color="auto"/>
              <w:right w:val="single" w:sz="4" w:space="0" w:color="auto"/>
            </w:tcBorders>
            <w:vAlign w:val="center"/>
          </w:tcPr>
          <w:p w14:paraId="105CD900"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1,936</w:t>
            </w:r>
          </w:p>
        </w:tc>
      </w:tr>
      <w:tr w:rsidR="00A9409C" w:rsidRPr="00145B66" w14:paraId="63852EEC" w14:textId="77777777" w:rsidTr="00094F6F">
        <w:trPr>
          <w:trHeight w:val="227"/>
          <w:jc w:val="center"/>
        </w:trPr>
        <w:tc>
          <w:tcPr>
            <w:tcW w:w="2099" w:type="dxa"/>
            <w:tcBorders>
              <w:top w:val="single" w:sz="4" w:space="0" w:color="auto"/>
              <w:left w:val="single" w:sz="4" w:space="0" w:color="auto"/>
              <w:bottom w:val="single" w:sz="4" w:space="0" w:color="auto"/>
              <w:right w:val="single" w:sz="4" w:space="0" w:color="auto"/>
            </w:tcBorders>
            <w:vAlign w:val="center"/>
          </w:tcPr>
          <w:p w14:paraId="1BABF60A" w14:textId="77777777" w:rsidR="00A9409C" w:rsidRPr="00F84A31" w:rsidRDefault="00A9409C" w:rsidP="00094F6F">
            <w:pPr>
              <w:spacing w:after="0" w:line="240" w:lineRule="auto"/>
              <w:rPr>
                <w:rFonts w:ascii="Times New Roman" w:hAnsi="Times New Roman"/>
                <w:bCs/>
                <w:lang w:eastAsia="en-US"/>
              </w:rPr>
            </w:pPr>
            <w:r w:rsidRPr="00F84A31">
              <w:rPr>
                <w:rFonts w:ascii="Times New Roman" w:hAnsi="Times New Roman"/>
                <w:bCs/>
                <w:lang w:eastAsia="en-US"/>
              </w:rPr>
              <w:t xml:space="preserve">Низкая </w:t>
            </w:r>
            <w:r w:rsidRPr="00F84A31">
              <w:rPr>
                <w:rFonts w:ascii="Times New Roman" w:hAnsi="Times New Roman"/>
                <w:lang w:eastAsia="en-US"/>
              </w:rPr>
              <w:t>степень дифференцировки</w:t>
            </w:r>
          </w:p>
        </w:tc>
        <w:tc>
          <w:tcPr>
            <w:tcW w:w="1275" w:type="dxa"/>
            <w:tcBorders>
              <w:top w:val="single" w:sz="4" w:space="0" w:color="auto"/>
              <w:left w:val="single" w:sz="4" w:space="0" w:color="auto"/>
              <w:bottom w:val="single" w:sz="4" w:space="0" w:color="auto"/>
              <w:right w:val="single" w:sz="4" w:space="0" w:color="auto"/>
            </w:tcBorders>
            <w:vAlign w:val="center"/>
          </w:tcPr>
          <w:p w14:paraId="2F0AA99D"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1,245</w:t>
            </w:r>
          </w:p>
        </w:tc>
        <w:tc>
          <w:tcPr>
            <w:tcW w:w="868" w:type="dxa"/>
            <w:tcBorders>
              <w:top w:val="single" w:sz="4" w:space="0" w:color="auto"/>
              <w:left w:val="single" w:sz="4" w:space="0" w:color="auto"/>
              <w:bottom w:val="single" w:sz="4" w:space="0" w:color="auto"/>
              <w:right w:val="single" w:sz="4" w:space="0" w:color="auto"/>
            </w:tcBorders>
            <w:vAlign w:val="center"/>
          </w:tcPr>
          <w:p w14:paraId="4719A68E"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0,795</w:t>
            </w:r>
          </w:p>
        </w:tc>
        <w:tc>
          <w:tcPr>
            <w:tcW w:w="994" w:type="dxa"/>
            <w:tcBorders>
              <w:top w:val="single" w:sz="4" w:space="0" w:color="auto"/>
              <w:left w:val="single" w:sz="4" w:space="0" w:color="auto"/>
              <w:bottom w:val="single" w:sz="4" w:space="0" w:color="auto"/>
              <w:right w:val="single" w:sz="4" w:space="0" w:color="auto"/>
            </w:tcBorders>
            <w:vAlign w:val="center"/>
          </w:tcPr>
          <w:p w14:paraId="3E176A1B"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1,782</w:t>
            </w:r>
          </w:p>
        </w:tc>
        <w:tc>
          <w:tcPr>
            <w:tcW w:w="517" w:type="dxa"/>
            <w:tcBorders>
              <w:top w:val="single" w:sz="4" w:space="0" w:color="auto"/>
              <w:left w:val="single" w:sz="4" w:space="0" w:color="auto"/>
              <w:bottom w:val="single" w:sz="4" w:space="0" w:color="auto"/>
              <w:right w:val="single" w:sz="4" w:space="0" w:color="auto"/>
            </w:tcBorders>
            <w:vAlign w:val="center"/>
          </w:tcPr>
          <w:p w14:paraId="234E6374"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910" w:type="dxa"/>
            <w:tcBorders>
              <w:top w:val="single" w:sz="4" w:space="0" w:color="auto"/>
              <w:left w:val="single" w:sz="4" w:space="0" w:color="auto"/>
              <w:bottom w:val="single" w:sz="4" w:space="0" w:color="auto"/>
              <w:right w:val="single" w:sz="4" w:space="0" w:color="auto"/>
            </w:tcBorders>
            <w:vAlign w:val="center"/>
          </w:tcPr>
          <w:p w14:paraId="114A2439"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0,003</w:t>
            </w:r>
          </w:p>
        </w:tc>
        <w:tc>
          <w:tcPr>
            <w:tcW w:w="840" w:type="dxa"/>
            <w:tcBorders>
              <w:top w:val="single" w:sz="4" w:space="0" w:color="auto"/>
              <w:left w:val="single" w:sz="4" w:space="0" w:color="auto"/>
              <w:bottom w:val="single" w:sz="4" w:space="0" w:color="auto"/>
              <w:right w:val="single" w:sz="4" w:space="0" w:color="auto"/>
            </w:tcBorders>
            <w:vAlign w:val="center"/>
          </w:tcPr>
          <w:p w14:paraId="645C5255"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1,195</w:t>
            </w:r>
          </w:p>
        </w:tc>
        <w:tc>
          <w:tcPr>
            <w:tcW w:w="1036" w:type="dxa"/>
            <w:tcBorders>
              <w:top w:val="single" w:sz="4" w:space="0" w:color="auto"/>
              <w:left w:val="single" w:sz="4" w:space="0" w:color="auto"/>
              <w:bottom w:val="single" w:sz="4" w:space="0" w:color="auto"/>
              <w:right w:val="single" w:sz="4" w:space="0" w:color="auto"/>
            </w:tcBorders>
            <w:vAlign w:val="center"/>
          </w:tcPr>
          <w:p w14:paraId="44CF667D"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1,045</w:t>
            </w:r>
          </w:p>
        </w:tc>
        <w:tc>
          <w:tcPr>
            <w:tcW w:w="1072" w:type="dxa"/>
            <w:tcBorders>
              <w:top w:val="single" w:sz="4" w:space="0" w:color="auto"/>
              <w:left w:val="single" w:sz="4" w:space="0" w:color="auto"/>
              <w:bottom w:val="single" w:sz="4" w:space="0" w:color="auto"/>
              <w:right w:val="single" w:sz="4" w:space="0" w:color="auto"/>
            </w:tcBorders>
            <w:vAlign w:val="center"/>
          </w:tcPr>
          <w:p w14:paraId="639B9A8E"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2,966</w:t>
            </w:r>
          </w:p>
        </w:tc>
      </w:tr>
      <w:tr w:rsidR="00A9409C" w:rsidRPr="00145B66" w14:paraId="211212F4" w14:textId="77777777" w:rsidTr="00094F6F">
        <w:trPr>
          <w:trHeight w:val="227"/>
          <w:jc w:val="center"/>
        </w:trPr>
        <w:tc>
          <w:tcPr>
            <w:tcW w:w="2099" w:type="dxa"/>
            <w:tcBorders>
              <w:top w:val="single" w:sz="4" w:space="0" w:color="auto"/>
              <w:left w:val="single" w:sz="4" w:space="0" w:color="auto"/>
              <w:right w:val="single" w:sz="4" w:space="0" w:color="auto"/>
            </w:tcBorders>
            <w:vAlign w:val="center"/>
          </w:tcPr>
          <w:p w14:paraId="0765FED0" w14:textId="77777777" w:rsidR="00A9409C" w:rsidRPr="00F84A31" w:rsidRDefault="00A9409C" w:rsidP="00094F6F">
            <w:pPr>
              <w:spacing w:after="0" w:line="240" w:lineRule="auto"/>
              <w:rPr>
                <w:rFonts w:ascii="Times New Roman" w:hAnsi="Times New Roman"/>
                <w:bCs/>
                <w:lang w:eastAsia="en-US"/>
              </w:rPr>
            </w:pPr>
            <w:r w:rsidRPr="00F84A31">
              <w:rPr>
                <w:rFonts w:ascii="Times New Roman" w:hAnsi="Times New Roman"/>
                <w:lang w:eastAsia="en-US"/>
              </w:rPr>
              <w:t>Недифференцированная карцинома</w:t>
            </w:r>
          </w:p>
        </w:tc>
        <w:tc>
          <w:tcPr>
            <w:tcW w:w="1275" w:type="dxa"/>
            <w:tcBorders>
              <w:top w:val="single" w:sz="4" w:space="0" w:color="auto"/>
              <w:left w:val="single" w:sz="4" w:space="0" w:color="auto"/>
              <w:right w:val="single" w:sz="4" w:space="0" w:color="auto"/>
            </w:tcBorders>
            <w:vAlign w:val="center"/>
          </w:tcPr>
          <w:p w14:paraId="6EED1454"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1,885</w:t>
            </w:r>
          </w:p>
        </w:tc>
        <w:tc>
          <w:tcPr>
            <w:tcW w:w="868" w:type="dxa"/>
            <w:tcBorders>
              <w:top w:val="single" w:sz="4" w:space="0" w:color="auto"/>
              <w:left w:val="single" w:sz="4" w:space="0" w:color="auto"/>
              <w:right w:val="single" w:sz="4" w:space="0" w:color="auto"/>
            </w:tcBorders>
            <w:vAlign w:val="center"/>
          </w:tcPr>
          <w:p w14:paraId="1831BF26"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0,342</w:t>
            </w:r>
          </w:p>
        </w:tc>
        <w:tc>
          <w:tcPr>
            <w:tcW w:w="994" w:type="dxa"/>
            <w:tcBorders>
              <w:top w:val="single" w:sz="4" w:space="0" w:color="auto"/>
              <w:left w:val="single" w:sz="4" w:space="0" w:color="auto"/>
              <w:right w:val="single" w:sz="4" w:space="0" w:color="auto"/>
            </w:tcBorders>
            <w:vAlign w:val="center"/>
          </w:tcPr>
          <w:p w14:paraId="477EC62F"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1,454</w:t>
            </w:r>
          </w:p>
        </w:tc>
        <w:tc>
          <w:tcPr>
            <w:tcW w:w="517" w:type="dxa"/>
            <w:tcBorders>
              <w:top w:val="single" w:sz="4" w:space="0" w:color="auto"/>
              <w:left w:val="single" w:sz="4" w:space="0" w:color="auto"/>
              <w:right w:val="single" w:sz="4" w:space="0" w:color="auto"/>
            </w:tcBorders>
            <w:vAlign w:val="center"/>
          </w:tcPr>
          <w:p w14:paraId="6585C772"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910" w:type="dxa"/>
            <w:tcBorders>
              <w:top w:val="single" w:sz="4" w:space="0" w:color="auto"/>
              <w:left w:val="single" w:sz="4" w:space="0" w:color="auto"/>
              <w:right w:val="single" w:sz="4" w:space="0" w:color="auto"/>
            </w:tcBorders>
            <w:vAlign w:val="center"/>
          </w:tcPr>
          <w:p w14:paraId="58416077"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0,002</w:t>
            </w:r>
          </w:p>
        </w:tc>
        <w:tc>
          <w:tcPr>
            <w:tcW w:w="840" w:type="dxa"/>
            <w:tcBorders>
              <w:top w:val="single" w:sz="4" w:space="0" w:color="auto"/>
              <w:left w:val="single" w:sz="4" w:space="0" w:color="auto"/>
              <w:right w:val="single" w:sz="4" w:space="0" w:color="auto"/>
            </w:tcBorders>
            <w:vAlign w:val="center"/>
          </w:tcPr>
          <w:p w14:paraId="5F1E9F54"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1,231</w:t>
            </w:r>
          </w:p>
        </w:tc>
        <w:tc>
          <w:tcPr>
            <w:tcW w:w="1036" w:type="dxa"/>
            <w:tcBorders>
              <w:top w:val="single" w:sz="4" w:space="0" w:color="auto"/>
              <w:left w:val="single" w:sz="4" w:space="0" w:color="auto"/>
              <w:right w:val="single" w:sz="4" w:space="0" w:color="auto"/>
            </w:tcBorders>
            <w:vAlign w:val="center"/>
          </w:tcPr>
          <w:p w14:paraId="34D33B26"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0,116</w:t>
            </w:r>
          </w:p>
        </w:tc>
        <w:tc>
          <w:tcPr>
            <w:tcW w:w="1072" w:type="dxa"/>
            <w:tcBorders>
              <w:top w:val="single" w:sz="4" w:space="0" w:color="auto"/>
              <w:left w:val="single" w:sz="4" w:space="0" w:color="auto"/>
              <w:right w:val="single" w:sz="4" w:space="0" w:color="auto"/>
            </w:tcBorders>
            <w:vAlign w:val="center"/>
          </w:tcPr>
          <w:p w14:paraId="2690EE48"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1,554</w:t>
            </w:r>
          </w:p>
        </w:tc>
      </w:tr>
      <w:tr w:rsidR="00A9409C" w:rsidRPr="00145B66" w14:paraId="6F4D32CB" w14:textId="77777777" w:rsidTr="00094F6F">
        <w:trPr>
          <w:trHeight w:val="227"/>
          <w:jc w:val="center"/>
        </w:trPr>
        <w:tc>
          <w:tcPr>
            <w:tcW w:w="2099" w:type="dxa"/>
            <w:tcBorders>
              <w:top w:val="single" w:sz="4" w:space="0" w:color="auto"/>
              <w:left w:val="single" w:sz="4" w:space="0" w:color="auto"/>
              <w:bottom w:val="single" w:sz="4" w:space="0" w:color="auto"/>
              <w:right w:val="single" w:sz="4" w:space="0" w:color="BFBFBF"/>
            </w:tcBorders>
            <w:vAlign w:val="center"/>
          </w:tcPr>
          <w:p w14:paraId="4D6DE977" w14:textId="77777777" w:rsidR="00A9409C" w:rsidRPr="00F84A31" w:rsidRDefault="00A9409C" w:rsidP="00094F6F">
            <w:pPr>
              <w:spacing w:after="0" w:line="240" w:lineRule="auto"/>
              <w:rPr>
                <w:rFonts w:ascii="Times New Roman" w:hAnsi="Times New Roman"/>
                <w:bCs/>
                <w:lang w:eastAsia="en-US"/>
              </w:rPr>
            </w:pPr>
            <w:r w:rsidRPr="00F84A31">
              <w:rPr>
                <w:rFonts w:ascii="Times New Roman" w:hAnsi="Times New Roman"/>
                <w:bCs/>
                <w:lang w:eastAsia="en-US"/>
              </w:rPr>
              <w:t>Функциональные осложнения</w:t>
            </w:r>
          </w:p>
        </w:tc>
        <w:tc>
          <w:tcPr>
            <w:tcW w:w="1275" w:type="dxa"/>
            <w:tcBorders>
              <w:top w:val="single" w:sz="4" w:space="0" w:color="auto"/>
              <w:left w:val="single" w:sz="4" w:space="0" w:color="auto"/>
              <w:bottom w:val="single" w:sz="4" w:space="0" w:color="auto"/>
              <w:right w:val="single" w:sz="4" w:space="0" w:color="auto"/>
            </w:tcBorders>
            <w:vAlign w:val="center"/>
          </w:tcPr>
          <w:p w14:paraId="0CA2575F"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1,426</w:t>
            </w:r>
          </w:p>
        </w:tc>
        <w:tc>
          <w:tcPr>
            <w:tcW w:w="868" w:type="dxa"/>
            <w:tcBorders>
              <w:top w:val="single" w:sz="4" w:space="0" w:color="auto"/>
              <w:left w:val="single" w:sz="4" w:space="0" w:color="auto"/>
              <w:bottom w:val="single" w:sz="4" w:space="0" w:color="auto"/>
              <w:right w:val="single" w:sz="4" w:space="0" w:color="auto"/>
            </w:tcBorders>
            <w:vAlign w:val="center"/>
          </w:tcPr>
          <w:p w14:paraId="4AFE8285"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0,729</w:t>
            </w:r>
          </w:p>
        </w:tc>
        <w:tc>
          <w:tcPr>
            <w:tcW w:w="994" w:type="dxa"/>
            <w:tcBorders>
              <w:top w:val="single" w:sz="4" w:space="0" w:color="auto"/>
              <w:left w:val="single" w:sz="4" w:space="0" w:color="auto"/>
              <w:bottom w:val="single" w:sz="4" w:space="0" w:color="auto"/>
              <w:right w:val="single" w:sz="4" w:space="0" w:color="auto"/>
            </w:tcBorders>
            <w:vAlign w:val="center"/>
          </w:tcPr>
          <w:p w14:paraId="20E20C33"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2,564</w:t>
            </w:r>
          </w:p>
        </w:tc>
        <w:tc>
          <w:tcPr>
            <w:tcW w:w="517" w:type="dxa"/>
            <w:tcBorders>
              <w:top w:val="single" w:sz="4" w:space="0" w:color="auto"/>
              <w:left w:val="single" w:sz="4" w:space="0" w:color="auto"/>
              <w:bottom w:val="single" w:sz="4" w:space="0" w:color="auto"/>
              <w:right w:val="single" w:sz="4" w:space="0" w:color="auto"/>
            </w:tcBorders>
            <w:vAlign w:val="center"/>
          </w:tcPr>
          <w:p w14:paraId="1AFAB8E0"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910" w:type="dxa"/>
            <w:tcBorders>
              <w:top w:val="single" w:sz="4" w:space="0" w:color="auto"/>
              <w:left w:val="single" w:sz="4" w:space="0" w:color="auto"/>
              <w:bottom w:val="single" w:sz="4" w:space="0" w:color="auto"/>
              <w:right w:val="single" w:sz="4" w:space="0" w:color="auto"/>
            </w:tcBorders>
            <w:vAlign w:val="center"/>
          </w:tcPr>
          <w:p w14:paraId="1F9333A2"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0,002</w:t>
            </w:r>
          </w:p>
        </w:tc>
        <w:tc>
          <w:tcPr>
            <w:tcW w:w="840" w:type="dxa"/>
            <w:tcBorders>
              <w:top w:val="single" w:sz="4" w:space="0" w:color="auto"/>
              <w:left w:val="single" w:sz="4" w:space="0" w:color="auto"/>
              <w:bottom w:val="single" w:sz="4" w:space="0" w:color="auto"/>
              <w:right w:val="single" w:sz="4" w:space="0" w:color="auto"/>
            </w:tcBorders>
            <w:vAlign w:val="center"/>
          </w:tcPr>
          <w:p w14:paraId="6D30818D"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1,862</w:t>
            </w:r>
          </w:p>
        </w:tc>
        <w:tc>
          <w:tcPr>
            <w:tcW w:w="1036" w:type="dxa"/>
            <w:tcBorders>
              <w:top w:val="single" w:sz="4" w:space="0" w:color="auto"/>
              <w:left w:val="single" w:sz="4" w:space="0" w:color="auto"/>
              <w:bottom w:val="single" w:sz="4" w:space="0" w:color="auto"/>
              <w:right w:val="single" w:sz="4" w:space="0" w:color="auto"/>
            </w:tcBorders>
            <w:vAlign w:val="center"/>
          </w:tcPr>
          <w:p w14:paraId="78E6E4CC"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1,264</w:t>
            </w:r>
          </w:p>
        </w:tc>
        <w:tc>
          <w:tcPr>
            <w:tcW w:w="1072" w:type="dxa"/>
            <w:tcBorders>
              <w:top w:val="single" w:sz="4" w:space="0" w:color="auto"/>
              <w:left w:val="single" w:sz="4" w:space="0" w:color="auto"/>
              <w:bottom w:val="single" w:sz="4" w:space="0" w:color="auto"/>
              <w:right w:val="single" w:sz="4" w:space="0" w:color="auto"/>
            </w:tcBorders>
            <w:vAlign w:val="center"/>
          </w:tcPr>
          <w:p w14:paraId="4CE45993"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2,935</w:t>
            </w:r>
          </w:p>
        </w:tc>
      </w:tr>
      <w:tr w:rsidR="00A9409C" w:rsidRPr="00145B66" w14:paraId="147112E9" w14:textId="77777777" w:rsidTr="00094F6F">
        <w:trPr>
          <w:trHeight w:val="227"/>
          <w:jc w:val="center"/>
        </w:trPr>
        <w:tc>
          <w:tcPr>
            <w:tcW w:w="2099" w:type="dxa"/>
            <w:tcBorders>
              <w:top w:val="single" w:sz="4" w:space="0" w:color="auto"/>
              <w:left w:val="single" w:sz="4" w:space="0" w:color="auto"/>
              <w:bottom w:val="single" w:sz="4" w:space="0" w:color="auto"/>
              <w:right w:val="single" w:sz="4" w:space="0" w:color="BFBFBF"/>
            </w:tcBorders>
            <w:vAlign w:val="center"/>
          </w:tcPr>
          <w:p w14:paraId="7FA28024" w14:textId="77777777" w:rsidR="00A9409C" w:rsidRPr="00F84A31" w:rsidRDefault="00A9409C" w:rsidP="00094F6F">
            <w:pPr>
              <w:spacing w:after="0" w:line="240" w:lineRule="auto"/>
              <w:rPr>
                <w:rFonts w:ascii="Times New Roman" w:hAnsi="Times New Roman"/>
                <w:bCs/>
                <w:lang w:eastAsia="en-US"/>
              </w:rPr>
            </w:pPr>
            <w:r w:rsidRPr="00F84A31">
              <w:rPr>
                <w:rFonts w:ascii="Times New Roman" w:hAnsi="Times New Roman"/>
              </w:rPr>
              <w:t>Сопутствующая патология</w:t>
            </w:r>
          </w:p>
        </w:tc>
        <w:tc>
          <w:tcPr>
            <w:tcW w:w="1275" w:type="dxa"/>
            <w:tcBorders>
              <w:top w:val="single" w:sz="4" w:space="0" w:color="auto"/>
              <w:left w:val="single" w:sz="4" w:space="0" w:color="auto"/>
              <w:bottom w:val="single" w:sz="4" w:space="0" w:color="auto"/>
              <w:right w:val="single" w:sz="4" w:space="0" w:color="auto"/>
            </w:tcBorders>
            <w:vAlign w:val="center"/>
          </w:tcPr>
          <w:p w14:paraId="181AE296"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−0,524</w:t>
            </w:r>
          </w:p>
        </w:tc>
        <w:tc>
          <w:tcPr>
            <w:tcW w:w="868" w:type="dxa"/>
            <w:tcBorders>
              <w:top w:val="single" w:sz="4" w:space="0" w:color="auto"/>
              <w:left w:val="single" w:sz="4" w:space="0" w:color="auto"/>
              <w:bottom w:val="single" w:sz="4" w:space="0" w:color="auto"/>
              <w:right w:val="single" w:sz="4" w:space="0" w:color="auto"/>
            </w:tcBorders>
            <w:vAlign w:val="center"/>
          </w:tcPr>
          <w:p w14:paraId="5A73518F"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0,635</w:t>
            </w:r>
          </w:p>
        </w:tc>
        <w:tc>
          <w:tcPr>
            <w:tcW w:w="994" w:type="dxa"/>
            <w:tcBorders>
              <w:top w:val="single" w:sz="4" w:space="0" w:color="auto"/>
              <w:left w:val="single" w:sz="4" w:space="0" w:color="auto"/>
              <w:bottom w:val="single" w:sz="4" w:space="0" w:color="auto"/>
              <w:right w:val="single" w:sz="4" w:space="0" w:color="auto"/>
            </w:tcBorders>
            <w:vAlign w:val="center"/>
          </w:tcPr>
          <w:p w14:paraId="150CB637"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1,425</w:t>
            </w:r>
          </w:p>
        </w:tc>
        <w:tc>
          <w:tcPr>
            <w:tcW w:w="517" w:type="dxa"/>
            <w:tcBorders>
              <w:top w:val="single" w:sz="4" w:space="0" w:color="auto"/>
              <w:left w:val="single" w:sz="4" w:space="0" w:color="auto"/>
              <w:bottom w:val="single" w:sz="4" w:space="0" w:color="auto"/>
              <w:right w:val="single" w:sz="4" w:space="0" w:color="auto"/>
            </w:tcBorders>
            <w:vAlign w:val="center"/>
          </w:tcPr>
          <w:p w14:paraId="23B71899"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910" w:type="dxa"/>
            <w:tcBorders>
              <w:top w:val="single" w:sz="4" w:space="0" w:color="auto"/>
              <w:left w:val="single" w:sz="4" w:space="0" w:color="auto"/>
              <w:bottom w:val="single" w:sz="4" w:space="0" w:color="auto"/>
              <w:right w:val="single" w:sz="4" w:space="0" w:color="auto"/>
            </w:tcBorders>
            <w:vAlign w:val="center"/>
          </w:tcPr>
          <w:p w14:paraId="42377D66"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0,825</w:t>
            </w:r>
          </w:p>
        </w:tc>
        <w:tc>
          <w:tcPr>
            <w:tcW w:w="840" w:type="dxa"/>
            <w:tcBorders>
              <w:top w:val="single" w:sz="4" w:space="0" w:color="auto"/>
              <w:left w:val="single" w:sz="4" w:space="0" w:color="auto"/>
              <w:bottom w:val="single" w:sz="4" w:space="0" w:color="auto"/>
              <w:right w:val="single" w:sz="4" w:space="0" w:color="auto"/>
            </w:tcBorders>
            <w:vAlign w:val="center"/>
          </w:tcPr>
          <w:p w14:paraId="65D28765"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0,526</w:t>
            </w:r>
          </w:p>
        </w:tc>
        <w:tc>
          <w:tcPr>
            <w:tcW w:w="1036" w:type="dxa"/>
            <w:tcBorders>
              <w:top w:val="single" w:sz="4" w:space="0" w:color="auto"/>
              <w:left w:val="single" w:sz="4" w:space="0" w:color="auto"/>
              <w:bottom w:val="single" w:sz="4" w:space="0" w:color="auto"/>
              <w:right w:val="single" w:sz="4" w:space="0" w:color="auto"/>
            </w:tcBorders>
            <w:vAlign w:val="center"/>
          </w:tcPr>
          <w:p w14:paraId="58A1299F"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0,125</w:t>
            </w:r>
          </w:p>
        </w:tc>
        <w:tc>
          <w:tcPr>
            <w:tcW w:w="1072" w:type="dxa"/>
            <w:tcBorders>
              <w:top w:val="single" w:sz="4" w:space="0" w:color="auto"/>
              <w:left w:val="single" w:sz="4" w:space="0" w:color="auto"/>
              <w:bottom w:val="single" w:sz="4" w:space="0" w:color="auto"/>
              <w:right w:val="single" w:sz="4" w:space="0" w:color="auto"/>
            </w:tcBorders>
            <w:vAlign w:val="center"/>
          </w:tcPr>
          <w:p w14:paraId="39C6A33C"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4,326</w:t>
            </w:r>
          </w:p>
        </w:tc>
      </w:tr>
    </w:tbl>
    <w:p w14:paraId="50EF2D84" w14:textId="77777777" w:rsidR="00A9409C" w:rsidRDefault="00A9409C" w:rsidP="00A9409C">
      <w:pPr>
        <w:tabs>
          <w:tab w:val="left" w:pos="0"/>
        </w:tabs>
        <w:spacing w:after="0" w:line="240" w:lineRule="auto"/>
        <w:jc w:val="both"/>
        <w:rPr>
          <w:rFonts w:ascii="Times New Roman" w:hAnsi="Times New Roman"/>
          <w:sz w:val="28"/>
          <w:szCs w:val="28"/>
        </w:rPr>
      </w:pPr>
    </w:p>
    <w:p w14:paraId="0028B858" w14:textId="77777777" w:rsidR="00A9409C" w:rsidRDefault="00A9409C" w:rsidP="00A9409C">
      <w:pPr>
        <w:tabs>
          <w:tab w:val="left" w:pos="0"/>
        </w:tabs>
        <w:spacing w:after="0" w:line="240" w:lineRule="auto"/>
        <w:jc w:val="both"/>
        <w:rPr>
          <w:rFonts w:ascii="Times New Roman" w:hAnsi="Times New Roman"/>
          <w:sz w:val="28"/>
          <w:szCs w:val="28"/>
        </w:rPr>
      </w:pPr>
      <w:r>
        <w:rPr>
          <w:rFonts w:ascii="Times New Roman" w:hAnsi="Times New Roman"/>
          <w:sz w:val="28"/>
          <w:szCs w:val="28"/>
        </w:rPr>
        <w:t>Таблица 30</w:t>
      </w:r>
      <w:r w:rsidRPr="00145B66">
        <w:rPr>
          <w:rFonts w:ascii="Times New Roman" w:hAnsi="Times New Roman"/>
          <w:sz w:val="28"/>
          <w:szCs w:val="28"/>
        </w:rPr>
        <w:t xml:space="preserve"> </w:t>
      </w:r>
      <w:r>
        <w:rPr>
          <w:rFonts w:ascii="Times New Roman" w:hAnsi="Times New Roman"/>
          <w:sz w:val="28"/>
          <w:szCs w:val="28"/>
        </w:rPr>
        <w:t>–</w:t>
      </w:r>
      <w:r w:rsidRPr="00145B66">
        <w:rPr>
          <w:rFonts w:ascii="Times New Roman" w:hAnsi="Times New Roman"/>
          <w:sz w:val="28"/>
          <w:szCs w:val="28"/>
        </w:rPr>
        <w:t xml:space="preserve"> Многофакторная модель Кокса пропорциональных рисков развития неблагоприятного исхода (рецидива) у больных в течение 3-лет </w:t>
      </w:r>
      <w:proofErr w:type="spellStart"/>
      <w:r w:rsidRPr="00145B66">
        <w:rPr>
          <w:rFonts w:ascii="Times New Roman" w:hAnsi="Times New Roman"/>
          <w:sz w:val="28"/>
          <w:szCs w:val="28"/>
        </w:rPr>
        <w:t>безрецидивного</w:t>
      </w:r>
      <w:proofErr w:type="spellEnd"/>
      <w:r w:rsidRPr="00145B66">
        <w:rPr>
          <w:rFonts w:ascii="Times New Roman" w:hAnsi="Times New Roman"/>
          <w:sz w:val="28"/>
          <w:szCs w:val="28"/>
        </w:rPr>
        <w:t xml:space="preserve"> периода после хирургического лечения рака ободочной кишки</w:t>
      </w:r>
    </w:p>
    <w:p w14:paraId="3534CACF" w14:textId="77777777" w:rsidR="00A9409C" w:rsidRDefault="00A9409C" w:rsidP="00A9409C">
      <w:pPr>
        <w:tabs>
          <w:tab w:val="left" w:pos="0"/>
        </w:tabs>
        <w:spacing w:after="0" w:line="240" w:lineRule="auto"/>
        <w:jc w:val="both"/>
        <w:rPr>
          <w:rFonts w:ascii="Times New Roman" w:hAnsi="Times New Roman"/>
          <w:sz w:val="28"/>
          <w:szCs w:val="28"/>
        </w:rPr>
      </w:pPr>
    </w:p>
    <w:tbl>
      <w:tblPr>
        <w:tblW w:w="0" w:type="auto"/>
        <w:jc w:val="center"/>
        <w:tblLayout w:type="fixed"/>
        <w:tblLook w:val="04A0" w:firstRow="1" w:lastRow="0" w:firstColumn="1" w:lastColumn="0" w:noHBand="0" w:noVBand="1"/>
      </w:tblPr>
      <w:tblGrid>
        <w:gridCol w:w="2436"/>
        <w:gridCol w:w="868"/>
        <w:gridCol w:w="812"/>
        <w:gridCol w:w="952"/>
        <w:gridCol w:w="546"/>
        <w:gridCol w:w="867"/>
        <w:gridCol w:w="980"/>
        <w:gridCol w:w="1022"/>
        <w:gridCol w:w="1114"/>
      </w:tblGrid>
      <w:tr w:rsidR="00A9409C" w:rsidRPr="00F84A31" w14:paraId="74BCB2B2" w14:textId="77777777" w:rsidTr="00094F6F">
        <w:trPr>
          <w:trHeight w:val="227"/>
          <w:jc w:val="center"/>
        </w:trPr>
        <w:tc>
          <w:tcPr>
            <w:tcW w:w="2436" w:type="dxa"/>
            <w:vMerge w:val="restart"/>
            <w:tcBorders>
              <w:top w:val="single" w:sz="4" w:space="0" w:color="auto"/>
              <w:left w:val="single" w:sz="4" w:space="0" w:color="auto"/>
              <w:bottom w:val="single" w:sz="4" w:space="0" w:color="auto"/>
              <w:right w:val="single" w:sz="4" w:space="0" w:color="auto"/>
            </w:tcBorders>
            <w:vAlign w:val="center"/>
            <w:hideMark/>
          </w:tcPr>
          <w:p w14:paraId="45553292"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Факторы</w:t>
            </w:r>
          </w:p>
        </w:tc>
        <w:tc>
          <w:tcPr>
            <w:tcW w:w="868" w:type="dxa"/>
            <w:vMerge w:val="restart"/>
            <w:tcBorders>
              <w:top w:val="single" w:sz="4" w:space="0" w:color="auto"/>
              <w:left w:val="single" w:sz="4" w:space="0" w:color="auto"/>
              <w:bottom w:val="single" w:sz="4" w:space="0" w:color="auto"/>
              <w:right w:val="single" w:sz="4" w:space="0" w:color="auto"/>
            </w:tcBorders>
            <w:vAlign w:val="center"/>
            <w:hideMark/>
          </w:tcPr>
          <w:p w14:paraId="7081F0A4"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В</w:t>
            </w:r>
          </w:p>
        </w:tc>
        <w:tc>
          <w:tcPr>
            <w:tcW w:w="812" w:type="dxa"/>
            <w:vMerge w:val="restart"/>
            <w:tcBorders>
              <w:top w:val="single" w:sz="4" w:space="0" w:color="auto"/>
              <w:left w:val="single" w:sz="4" w:space="0" w:color="auto"/>
              <w:bottom w:val="single" w:sz="4" w:space="0" w:color="auto"/>
              <w:right w:val="single" w:sz="4" w:space="0" w:color="auto"/>
            </w:tcBorders>
            <w:vAlign w:val="center"/>
            <w:hideMark/>
          </w:tcPr>
          <w:p w14:paraId="43F9A91B" w14:textId="77777777" w:rsidR="00A9409C" w:rsidRPr="00F84A31" w:rsidRDefault="00A9409C" w:rsidP="00094F6F">
            <w:pPr>
              <w:tabs>
                <w:tab w:val="left" w:pos="0"/>
              </w:tabs>
              <w:spacing w:after="0" w:line="240" w:lineRule="auto"/>
              <w:jc w:val="center"/>
              <w:rPr>
                <w:rFonts w:ascii="Times New Roman" w:hAnsi="Times New Roman"/>
                <w:lang w:val="en-US" w:eastAsia="en-US"/>
              </w:rPr>
            </w:pPr>
            <w:r w:rsidRPr="00F84A31">
              <w:rPr>
                <w:rFonts w:ascii="Times New Roman" w:hAnsi="Times New Roman"/>
                <w:lang w:val="en-US" w:eastAsia="en-US"/>
              </w:rPr>
              <w:t>SE</w:t>
            </w:r>
          </w:p>
        </w:tc>
        <w:tc>
          <w:tcPr>
            <w:tcW w:w="952" w:type="dxa"/>
            <w:vMerge w:val="restart"/>
            <w:tcBorders>
              <w:top w:val="single" w:sz="4" w:space="0" w:color="auto"/>
              <w:left w:val="single" w:sz="4" w:space="0" w:color="auto"/>
              <w:bottom w:val="single" w:sz="4" w:space="0" w:color="auto"/>
              <w:right w:val="single" w:sz="4" w:space="0" w:color="auto"/>
            </w:tcBorders>
            <w:vAlign w:val="center"/>
            <w:hideMark/>
          </w:tcPr>
          <w:p w14:paraId="5BD94F71" w14:textId="77777777" w:rsidR="00A9409C" w:rsidRPr="00F84A31" w:rsidRDefault="00A9409C" w:rsidP="00094F6F">
            <w:pPr>
              <w:tabs>
                <w:tab w:val="left" w:pos="0"/>
              </w:tabs>
              <w:spacing w:after="0" w:line="240" w:lineRule="auto"/>
              <w:jc w:val="center"/>
              <w:rPr>
                <w:rFonts w:ascii="Times New Roman" w:hAnsi="Times New Roman"/>
                <w:lang w:val="kk-KZ" w:eastAsia="en-US"/>
              </w:rPr>
            </w:pPr>
            <w:r w:rsidRPr="00F84A31">
              <w:rPr>
                <w:rFonts w:ascii="Times New Roman" w:hAnsi="Times New Roman"/>
                <w:lang w:val="en-US" w:eastAsia="en-US"/>
              </w:rPr>
              <w:t>Wald</w:t>
            </w:r>
          </w:p>
        </w:tc>
        <w:tc>
          <w:tcPr>
            <w:tcW w:w="546" w:type="dxa"/>
            <w:vMerge w:val="restart"/>
            <w:tcBorders>
              <w:top w:val="single" w:sz="4" w:space="0" w:color="auto"/>
              <w:left w:val="single" w:sz="4" w:space="0" w:color="auto"/>
              <w:bottom w:val="single" w:sz="4" w:space="0" w:color="auto"/>
              <w:right w:val="single" w:sz="4" w:space="0" w:color="auto"/>
            </w:tcBorders>
            <w:vAlign w:val="center"/>
            <w:hideMark/>
          </w:tcPr>
          <w:p w14:paraId="3AC98BB3" w14:textId="77777777" w:rsidR="00A9409C" w:rsidRPr="00F84A31" w:rsidRDefault="00A9409C" w:rsidP="00094F6F">
            <w:pPr>
              <w:tabs>
                <w:tab w:val="left" w:pos="0"/>
              </w:tabs>
              <w:spacing w:after="0" w:line="240" w:lineRule="auto"/>
              <w:jc w:val="center"/>
              <w:rPr>
                <w:rFonts w:ascii="Times New Roman" w:hAnsi="Times New Roman"/>
                <w:lang w:val="en-US" w:eastAsia="en-US"/>
              </w:rPr>
            </w:pPr>
            <w:proofErr w:type="spellStart"/>
            <w:r w:rsidRPr="00F84A31">
              <w:rPr>
                <w:rFonts w:ascii="Times New Roman" w:hAnsi="Times New Roman"/>
                <w:lang w:val="en-US" w:eastAsia="en-US"/>
              </w:rPr>
              <w:t>df</w:t>
            </w:r>
            <w:proofErr w:type="spellEnd"/>
          </w:p>
        </w:tc>
        <w:tc>
          <w:tcPr>
            <w:tcW w:w="867" w:type="dxa"/>
            <w:vMerge w:val="restart"/>
            <w:tcBorders>
              <w:top w:val="single" w:sz="4" w:space="0" w:color="auto"/>
              <w:left w:val="single" w:sz="4" w:space="0" w:color="auto"/>
              <w:bottom w:val="single" w:sz="4" w:space="0" w:color="auto"/>
              <w:right w:val="single" w:sz="4" w:space="0" w:color="auto"/>
            </w:tcBorders>
            <w:vAlign w:val="center"/>
            <w:hideMark/>
          </w:tcPr>
          <w:p w14:paraId="61013036" w14:textId="77777777" w:rsidR="00A9409C" w:rsidRPr="00F84A31" w:rsidRDefault="00A9409C" w:rsidP="00094F6F">
            <w:pPr>
              <w:tabs>
                <w:tab w:val="left" w:pos="0"/>
              </w:tabs>
              <w:spacing w:after="0" w:line="240" w:lineRule="auto"/>
              <w:jc w:val="center"/>
              <w:rPr>
                <w:rFonts w:ascii="Times New Roman" w:hAnsi="Times New Roman"/>
                <w:lang w:eastAsia="en-US"/>
              </w:rPr>
            </w:pPr>
            <w:proofErr w:type="gramStart"/>
            <w:r w:rsidRPr="00F84A31">
              <w:rPr>
                <w:rFonts w:ascii="Times New Roman" w:hAnsi="Times New Roman"/>
                <w:lang w:eastAsia="en-US"/>
              </w:rPr>
              <w:t>р</w:t>
            </w:r>
            <w:proofErr w:type="gramEnd"/>
          </w:p>
        </w:tc>
        <w:tc>
          <w:tcPr>
            <w:tcW w:w="980" w:type="dxa"/>
            <w:vMerge w:val="restart"/>
            <w:tcBorders>
              <w:top w:val="single" w:sz="4" w:space="0" w:color="auto"/>
              <w:left w:val="single" w:sz="4" w:space="0" w:color="auto"/>
              <w:bottom w:val="single" w:sz="4" w:space="0" w:color="auto"/>
              <w:right w:val="single" w:sz="4" w:space="0" w:color="auto"/>
            </w:tcBorders>
            <w:vAlign w:val="center"/>
            <w:hideMark/>
          </w:tcPr>
          <w:p w14:paraId="05A36DD3" w14:textId="77777777" w:rsidR="00A9409C" w:rsidRPr="00F84A31" w:rsidRDefault="00A9409C" w:rsidP="00094F6F">
            <w:pPr>
              <w:tabs>
                <w:tab w:val="left" w:pos="0"/>
              </w:tabs>
              <w:spacing w:after="0" w:line="240" w:lineRule="auto"/>
              <w:jc w:val="center"/>
              <w:rPr>
                <w:rFonts w:ascii="Times New Roman" w:hAnsi="Times New Roman"/>
                <w:lang w:val="en-US" w:eastAsia="en-US"/>
              </w:rPr>
            </w:pPr>
            <w:proofErr w:type="spellStart"/>
            <w:r w:rsidRPr="00F84A31">
              <w:rPr>
                <w:rFonts w:ascii="Times New Roman" w:hAnsi="Times New Roman"/>
                <w:lang w:val="en-US" w:eastAsia="en-US"/>
              </w:rPr>
              <w:t>Exp</w:t>
            </w:r>
            <w:proofErr w:type="spellEnd"/>
            <w:r w:rsidRPr="00F84A31">
              <w:rPr>
                <w:rFonts w:ascii="Times New Roman" w:hAnsi="Times New Roman"/>
                <w:lang w:eastAsia="en-US"/>
              </w:rPr>
              <w:t>(</w:t>
            </w:r>
            <w:r w:rsidRPr="00F84A31">
              <w:rPr>
                <w:rFonts w:ascii="Times New Roman" w:hAnsi="Times New Roman"/>
                <w:lang w:val="en-US" w:eastAsia="en-US"/>
              </w:rPr>
              <w:t>B</w:t>
            </w:r>
            <w:r w:rsidRPr="00F84A31">
              <w:rPr>
                <w:rFonts w:ascii="Times New Roman" w:hAnsi="Times New Roman"/>
                <w:lang w:eastAsia="en-US"/>
              </w:rPr>
              <w:t>)</w:t>
            </w:r>
          </w:p>
        </w:tc>
        <w:tc>
          <w:tcPr>
            <w:tcW w:w="2136" w:type="dxa"/>
            <w:gridSpan w:val="2"/>
            <w:tcBorders>
              <w:top w:val="single" w:sz="4" w:space="0" w:color="auto"/>
              <w:left w:val="single" w:sz="4" w:space="0" w:color="auto"/>
              <w:bottom w:val="single" w:sz="4" w:space="0" w:color="auto"/>
              <w:right w:val="single" w:sz="4" w:space="0" w:color="auto"/>
            </w:tcBorders>
            <w:vAlign w:val="center"/>
            <w:hideMark/>
          </w:tcPr>
          <w:p w14:paraId="69B8E1D6"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95% ДИ</w:t>
            </w:r>
          </w:p>
        </w:tc>
      </w:tr>
      <w:tr w:rsidR="00A9409C" w:rsidRPr="00F84A31" w14:paraId="31F2B495" w14:textId="77777777" w:rsidTr="00094F6F">
        <w:trPr>
          <w:trHeight w:val="227"/>
          <w:jc w:val="center"/>
        </w:trPr>
        <w:tc>
          <w:tcPr>
            <w:tcW w:w="2436" w:type="dxa"/>
            <w:vMerge/>
            <w:tcBorders>
              <w:top w:val="single" w:sz="4" w:space="0" w:color="auto"/>
              <w:left w:val="single" w:sz="4" w:space="0" w:color="auto"/>
              <w:bottom w:val="single" w:sz="4" w:space="0" w:color="auto"/>
              <w:right w:val="single" w:sz="4" w:space="0" w:color="auto"/>
            </w:tcBorders>
            <w:vAlign w:val="center"/>
            <w:hideMark/>
          </w:tcPr>
          <w:p w14:paraId="06203C58" w14:textId="77777777" w:rsidR="00A9409C" w:rsidRPr="00F84A31" w:rsidRDefault="00A9409C" w:rsidP="00094F6F">
            <w:pPr>
              <w:spacing w:after="0" w:line="240" w:lineRule="auto"/>
              <w:jc w:val="center"/>
              <w:rPr>
                <w:rFonts w:ascii="Times New Roman" w:hAnsi="Times New Roman"/>
                <w:lang w:eastAsia="en-US"/>
              </w:rPr>
            </w:pPr>
          </w:p>
        </w:tc>
        <w:tc>
          <w:tcPr>
            <w:tcW w:w="868" w:type="dxa"/>
            <w:vMerge/>
            <w:tcBorders>
              <w:top w:val="single" w:sz="4" w:space="0" w:color="auto"/>
              <w:left w:val="single" w:sz="4" w:space="0" w:color="auto"/>
              <w:bottom w:val="single" w:sz="4" w:space="0" w:color="auto"/>
              <w:right w:val="single" w:sz="4" w:space="0" w:color="auto"/>
            </w:tcBorders>
            <w:vAlign w:val="center"/>
            <w:hideMark/>
          </w:tcPr>
          <w:p w14:paraId="1DB7C22E" w14:textId="77777777" w:rsidR="00A9409C" w:rsidRPr="00F84A31" w:rsidRDefault="00A9409C" w:rsidP="00094F6F">
            <w:pPr>
              <w:spacing w:after="0" w:line="240" w:lineRule="auto"/>
              <w:jc w:val="center"/>
              <w:rPr>
                <w:rFonts w:ascii="Times New Roman" w:hAnsi="Times New Roman"/>
                <w:lang w:eastAsia="en-US"/>
              </w:rPr>
            </w:pPr>
          </w:p>
        </w:tc>
        <w:tc>
          <w:tcPr>
            <w:tcW w:w="812" w:type="dxa"/>
            <w:vMerge/>
            <w:tcBorders>
              <w:top w:val="single" w:sz="4" w:space="0" w:color="auto"/>
              <w:left w:val="single" w:sz="4" w:space="0" w:color="auto"/>
              <w:bottom w:val="single" w:sz="4" w:space="0" w:color="auto"/>
              <w:right w:val="single" w:sz="4" w:space="0" w:color="auto"/>
            </w:tcBorders>
            <w:vAlign w:val="center"/>
            <w:hideMark/>
          </w:tcPr>
          <w:p w14:paraId="2DA119C2" w14:textId="77777777" w:rsidR="00A9409C" w:rsidRPr="00F84A31" w:rsidRDefault="00A9409C" w:rsidP="00094F6F">
            <w:pPr>
              <w:spacing w:after="0" w:line="240" w:lineRule="auto"/>
              <w:jc w:val="center"/>
              <w:rPr>
                <w:rFonts w:ascii="Times New Roman" w:hAnsi="Times New Roman"/>
                <w:lang w:val="en-US" w:eastAsia="en-US"/>
              </w:rPr>
            </w:pPr>
          </w:p>
        </w:tc>
        <w:tc>
          <w:tcPr>
            <w:tcW w:w="952" w:type="dxa"/>
            <w:vMerge/>
            <w:tcBorders>
              <w:top w:val="single" w:sz="4" w:space="0" w:color="auto"/>
              <w:left w:val="single" w:sz="4" w:space="0" w:color="auto"/>
              <w:bottom w:val="single" w:sz="4" w:space="0" w:color="auto"/>
              <w:right w:val="single" w:sz="4" w:space="0" w:color="auto"/>
            </w:tcBorders>
            <w:vAlign w:val="center"/>
            <w:hideMark/>
          </w:tcPr>
          <w:p w14:paraId="1865E00D" w14:textId="77777777" w:rsidR="00A9409C" w:rsidRPr="00F84A31" w:rsidRDefault="00A9409C" w:rsidP="00094F6F">
            <w:pPr>
              <w:spacing w:after="0" w:line="240" w:lineRule="auto"/>
              <w:jc w:val="center"/>
              <w:rPr>
                <w:rFonts w:ascii="Times New Roman" w:hAnsi="Times New Roman"/>
                <w:lang w:val="kk-KZ" w:eastAsia="en-US"/>
              </w:rPr>
            </w:pPr>
          </w:p>
        </w:tc>
        <w:tc>
          <w:tcPr>
            <w:tcW w:w="546" w:type="dxa"/>
            <w:vMerge/>
            <w:tcBorders>
              <w:top w:val="single" w:sz="4" w:space="0" w:color="auto"/>
              <w:left w:val="single" w:sz="4" w:space="0" w:color="auto"/>
              <w:bottom w:val="single" w:sz="4" w:space="0" w:color="auto"/>
              <w:right w:val="single" w:sz="4" w:space="0" w:color="auto"/>
            </w:tcBorders>
            <w:vAlign w:val="center"/>
            <w:hideMark/>
          </w:tcPr>
          <w:p w14:paraId="17510B85" w14:textId="77777777" w:rsidR="00A9409C" w:rsidRPr="00F84A31" w:rsidRDefault="00A9409C" w:rsidP="00094F6F">
            <w:pPr>
              <w:spacing w:after="0" w:line="240" w:lineRule="auto"/>
              <w:jc w:val="center"/>
              <w:rPr>
                <w:rFonts w:ascii="Times New Roman" w:hAnsi="Times New Roman"/>
                <w:lang w:val="en-US" w:eastAsia="en-US"/>
              </w:rPr>
            </w:pPr>
          </w:p>
        </w:tc>
        <w:tc>
          <w:tcPr>
            <w:tcW w:w="867" w:type="dxa"/>
            <w:vMerge/>
            <w:tcBorders>
              <w:top w:val="single" w:sz="4" w:space="0" w:color="auto"/>
              <w:left w:val="single" w:sz="4" w:space="0" w:color="auto"/>
              <w:bottom w:val="single" w:sz="4" w:space="0" w:color="auto"/>
              <w:right w:val="single" w:sz="4" w:space="0" w:color="auto"/>
            </w:tcBorders>
            <w:vAlign w:val="center"/>
            <w:hideMark/>
          </w:tcPr>
          <w:p w14:paraId="1B33BB05" w14:textId="77777777" w:rsidR="00A9409C" w:rsidRPr="00F84A31" w:rsidRDefault="00A9409C" w:rsidP="00094F6F">
            <w:pPr>
              <w:spacing w:after="0" w:line="240" w:lineRule="auto"/>
              <w:jc w:val="center"/>
              <w:rPr>
                <w:rFonts w:ascii="Times New Roman" w:hAnsi="Times New Roman"/>
                <w:lang w:eastAsia="en-US"/>
              </w:rPr>
            </w:pPr>
          </w:p>
        </w:tc>
        <w:tc>
          <w:tcPr>
            <w:tcW w:w="980" w:type="dxa"/>
            <w:vMerge/>
            <w:tcBorders>
              <w:top w:val="single" w:sz="4" w:space="0" w:color="auto"/>
              <w:left w:val="single" w:sz="4" w:space="0" w:color="auto"/>
              <w:bottom w:val="single" w:sz="4" w:space="0" w:color="auto"/>
              <w:right w:val="single" w:sz="4" w:space="0" w:color="auto"/>
            </w:tcBorders>
            <w:vAlign w:val="center"/>
            <w:hideMark/>
          </w:tcPr>
          <w:p w14:paraId="2A9A7028" w14:textId="77777777" w:rsidR="00A9409C" w:rsidRPr="00F84A31" w:rsidRDefault="00A9409C" w:rsidP="00094F6F">
            <w:pPr>
              <w:spacing w:after="0" w:line="240" w:lineRule="auto"/>
              <w:jc w:val="center"/>
              <w:rPr>
                <w:rFonts w:ascii="Times New Roman" w:hAnsi="Times New Roman"/>
                <w:lang w:val="en-US" w:eastAsia="en-US"/>
              </w:rPr>
            </w:pPr>
          </w:p>
        </w:tc>
        <w:tc>
          <w:tcPr>
            <w:tcW w:w="1022" w:type="dxa"/>
            <w:tcBorders>
              <w:top w:val="single" w:sz="4" w:space="0" w:color="auto"/>
              <w:left w:val="single" w:sz="4" w:space="0" w:color="auto"/>
              <w:bottom w:val="single" w:sz="4" w:space="0" w:color="auto"/>
              <w:right w:val="single" w:sz="4" w:space="0" w:color="auto"/>
            </w:tcBorders>
            <w:vAlign w:val="center"/>
            <w:hideMark/>
          </w:tcPr>
          <w:p w14:paraId="01CD70FF" w14:textId="77777777" w:rsidR="00A9409C" w:rsidRPr="00F84A31" w:rsidRDefault="00A9409C" w:rsidP="00094F6F">
            <w:pPr>
              <w:tabs>
                <w:tab w:val="left" w:pos="0"/>
              </w:tabs>
              <w:spacing w:after="0" w:line="240" w:lineRule="auto"/>
              <w:jc w:val="center"/>
              <w:rPr>
                <w:rFonts w:ascii="Times New Roman" w:hAnsi="Times New Roman"/>
                <w:lang w:eastAsia="en-US"/>
              </w:rPr>
            </w:pPr>
            <w:proofErr w:type="gramStart"/>
            <w:r w:rsidRPr="00F84A31">
              <w:rPr>
                <w:rFonts w:ascii="Times New Roman" w:hAnsi="Times New Roman"/>
                <w:lang w:eastAsia="en-US"/>
              </w:rPr>
              <w:t>нижняя</w:t>
            </w:r>
            <w:proofErr w:type="gramEnd"/>
          </w:p>
        </w:tc>
        <w:tc>
          <w:tcPr>
            <w:tcW w:w="1114" w:type="dxa"/>
            <w:tcBorders>
              <w:top w:val="single" w:sz="4" w:space="0" w:color="auto"/>
              <w:left w:val="single" w:sz="4" w:space="0" w:color="auto"/>
              <w:bottom w:val="single" w:sz="4" w:space="0" w:color="auto"/>
              <w:right w:val="single" w:sz="4" w:space="0" w:color="auto"/>
            </w:tcBorders>
            <w:vAlign w:val="center"/>
            <w:hideMark/>
          </w:tcPr>
          <w:p w14:paraId="41749E89" w14:textId="77777777" w:rsidR="00A9409C" w:rsidRPr="00F84A31" w:rsidRDefault="00A9409C" w:rsidP="00094F6F">
            <w:pPr>
              <w:tabs>
                <w:tab w:val="left" w:pos="0"/>
              </w:tabs>
              <w:spacing w:after="0" w:line="240" w:lineRule="auto"/>
              <w:jc w:val="center"/>
              <w:rPr>
                <w:rFonts w:ascii="Times New Roman" w:hAnsi="Times New Roman"/>
                <w:lang w:eastAsia="en-US"/>
              </w:rPr>
            </w:pPr>
            <w:proofErr w:type="gramStart"/>
            <w:r w:rsidRPr="00F84A31">
              <w:rPr>
                <w:rFonts w:ascii="Times New Roman" w:hAnsi="Times New Roman"/>
                <w:lang w:eastAsia="en-US"/>
              </w:rPr>
              <w:t>верхняя</w:t>
            </w:r>
            <w:proofErr w:type="gramEnd"/>
          </w:p>
        </w:tc>
      </w:tr>
      <w:tr w:rsidR="00A9409C" w:rsidRPr="00F84A31" w14:paraId="70F42436" w14:textId="77777777" w:rsidTr="00094F6F">
        <w:trPr>
          <w:trHeight w:val="227"/>
          <w:jc w:val="center"/>
        </w:trPr>
        <w:tc>
          <w:tcPr>
            <w:tcW w:w="2436" w:type="dxa"/>
            <w:tcBorders>
              <w:top w:val="single" w:sz="4" w:space="0" w:color="auto"/>
              <w:left w:val="single" w:sz="4" w:space="0" w:color="auto"/>
              <w:right w:val="single" w:sz="4" w:space="0" w:color="auto"/>
            </w:tcBorders>
            <w:vAlign w:val="center"/>
          </w:tcPr>
          <w:p w14:paraId="47067532" w14:textId="77777777" w:rsidR="00A9409C" w:rsidRPr="00F84A31" w:rsidRDefault="00A9409C" w:rsidP="00094F6F">
            <w:pPr>
              <w:tabs>
                <w:tab w:val="left" w:pos="0"/>
              </w:tabs>
              <w:spacing w:after="0" w:line="240" w:lineRule="auto"/>
              <w:rPr>
                <w:rFonts w:ascii="Times New Roman" w:hAnsi="Times New Roman"/>
                <w:lang w:eastAsia="en-US"/>
              </w:rPr>
            </w:pPr>
            <w:r w:rsidRPr="00F84A31">
              <w:rPr>
                <w:rFonts w:ascii="Times New Roman" w:hAnsi="Times New Roman"/>
                <w:lang w:eastAsia="en-US"/>
              </w:rPr>
              <w:t>Возраст</w:t>
            </w:r>
          </w:p>
        </w:tc>
        <w:tc>
          <w:tcPr>
            <w:tcW w:w="868" w:type="dxa"/>
            <w:tcBorders>
              <w:top w:val="single" w:sz="4" w:space="0" w:color="auto"/>
              <w:left w:val="single" w:sz="4" w:space="0" w:color="auto"/>
              <w:right w:val="single" w:sz="4" w:space="0" w:color="auto"/>
            </w:tcBorders>
            <w:vAlign w:val="center"/>
          </w:tcPr>
          <w:p w14:paraId="5DCADA6D"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-1,120</w:t>
            </w:r>
          </w:p>
        </w:tc>
        <w:tc>
          <w:tcPr>
            <w:tcW w:w="812" w:type="dxa"/>
            <w:tcBorders>
              <w:top w:val="single" w:sz="4" w:space="0" w:color="auto"/>
              <w:left w:val="single" w:sz="4" w:space="0" w:color="auto"/>
              <w:right w:val="single" w:sz="4" w:space="0" w:color="auto"/>
            </w:tcBorders>
            <w:vAlign w:val="center"/>
          </w:tcPr>
          <w:p w14:paraId="4A2A6A94"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0,875</w:t>
            </w:r>
          </w:p>
        </w:tc>
        <w:tc>
          <w:tcPr>
            <w:tcW w:w="952" w:type="dxa"/>
            <w:tcBorders>
              <w:top w:val="single" w:sz="4" w:space="0" w:color="auto"/>
              <w:left w:val="single" w:sz="4" w:space="0" w:color="auto"/>
              <w:right w:val="single" w:sz="4" w:space="0" w:color="auto"/>
            </w:tcBorders>
            <w:vAlign w:val="center"/>
          </w:tcPr>
          <w:p w14:paraId="58478795"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0,428</w:t>
            </w:r>
          </w:p>
        </w:tc>
        <w:tc>
          <w:tcPr>
            <w:tcW w:w="546" w:type="dxa"/>
            <w:tcBorders>
              <w:top w:val="single" w:sz="4" w:space="0" w:color="auto"/>
              <w:left w:val="single" w:sz="4" w:space="0" w:color="auto"/>
              <w:right w:val="single" w:sz="4" w:space="0" w:color="auto"/>
            </w:tcBorders>
            <w:vAlign w:val="center"/>
          </w:tcPr>
          <w:p w14:paraId="4B293479"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867" w:type="dxa"/>
            <w:tcBorders>
              <w:top w:val="single" w:sz="4" w:space="0" w:color="auto"/>
              <w:left w:val="single" w:sz="4" w:space="0" w:color="auto"/>
              <w:right w:val="single" w:sz="4" w:space="0" w:color="auto"/>
            </w:tcBorders>
            <w:vAlign w:val="center"/>
          </w:tcPr>
          <w:p w14:paraId="06CEDB87"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0,125</w:t>
            </w:r>
          </w:p>
        </w:tc>
        <w:tc>
          <w:tcPr>
            <w:tcW w:w="980" w:type="dxa"/>
            <w:tcBorders>
              <w:top w:val="single" w:sz="4" w:space="0" w:color="auto"/>
              <w:left w:val="single" w:sz="4" w:space="0" w:color="auto"/>
              <w:right w:val="single" w:sz="4" w:space="0" w:color="auto"/>
            </w:tcBorders>
            <w:vAlign w:val="center"/>
          </w:tcPr>
          <w:p w14:paraId="48C88E27"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1,526</w:t>
            </w:r>
          </w:p>
        </w:tc>
        <w:tc>
          <w:tcPr>
            <w:tcW w:w="1022" w:type="dxa"/>
            <w:tcBorders>
              <w:top w:val="single" w:sz="4" w:space="0" w:color="auto"/>
              <w:left w:val="single" w:sz="4" w:space="0" w:color="auto"/>
              <w:right w:val="single" w:sz="4" w:space="0" w:color="auto"/>
            </w:tcBorders>
            <w:vAlign w:val="center"/>
          </w:tcPr>
          <w:p w14:paraId="51024C47"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1,251</w:t>
            </w:r>
          </w:p>
        </w:tc>
        <w:tc>
          <w:tcPr>
            <w:tcW w:w="1114" w:type="dxa"/>
            <w:tcBorders>
              <w:top w:val="single" w:sz="4" w:space="0" w:color="auto"/>
              <w:left w:val="single" w:sz="4" w:space="0" w:color="auto"/>
              <w:right w:val="single" w:sz="4" w:space="0" w:color="auto"/>
            </w:tcBorders>
            <w:vAlign w:val="center"/>
          </w:tcPr>
          <w:p w14:paraId="60351F06"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2,396</w:t>
            </w:r>
          </w:p>
        </w:tc>
      </w:tr>
      <w:tr w:rsidR="00A9409C" w:rsidRPr="00F84A31" w14:paraId="1BC63269" w14:textId="77777777" w:rsidTr="00094F6F">
        <w:trPr>
          <w:trHeight w:val="227"/>
          <w:jc w:val="center"/>
        </w:trPr>
        <w:tc>
          <w:tcPr>
            <w:tcW w:w="2436" w:type="dxa"/>
            <w:tcBorders>
              <w:top w:val="single" w:sz="4" w:space="0" w:color="auto"/>
              <w:left w:val="single" w:sz="4" w:space="0" w:color="auto"/>
              <w:bottom w:val="single" w:sz="4" w:space="0" w:color="auto"/>
              <w:right w:val="single" w:sz="4" w:space="0" w:color="auto"/>
            </w:tcBorders>
            <w:vAlign w:val="center"/>
          </w:tcPr>
          <w:p w14:paraId="611E0F32" w14:textId="77777777" w:rsidR="00A9409C" w:rsidRPr="00F84A31" w:rsidRDefault="00A9409C" w:rsidP="00094F6F">
            <w:pPr>
              <w:tabs>
                <w:tab w:val="left" w:pos="0"/>
              </w:tabs>
              <w:spacing w:after="0" w:line="240" w:lineRule="auto"/>
              <w:rPr>
                <w:rFonts w:ascii="Times New Roman" w:hAnsi="Times New Roman"/>
                <w:lang w:eastAsia="en-US"/>
              </w:rPr>
            </w:pPr>
            <w:r w:rsidRPr="00F84A31">
              <w:rPr>
                <w:rFonts w:ascii="Times New Roman" w:hAnsi="Times New Roman"/>
                <w:lang w:val="en-US" w:eastAsia="en-US"/>
              </w:rPr>
              <w:t>III</w:t>
            </w:r>
            <w:r w:rsidRPr="00F84A31">
              <w:rPr>
                <w:rFonts w:ascii="Times New Roman" w:hAnsi="Times New Roman"/>
                <w:lang w:eastAsia="en-US"/>
              </w:rPr>
              <w:t xml:space="preserve"> стадия рака ободочной кишки</w:t>
            </w:r>
          </w:p>
        </w:tc>
        <w:tc>
          <w:tcPr>
            <w:tcW w:w="868" w:type="dxa"/>
            <w:tcBorders>
              <w:top w:val="single" w:sz="4" w:space="0" w:color="auto"/>
              <w:left w:val="single" w:sz="4" w:space="0" w:color="auto"/>
              <w:bottom w:val="single" w:sz="4" w:space="0" w:color="auto"/>
              <w:right w:val="single" w:sz="4" w:space="0" w:color="auto"/>
            </w:tcBorders>
            <w:vAlign w:val="center"/>
          </w:tcPr>
          <w:p w14:paraId="5939DA70"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0,325</w:t>
            </w:r>
          </w:p>
        </w:tc>
        <w:tc>
          <w:tcPr>
            <w:tcW w:w="812" w:type="dxa"/>
            <w:tcBorders>
              <w:top w:val="single" w:sz="4" w:space="0" w:color="auto"/>
              <w:left w:val="single" w:sz="4" w:space="0" w:color="auto"/>
              <w:bottom w:val="single" w:sz="4" w:space="0" w:color="auto"/>
              <w:right w:val="single" w:sz="4" w:space="0" w:color="auto"/>
            </w:tcBorders>
            <w:vAlign w:val="center"/>
          </w:tcPr>
          <w:p w14:paraId="1B7DDC66"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0,546</w:t>
            </w:r>
          </w:p>
        </w:tc>
        <w:tc>
          <w:tcPr>
            <w:tcW w:w="952" w:type="dxa"/>
            <w:tcBorders>
              <w:top w:val="single" w:sz="4" w:space="0" w:color="auto"/>
              <w:left w:val="single" w:sz="4" w:space="0" w:color="auto"/>
              <w:bottom w:val="single" w:sz="4" w:space="0" w:color="auto"/>
              <w:right w:val="single" w:sz="4" w:space="0" w:color="auto"/>
            </w:tcBorders>
            <w:vAlign w:val="center"/>
          </w:tcPr>
          <w:p w14:paraId="467CE323"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1,524</w:t>
            </w:r>
          </w:p>
        </w:tc>
        <w:tc>
          <w:tcPr>
            <w:tcW w:w="546" w:type="dxa"/>
            <w:tcBorders>
              <w:top w:val="single" w:sz="4" w:space="0" w:color="auto"/>
              <w:left w:val="single" w:sz="4" w:space="0" w:color="auto"/>
              <w:bottom w:val="single" w:sz="4" w:space="0" w:color="auto"/>
              <w:right w:val="single" w:sz="4" w:space="0" w:color="auto"/>
            </w:tcBorders>
            <w:vAlign w:val="center"/>
          </w:tcPr>
          <w:p w14:paraId="40228464"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867" w:type="dxa"/>
            <w:tcBorders>
              <w:top w:val="single" w:sz="4" w:space="0" w:color="auto"/>
              <w:left w:val="single" w:sz="4" w:space="0" w:color="auto"/>
              <w:bottom w:val="single" w:sz="4" w:space="0" w:color="auto"/>
              <w:right w:val="single" w:sz="4" w:space="0" w:color="auto"/>
            </w:tcBorders>
            <w:vAlign w:val="center"/>
          </w:tcPr>
          <w:p w14:paraId="073DBF88"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0,023</w:t>
            </w:r>
          </w:p>
        </w:tc>
        <w:tc>
          <w:tcPr>
            <w:tcW w:w="980" w:type="dxa"/>
            <w:tcBorders>
              <w:top w:val="single" w:sz="4" w:space="0" w:color="auto"/>
              <w:left w:val="single" w:sz="4" w:space="0" w:color="auto"/>
              <w:bottom w:val="single" w:sz="4" w:space="0" w:color="auto"/>
              <w:right w:val="single" w:sz="4" w:space="0" w:color="auto"/>
            </w:tcBorders>
            <w:vAlign w:val="center"/>
          </w:tcPr>
          <w:p w14:paraId="66E977A8"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1,151</w:t>
            </w:r>
          </w:p>
        </w:tc>
        <w:tc>
          <w:tcPr>
            <w:tcW w:w="1022" w:type="dxa"/>
            <w:tcBorders>
              <w:top w:val="single" w:sz="4" w:space="0" w:color="auto"/>
              <w:left w:val="single" w:sz="4" w:space="0" w:color="auto"/>
              <w:bottom w:val="single" w:sz="4" w:space="0" w:color="auto"/>
              <w:right w:val="single" w:sz="4" w:space="0" w:color="auto"/>
            </w:tcBorders>
            <w:vAlign w:val="center"/>
          </w:tcPr>
          <w:p w14:paraId="25A04B2A"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0,158</w:t>
            </w:r>
          </w:p>
        </w:tc>
        <w:tc>
          <w:tcPr>
            <w:tcW w:w="1114" w:type="dxa"/>
            <w:tcBorders>
              <w:top w:val="single" w:sz="4" w:space="0" w:color="auto"/>
              <w:left w:val="single" w:sz="4" w:space="0" w:color="auto"/>
              <w:bottom w:val="single" w:sz="4" w:space="0" w:color="auto"/>
              <w:right w:val="single" w:sz="4" w:space="0" w:color="auto"/>
            </w:tcBorders>
            <w:vAlign w:val="center"/>
          </w:tcPr>
          <w:p w14:paraId="117049A6"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1,236</w:t>
            </w:r>
          </w:p>
        </w:tc>
      </w:tr>
      <w:tr w:rsidR="00A9409C" w:rsidRPr="00F84A31" w14:paraId="57C514EA" w14:textId="77777777" w:rsidTr="00094F6F">
        <w:trPr>
          <w:trHeight w:val="227"/>
          <w:jc w:val="center"/>
        </w:trPr>
        <w:tc>
          <w:tcPr>
            <w:tcW w:w="2436" w:type="dxa"/>
            <w:tcBorders>
              <w:top w:val="single" w:sz="4" w:space="0" w:color="auto"/>
              <w:left w:val="single" w:sz="4" w:space="0" w:color="auto"/>
              <w:bottom w:val="single" w:sz="4" w:space="0" w:color="auto"/>
              <w:right w:val="single" w:sz="4" w:space="0" w:color="auto"/>
            </w:tcBorders>
            <w:vAlign w:val="center"/>
          </w:tcPr>
          <w:p w14:paraId="1D88961A" w14:textId="77777777" w:rsidR="00A9409C" w:rsidRPr="00F84A31" w:rsidRDefault="00A9409C" w:rsidP="00094F6F">
            <w:pPr>
              <w:spacing w:after="0" w:line="240" w:lineRule="auto"/>
              <w:rPr>
                <w:rFonts w:ascii="Times New Roman" w:hAnsi="Times New Roman"/>
                <w:bCs/>
                <w:lang w:eastAsia="en-US"/>
              </w:rPr>
            </w:pPr>
            <w:r w:rsidRPr="00F84A31">
              <w:rPr>
                <w:rFonts w:ascii="Times New Roman" w:hAnsi="Times New Roman"/>
                <w:bCs/>
                <w:lang w:eastAsia="en-US"/>
              </w:rPr>
              <w:t xml:space="preserve">Низкая </w:t>
            </w:r>
            <w:r w:rsidRPr="00F84A31">
              <w:rPr>
                <w:rFonts w:ascii="Times New Roman" w:hAnsi="Times New Roman"/>
                <w:lang w:eastAsia="en-US"/>
              </w:rPr>
              <w:t>степень дифференцировки</w:t>
            </w:r>
          </w:p>
        </w:tc>
        <w:tc>
          <w:tcPr>
            <w:tcW w:w="868" w:type="dxa"/>
            <w:tcBorders>
              <w:top w:val="single" w:sz="4" w:space="0" w:color="auto"/>
              <w:left w:val="single" w:sz="4" w:space="0" w:color="auto"/>
              <w:bottom w:val="single" w:sz="4" w:space="0" w:color="auto"/>
              <w:right w:val="single" w:sz="4" w:space="0" w:color="auto"/>
            </w:tcBorders>
            <w:vAlign w:val="center"/>
          </w:tcPr>
          <w:p w14:paraId="1BF32084"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1,442</w:t>
            </w:r>
          </w:p>
        </w:tc>
        <w:tc>
          <w:tcPr>
            <w:tcW w:w="812" w:type="dxa"/>
            <w:tcBorders>
              <w:top w:val="single" w:sz="4" w:space="0" w:color="auto"/>
              <w:left w:val="single" w:sz="4" w:space="0" w:color="auto"/>
              <w:bottom w:val="single" w:sz="4" w:space="0" w:color="auto"/>
              <w:right w:val="single" w:sz="4" w:space="0" w:color="auto"/>
            </w:tcBorders>
            <w:vAlign w:val="center"/>
          </w:tcPr>
          <w:p w14:paraId="59331CDA"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0,142</w:t>
            </w:r>
          </w:p>
        </w:tc>
        <w:tc>
          <w:tcPr>
            <w:tcW w:w="952" w:type="dxa"/>
            <w:tcBorders>
              <w:top w:val="single" w:sz="4" w:space="0" w:color="auto"/>
              <w:left w:val="single" w:sz="4" w:space="0" w:color="auto"/>
              <w:bottom w:val="single" w:sz="4" w:space="0" w:color="auto"/>
              <w:right w:val="single" w:sz="4" w:space="0" w:color="auto"/>
            </w:tcBorders>
            <w:vAlign w:val="center"/>
          </w:tcPr>
          <w:p w14:paraId="18E6BA2E"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2,448</w:t>
            </w:r>
          </w:p>
        </w:tc>
        <w:tc>
          <w:tcPr>
            <w:tcW w:w="546" w:type="dxa"/>
            <w:tcBorders>
              <w:top w:val="single" w:sz="4" w:space="0" w:color="auto"/>
              <w:left w:val="single" w:sz="4" w:space="0" w:color="auto"/>
              <w:bottom w:val="single" w:sz="4" w:space="0" w:color="auto"/>
              <w:right w:val="single" w:sz="4" w:space="0" w:color="auto"/>
            </w:tcBorders>
            <w:vAlign w:val="center"/>
          </w:tcPr>
          <w:p w14:paraId="66812829"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867" w:type="dxa"/>
            <w:tcBorders>
              <w:top w:val="single" w:sz="4" w:space="0" w:color="auto"/>
              <w:left w:val="single" w:sz="4" w:space="0" w:color="auto"/>
              <w:bottom w:val="single" w:sz="4" w:space="0" w:color="auto"/>
              <w:right w:val="single" w:sz="4" w:space="0" w:color="auto"/>
            </w:tcBorders>
            <w:vAlign w:val="center"/>
          </w:tcPr>
          <w:p w14:paraId="03EEA89B"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0,000</w:t>
            </w:r>
          </w:p>
        </w:tc>
        <w:tc>
          <w:tcPr>
            <w:tcW w:w="980" w:type="dxa"/>
            <w:tcBorders>
              <w:top w:val="single" w:sz="4" w:space="0" w:color="auto"/>
              <w:left w:val="single" w:sz="4" w:space="0" w:color="auto"/>
              <w:bottom w:val="single" w:sz="4" w:space="0" w:color="auto"/>
              <w:right w:val="single" w:sz="4" w:space="0" w:color="auto"/>
            </w:tcBorders>
            <w:vAlign w:val="center"/>
          </w:tcPr>
          <w:p w14:paraId="75C6F183"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1,842</w:t>
            </w:r>
          </w:p>
        </w:tc>
        <w:tc>
          <w:tcPr>
            <w:tcW w:w="1022" w:type="dxa"/>
            <w:tcBorders>
              <w:top w:val="single" w:sz="4" w:space="0" w:color="auto"/>
              <w:left w:val="single" w:sz="4" w:space="0" w:color="auto"/>
              <w:bottom w:val="single" w:sz="4" w:space="0" w:color="auto"/>
              <w:right w:val="single" w:sz="4" w:space="0" w:color="auto"/>
            </w:tcBorders>
            <w:vAlign w:val="center"/>
          </w:tcPr>
          <w:p w14:paraId="6C2C1910"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0,112</w:t>
            </w:r>
          </w:p>
        </w:tc>
        <w:tc>
          <w:tcPr>
            <w:tcW w:w="1114" w:type="dxa"/>
            <w:tcBorders>
              <w:top w:val="single" w:sz="4" w:space="0" w:color="auto"/>
              <w:left w:val="single" w:sz="4" w:space="0" w:color="auto"/>
              <w:bottom w:val="single" w:sz="4" w:space="0" w:color="auto"/>
              <w:right w:val="single" w:sz="4" w:space="0" w:color="auto"/>
            </w:tcBorders>
            <w:vAlign w:val="center"/>
          </w:tcPr>
          <w:p w14:paraId="72CA58FF"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1,421</w:t>
            </w:r>
          </w:p>
        </w:tc>
      </w:tr>
      <w:tr w:rsidR="00A9409C" w:rsidRPr="00F84A31" w14:paraId="2C2BD687" w14:textId="77777777" w:rsidTr="00094F6F">
        <w:trPr>
          <w:trHeight w:val="227"/>
          <w:jc w:val="center"/>
        </w:trPr>
        <w:tc>
          <w:tcPr>
            <w:tcW w:w="2436" w:type="dxa"/>
            <w:tcBorders>
              <w:top w:val="single" w:sz="4" w:space="0" w:color="auto"/>
              <w:left w:val="single" w:sz="4" w:space="0" w:color="auto"/>
              <w:bottom w:val="single" w:sz="4" w:space="0" w:color="auto"/>
              <w:right w:val="single" w:sz="4" w:space="0" w:color="auto"/>
            </w:tcBorders>
            <w:vAlign w:val="center"/>
          </w:tcPr>
          <w:p w14:paraId="3EC02C99" w14:textId="77777777" w:rsidR="00A9409C" w:rsidRPr="00F84A31" w:rsidRDefault="00A9409C" w:rsidP="00094F6F">
            <w:pPr>
              <w:spacing w:after="0" w:line="240" w:lineRule="auto"/>
              <w:rPr>
                <w:rFonts w:ascii="Times New Roman" w:hAnsi="Times New Roman"/>
                <w:bCs/>
                <w:lang w:eastAsia="en-US"/>
              </w:rPr>
            </w:pPr>
            <w:r w:rsidRPr="00F84A31">
              <w:rPr>
                <w:rFonts w:ascii="Times New Roman" w:hAnsi="Times New Roman"/>
                <w:lang w:eastAsia="en-US"/>
              </w:rPr>
              <w:t>Недифференцированная карцинома</w:t>
            </w:r>
          </w:p>
        </w:tc>
        <w:tc>
          <w:tcPr>
            <w:tcW w:w="868" w:type="dxa"/>
            <w:tcBorders>
              <w:top w:val="single" w:sz="4" w:space="0" w:color="auto"/>
              <w:left w:val="single" w:sz="4" w:space="0" w:color="auto"/>
              <w:bottom w:val="single" w:sz="4" w:space="0" w:color="auto"/>
              <w:right w:val="single" w:sz="4" w:space="0" w:color="auto"/>
            </w:tcBorders>
            <w:vAlign w:val="center"/>
          </w:tcPr>
          <w:p w14:paraId="6D7BD062"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1,885</w:t>
            </w:r>
          </w:p>
        </w:tc>
        <w:tc>
          <w:tcPr>
            <w:tcW w:w="812" w:type="dxa"/>
            <w:tcBorders>
              <w:top w:val="single" w:sz="4" w:space="0" w:color="auto"/>
              <w:left w:val="single" w:sz="4" w:space="0" w:color="auto"/>
              <w:bottom w:val="single" w:sz="4" w:space="0" w:color="auto"/>
              <w:right w:val="single" w:sz="4" w:space="0" w:color="auto"/>
            </w:tcBorders>
            <w:vAlign w:val="center"/>
          </w:tcPr>
          <w:p w14:paraId="41F62188"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0,342</w:t>
            </w:r>
          </w:p>
        </w:tc>
        <w:tc>
          <w:tcPr>
            <w:tcW w:w="952" w:type="dxa"/>
            <w:tcBorders>
              <w:top w:val="single" w:sz="4" w:space="0" w:color="auto"/>
              <w:left w:val="single" w:sz="4" w:space="0" w:color="auto"/>
              <w:bottom w:val="single" w:sz="4" w:space="0" w:color="auto"/>
              <w:right w:val="single" w:sz="4" w:space="0" w:color="auto"/>
            </w:tcBorders>
            <w:vAlign w:val="center"/>
          </w:tcPr>
          <w:p w14:paraId="1A7147D5"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1,454</w:t>
            </w:r>
          </w:p>
        </w:tc>
        <w:tc>
          <w:tcPr>
            <w:tcW w:w="546" w:type="dxa"/>
            <w:tcBorders>
              <w:top w:val="single" w:sz="4" w:space="0" w:color="auto"/>
              <w:left w:val="single" w:sz="4" w:space="0" w:color="auto"/>
              <w:bottom w:val="single" w:sz="4" w:space="0" w:color="auto"/>
              <w:right w:val="single" w:sz="4" w:space="0" w:color="auto"/>
            </w:tcBorders>
            <w:vAlign w:val="center"/>
          </w:tcPr>
          <w:p w14:paraId="06DD7FAA"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867" w:type="dxa"/>
            <w:tcBorders>
              <w:top w:val="single" w:sz="4" w:space="0" w:color="auto"/>
              <w:left w:val="single" w:sz="4" w:space="0" w:color="auto"/>
              <w:bottom w:val="single" w:sz="4" w:space="0" w:color="auto"/>
              <w:right w:val="single" w:sz="4" w:space="0" w:color="auto"/>
            </w:tcBorders>
            <w:vAlign w:val="center"/>
          </w:tcPr>
          <w:p w14:paraId="7A774298"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0,002</w:t>
            </w:r>
          </w:p>
        </w:tc>
        <w:tc>
          <w:tcPr>
            <w:tcW w:w="980" w:type="dxa"/>
            <w:tcBorders>
              <w:top w:val="single" w:sz="4" w:space="0" w:color="auto"/>
              <w:left w:val="single" w:sz="4" w:space="0" w:color="auto"/>
              <w:bottom w:val="single" w:sz="4" w:space="0" w:color="auto"/>
              <w:right w:val="single" w:sz="4" w:space="0" w:color="auto"/>
            </w:tcBorders>
            <w:vAlign w:val="center"/>
          </w:tcPr>
          <w:p w14:paraId="4C42B701"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1,231</w:t>
            </w:r>
          </w:p>
        </w:tc>
        <w:tc>
          <w:tcPr>
            <w:tcW w:w="1022" w:type="dxa"/>
            <w:tcBorders>
              <w:top w:val="single" w:sz="4" w:space="0" w:color="auto"/>
              <w:left w:val="single" w:sz="4" w:space="0" w:color="auto"/>
              <w:bottom w:val="single" w:sz="4" w:space="0" w:color="auto"/>
              <w:right w:val="single" w:sz="4" w:space="0" w:color="auto"/>
            </w:tcBorders>
            <w:vAlign w:val="center"/>
          </w:tcPr>
          <w:p w14:paraId="36738FE2"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0,116</w:t>
            </w:r>
          </w:p>
        </w:tc>
        <w:tc>
          <w:tcPr>
            <w:tcW w:w="1114" w:type="dxa"/>
            <w:tcBorders>
              <w:top w:val="single" w:sz="4" w:space="0" w:color="auto"/>
              <w:left w:val="single" w:sz="4" w:space="0" w:color="auto"/>
              <w:bottom w:val="single" w:sz="4" w:space="0" w:color="auto"/>
              <w:right w:val="single" w:sz="4" w:space="0" w:color="auto"/>
            </w:tcBorders>
            <w:vAlign w:val="center"/>
          </w:tcPr>
          <w:p w14:paraId="0A63A7DF"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1,554</w:t>
            </w:r>
          </w:p>
        </w:tc>
      </w:tr>
      <w:tr w:rsidR="00A9409C" w:rsidRPr="00F84A31" w14:paraId="306B8D79" w14:textId="77777777" w:rsidTr="00094F6F">
        <w:trPr>
          <w:trHeight w:val="227"/>
          <w:jc w:val="center"/>
        </w:trPr>
        <w:tc>
          <w:tcPr>
            <w:tcW w:w="2436" w:type="dxa"/>
            <w:tcBorders>
              <w:top w:val="single" w:sz="4" w:space="0" w:color="auto"/>
              <w:left w:val="single" w:sz="4" w:space="0" w:color="auto"/>
              <w:bottom w:val="single" w:sz="4" w:space="0" w:color="auto"/>
              <w:right w:val="single" w:sz="4" w:space="0" w:color="BFBFBF"/>
            </w:tcBorders>
            <w:vAlign w:val="center"/>
          </w:tcPr>
          <w:p w14:paraId="28D1BB95" w14:textId="77777777" w:rsidR="00A9409C" w:rsidRPr="00F84A31" w:rsidRDefault="00A9409C" w:rsidP="00094F6F">
            <w:pPr>
              <w:spacing w:after="0" w:line="240" w:lineRule="auto"/>
              <w:rPr>
                <w:rFonts w:ascii="Times New Roman" w:hAnsi="Times New Roman"/>
                <w:bCs/>
                <w:lang w:eastAsia="en-US"/>
              </w:rPr>
            </w:pPr>
            <w:r w:rsidRPr="00F84A31">
              <w:rPr>
                <w:rFonts w:ascii="Times New Roman" w:hAnsi="Times New Roman"/>
                <w:bCs/>
                <w:lang w:eastAsia="en-US"/>
              </w:rPr>
              <w:t>Функциональные осложнения</w:t>
            </w:r>
          </w:p>
        </w:tc>
        <w:tc>
          <w:tcPr>
            <w:tcW w:w="868" w:type="dxa"/>
            <w:tcBorders>
              <w:top w:val="single" w:sz="4" w:space="0" w:color="auto"/>
              <w:left w:val="single" w:sz="4" w:space="0" w:color="auto"/>
              <w:bottom w:val="single" w:sz="4" w:space="0" w:color="auto"/>
              <w:right w:val="single" w:sz="4" w:space="0" w:color="auto"/>
            </w:tcBorders>
            <w:vAlign w:val="center"/>
          </w:tcPr>
          <w:p w14:paraId="111601FF"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1,426</w:t>
            </w:r>
          </w:p>
        </w:tc>
        <w:tc>
          <w:tcPr>
            <w:tcW w:w="812" w:type="dxa"/>
            <w:tcBorders>
              <w:top w:val="single" w:sz="4" w:space="0" w:color="auto"/>
              <w:left w:val="single" w:sz="4" w:space="0" w:color="auto"/>
              <w:bottom w:val="single" w:sz="4" w:space="0" w:color="auto"/>
              <w:right w:val="single" w:sz="4" w:space="0" w:color="auto"/>
            </w:tcBorders>
            <w:vAlign w:val="center"/>
          </w:tcPr>
          <w:p w14:paraId="14575653"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0,729</w:t>
            </w:r>
          </w:p>
        </w:tc>
        <w:tc>
          <w:tcPr>
            <w:tcW w:w="952" w:type="dxa"/>
            <w:tcBorders>
              <w:top w:val="single" w:sz="4" w:space="0" w:color="auto"/>
              <w:left w:val="single" w:sz="4" w:space="0" w:color="auto"/>
              <w:bottom w:val="single" w:sz="4" w:space="0" w:color="auto"/>
              <w:right w:val="single" w:sz="4" w:space="0" w:color="auto"/>
            </w:tcBorders>
            <w:vAlign w:val="center"/>
          </w:tcPr>
          <w:p w14:paraId="75977AF3"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2,564</w:t>
            </w:r>
          </w:p>
        </w:tc>
        <w:tc>
          <w:tcPr>
            <w:tcW w:w="546" w:type="dxa"/>
            <w:tcBorders>
              <w:top w:val="single" w:sz="4" w:space="0" w:color="auto"/>
              <w:left w:val="single" w:sz="4" w:space="0" w:color="auto"/>
              <w:bottom w:val="single" w:sz="4" w:space="0" w:color="auto"/>
              <w:right w:val="single" w:sz="4" w:space="0" w:color="auto"/>
            </w:tcBorders>
            <w:vAlign w:val="center"/>
          </w:tcPr>
          <w:p w14:paraId="4F54C373"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867" w:type="dxa"/>
            <w:tcBorders>
              <w:top w:val="single" w:sz="4" w:space="0" w:color="auto"/>
              <w:left w:val="single" w:sz="4" w:space="0" w:color="auto"/>
              <w:bottom w:val="single" w:sz="4" w:space="0" w:color="auto"/>
              <w:right w:val="single" w:sz="4" w:space="0" w:color="auto"/>
            </w:tcBorders>
            <w:vAlign w:val="center"/>
          </w:tcPr>
          <w:p w14:paraId="01DAE055" w14:textId="77777777" w:rsidR="00A9409C" w:rsidRPr="00F84A31" w:rsidRDefault="00A9409C" w:rsidP="00094F6F">
            <w:pPr>
              <w:tabs>
                <w:tab w:val="left" w:pos="0"/>
              </w:tabs>
              <w:spacing w:after="0" w:line="240" w:lineRule="auto"/>
              <w:jc w:val="center"/>
              <w:rPr>
                <w:rFonts w:ascii="Times New Roman" w:hAnsi="Times New Roman"/>
                <w:b/>
                <w:bCs/>
                <w:lang w:eastAsia="en-US"/>
              </w:rPr>
            </w:pPr>
            <w:r w:rsidRPr="00F84A31">
              <w:rPr>
                <w:rFonts w:ascii="Times New Roman" w:hAnsi="Times New Roman"/>
                <w:b/>
                <w:bCs/>
                <w:lang w:eastAsia="en-US"/>
              </w:rPr>
              <w:t>0,002</w:t>
            </w:r>
          </w:p>
        </w:tc>
        <w:tc>
          <w:tcPr>
            <w:tcW w:w="980" w:type="dxa"/>
            <w:tcBorders>
              <w:top w:val="single" w:sz="4" w:space="0" w:color="auto"/>
              <w:left w:val="single" w:sz="4" w:space="0" w:color="auto"/>
              <w:bottom w:val="single" w:sz="4" w:space="0" w:color="auto"/>
              <w:right w:val="single" w:sz="4" w:space="0" w:color="auto"/>
            </w:tcBorders>
            <w:vAlign w:val="center"/>
          </w:tcPr>
          <w:p w14:paraId="44DCD048"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1,862</w:t>
            </w:r>
          </w:p>
        </w:tc>
        <w:tc>
          <w:tcPr>
            <w:tcW w:w="1022" w:type="dxa"/>
            <w:tcBorders>
              <w:top w:val="single" w:sz="4" w:space="0" w:color="auto"/>
              <w:left w:val="single" w:sz="4" w:space="0" w:color="auto"/>
              <w:bottom w:val="single" w:sz="4" w:space="0" w:color="auto"/>
              <w:right w:val="single" w:sz="4" w:space="0" w:color="auto"/>
            </w:tcBorders>
            <w:vAlign w:val="center"/>
          </w:tcPr>
          <w:p w14:paraId="662F24DC"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1,264</w:t>
            </w:r>
          </w:p>
        </w:tc>
        <w:tc>
          <w:tcPr>
            <w:tcW w:w="1114" w:type="dxa"/>
            <w:tcBorders>
              <w:top w:val="single" w:sz="4" w:space="0" w:color="auto"/>
              <w:left w:val="single" w:sz="4" w:space="0" w:color="auto"/>
              <w:bottom w:val="single" w:sz="4" w:space="0" w:color="auto"/>
              <w:right w:val="single" w:sz="4" w:space="0" w:color="auto"/>
            </w:tcBorders>
            <w:vAlign w:val="center"/>
          </w:tcPr>
          <w:p w14:paraId="39A60070"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2,935</w:t>
            </w:r>
          </w:p>
        </w:tc>
      </w:tr>
      <w:tr w:rsidR="00A9409C" w:rsidRPr="00F84A31" w14:paraId="22EC3A49" w14:textId="77777777" w:rsidTr="00094F6F">
        <w:trPr>
          <w:trHeight w:val="227"/>
          <w:jc w:val="center"/>
        </w:trPr>
        <w:tc>
          <w:tcPr>
            <w:tcW w:w="2436" w:type="dxa"/>
            <w:tcBorders>
              <w:top w:val="single" w:sz="4" w:space="0" w:color="auto"/>
              <w:left w:val="single" w:sz="4" w:space="0" w:color="auto"/>
              <w:bottom w:val="single" w:sz="4" w:space="0" w:color="auto"/>
              <w:right w:val="single" w:sz="4" w:space="0" w:color="BFBFBF"/>
            </w:tcBorders>
            <w:vAlign w:val="center"/>
          </w:tcPr>
          <w:p w14:paraId="291F2B0F" w14:textId="77777777" w:rsidR="00A9409C" w:rsidRPr="00F84A31" w:rsidRDefault="00A9409C" w:rsidP="00094F6F">
            <w:pPr>
              <w:spacing w:after="0" w:line="240" w:lineRule="auto"/>
              <w:rPr>
                <w:rFonts w:ascii="Times New Roman" w:hAnsi="Times New Roman"/>
                <w:bCs/>
                <w:lang w:eastAsia="en-US"/>
              </w:rPr>
            </w:pPr>
            <w:r w:rsidRPr="00F84A31">
              <w:rPr>
                <w:rFonts w:ascii="Times New Roman" w:hAnsi="Times New Roman"/>
              </w:rPr>
              <w:t>Сопутствующая патология</w:t>
            </w:r>
          </w:p>
        </w:tc>
        <w:tc>
          <w:tcPr>
            <w:tcW w:w="868" w:type="dxa"/>
            <w:tcBorders>
              <w:top w:val="single" w:sz="4" w:space="0" w:color="auto"/>
              <w:left w:val="single" w:sz="4" w:space="0" w:color="auto"/>
              <w:bottom w:val="single" w:sz="4" w:space="0" w:color="auto"/>
              <w:right w:val="single" w:sz="4" w:space="0" w:color="auto"/>
            </w:tcBorders>
            <w:vAlign w:val="center"/>
          </w:tcPr>
          <w:p w14:paraId="2BC39898"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-0,524</w:t>
            </w:r>
          </w:p>
        </w:tc>
        <w:tc>
          <w:tcPr>
            <w:tcW w:w="812" w:type="dxa"/>
            <w:tcBorders>
              <w:top w:val="single" w:sz="4" w:space="0" w:color="auto"/>
              <w:left w:val="single" w:sz="4" w:space="0" w:color="auto"/>
              <w:bottom w:val="single" w:sz="4" w:space="0" w:color="auto"/>
              <w:right w:val="single" w:sz="4" w:space="0" w:color="auto"/>
            </w:tcBorders>
            <w:vAlign w:val="center"/>
          </w:tcPr>
          <w:p w14:paraId="09C1D743"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0,635</w:t>
            </w:r>
          </w:p>
        </w:tc>
        <w:tc>
          <w:tcPr>
            <w:tcW w:w="952" w:type="dxa"/>
            <w:tcBorders>
              <w:top w:val="single" w:sz="4" w:space="0" w:color="auto"/>
              <w:left w:val="single" w:sz="4" w:space="0" w:color="auto"/>
              <w:bottom w:val="single" w:sz="4" w:space="0" w:color="auto"/>
              <w:right w:val="single" w:sz="4" w:space="0" w:color="auto"/>
            </w:tcBorders>
            <w:vAlign w:val="center"/>
          </w:tcPr>
          <w:p w14:paraId="6C6BE939"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1,425</w:t>
            </w:r>
          </w:p>
        </w:tc>
        <w:tc>
          <w:tcPr>
            <w:tcW w:w="546" w:type="dxa"/>
            <w:tcBorders>
              <w:top w:val="single" w:sz="4" w:space="0" w:color="auto"/>
              <w:left w:val="single" w:sz="4" w:space="0" w:color="auto"/>
              <w:bottom w:val="single" w:sz="4" w:space="0" w:color="auto"/>
              <w:right w:val="single" w:sz="4" w:space="0" w:color="auto"/>
            </w:tcBorders>
            <w:vAlign w:val="center"/>
          </w:tcPr>
          <w:p w14:paraId="02DF1F48"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1</w:t>
            </w:r>
          </w:p>
        </w:tc>
        <w:tc>
          <w:tcPr>
            <w:tcW w:w="867" w:type="dxa"/>
            <w:tcBorders>
              <w:top w:val="single" w:sz="4" w:space="0" w:color="auto"/>
              <w:left w:val="single" w:sz="4" w:space="0" w:color="auto"/>
              <w:bottom w:val="single" w:sz="4" w:space="0" w:color="auto"/>
              <w:right w:val="single" w:sz="4" w:space="0" w:color="auto"/>
            </w:tcBorders>
            <w:vAlign w:val="center"/>
          </w:tcPr>
          <w:p w14:paraId="44BFAC1A"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0,825</w:t>
            </w:r>
          </w:p>
        </w:tc>
        <w:tc>
          <w:tcPr>
            <w:tcW w:w="980" w:type="dxa"/>
            <w:tcBorders>
              <w:top w:val="single" w:sz="4" w:space="0" w:color="auto"/>
              <w:left w:val="single" w:sz="4" w:space="0" w:color="auto"/>
              <w:bottom w:val="single" w:sz="4" w:space="0" w:color="auto"/>
              <w:right w:val="single" w:sz="4" w:space="0" w:color="auto"/>
            </w:tcBorders>
            <w:vAlign w:val="center"/>
          </w:tcPr>
          <w:p w14:paraId="083A3BF7"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0,526</w:t>
            </w:r>
          </w:p>
        </w:tc>
        <w:tc>
          <w:tcPr>
            <w:tcW w:w="1022" w:type="dxa"/>
            <w:tcBorders>
              <w:top w:val="single" w:sz="4" w:space="0" w:color="auto"/>
              <w:left w:val="single" w:sz="4" w:space="0" w:color="auto"/>
              <w:bottom w:val="single" w:sz="4" w:space="0" w:color="auto"/>
              <w:right w:val="single" w:sz="4" w:space="0" w:color="auto"/>
            </w:tcBorders>
            <w:vAlign w:val="center"/>
          </w:tcPr>
          <w:p w14:paraId="3D1B2708"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0,125</w:t>
            </w:r>
          </w:p>
        </w:tc>
        <w:tc>
          <w:tcPr>
            <w:tcW w:w="1114" w:type="dxa"/>
            <w:tcBorders>
              <w:top w:val="single" w:sz="4" w:space="0" w:color="auto"/>
              <w:left w:val="single" w:sz="4" w:space="0" w:color="auto"/>
              <w:bottom w:val="single" w:sz="4" w:space="0" w:color="auto"/>
              <w:right w:val="single" w:sz="4" w:space="0" w:color="auto"/>
            </w:tcBorders>
            <w:vAlign w:val="center"/>
          </w:tcPr>
          <w:p w14:paraId="55B52F81" w14:textId="77777777" w:rsidR="00A9409C" w:rsidRPr="00F84A31" w:rsidRDefault="00A9409C" w:rsidP="00094F6F">
            <w:pPr>
              <w:tabs>
                <w:tab w:val="left" w:pos="0"/>
              </w:tabs>
              <w:spacing w:after="0" w:line="240" w:lineRule="auto"/>
              <w:jc w:val="center"/>
              <w:rPr>
                <w:rFonts w:ascii="Times New Roman" w:hAnsi="Times New Roman"/>
                <w:lang w:eastAsia="en-US"/>
              </w:rPr>
            </w:pPr>
            <w:r w:rsidRPr="00F84A31">
              <w:rPr>
                <w:rFonts w:ascii="Times New Roman" w:hAnsi="Times New Roman"/>
                <w:lang w:eastAsia="en-US"/>
              </w:rPr>
              <w:t>4,326</w:t>
            </w:r>
          </w:p>
        </w:tc>
      </w:tr>
    </w:tbl>
    <w:p w14:paraId="5B84D4DD" w14:textId="77777777" w:rsidR="00A9409C" w:rsidRDefault="00A9409C" w:rsidP="00A9409C">
      <w:pPr>
        <w:tabs>
          <w:tab w:val="left" w:pos="0"/>
        </w:tabs>
        <w:spacing w:after="0" w:line="240" w:lineRule="auto"/>
        <w:jc w:val="both"/>
        <w:rPr>
          <w:rFonts w:ascii="Times New Roman" w:hAnsi="Times New Roman"/>
          <w:sz w:val="28"/>
          <w:szCs w:val="28"/>
        </w:rPr>
      </w:pPr>
    </w:p>
    <w:p w14:paraId="68F8200A" w14:textId="77777777" w:rsidR="00A9409C" w:rsidRPr="00145B66" w:rsidRDefault="00A9409C" w:rsidP="00A9409C">
      <w:pPr>
        <w:tabs>
          <w:tab w:val="left" w:pos="0"/>
        </w:tabs>
        <w:spacing w:after="0" w:line="240" w:lineRule="auto"/>
        <w:jc w:val="both"/>
        <w:rPr>
          <w:rFonts w:ascii="Times New Roman" w:hAnsi="Times New Roman"/>
          <w:sz w:val="28"/>
          <w:szCs w:val="28"/>
        </w:rPr>
      </w:pPr>
      <w:r>
        <w:rPr>
          <w:rFonts w:ascii="Times New Roman" w:hAnsi="Times New Roman"/>
          <w:sz w:val="28"/>
          <w:szCs w:val="28"/>
        </w:rPr>
        <w:lastRenderedPageBreak/>
        <w:t>Таблица 31</w:t>
      </w:r>
      <w:r w:rsidRPr="00145B66">
        <w:rPr>
          <w:rFonts w:ascii="Times New Roman" w:hAnsi="Times New Roman"/>
          <w:sz w:val="28"/>
          <w:szCs w:val="28"/>
        </w:rPr>
        <w:t xml:space="preserve"> </w:t>
      </w:r>
      <w:r>
        <w:rPr>
          <w:rFonts w:ascii="Times New Roman" w:hAnsi="Times New Roman"/>
          <w:sz w:val="28"/>
          <w:szCs w:val="28"/>
        </w:rPr>
        <w:t>–</w:t>
      </w:r>
      <w:r w:rsidRPr="00145B66">
        <w:rPr>
          <w:rFonts w:ascii="Times New Roman" w:hAnsi="Times New Roman"/>
          <w:sz w:val="28"/>
          <w:szCs w:val="28"/>
        </w:rPr>
        <w:t xml:space="preserve"> Многофакторная модель Кокса пропорциональных рисков развития неблагоприятного исхода (смерти) у больных в течение 5 лет после хирургического лечения рака ободочной кишки </w:t>
      </w:r>
    </w:p>
    <w:p w14:paraId="11F21520" w14:textId="77777777" w:rsidR="00A9409C" w:rsidRPr="00E7133A" w:rsidRDefault="00A9409C" w:rsidP="00A9409C">
      <w:pPr>
        <w:tabs>
          <w:tab w:val="left" w:pos="0"/>
        </w:tabs>
        <w:spacing w:after="0" w:line="240" w:lineRule="auto"/>
        <w:jc w:val="both"/>
        <w:rPr>
          <w:rFonts w:ascii="Times New Roman" w:hAnsi="Times New Roman"/>
          <w:sz w:val="28"/>
          <w:szCs w:val="28"/>
        </w:rPr>
      </w:pPr>
    </w:p>
    <w:tbl>
      <w:tblPr>
        <w:tblW w:w="0" w:type="auto"/>
        <w:jc w:val="center"/>
        <w:tblLayout w:type="fixed"/>
        <w:tblLook w:val="04A0" w:firstRow="1" w:lastRow="0" w:firstColumn="1" w:lastColumn="0" w:noHBand="0" w:noVBand="1"/>
      </w:tblPr>
      <w:tblGrid>
        <w:gridCol w:w="2366"/>
        <w:gridCol w:w="910"/>
        <w:gridCol w:w="826"/>
        <w:gridCol w:w="952"/>
        <w:gridCol w:w="546"/>
        <w:gridCol w:w="853"/>
        <w:gridCol w:w="952"/>
        <w:gridCol w:w="1106"/>
        <w:gridCol w:w="1072"/>
      </w:tblGrid>
      <w:tr w:rsidR="00A9409C" w:rsidRPr="004B123F" w14:paraId="147BC822" w14:textId="77777777" w:rsidTr="00094F6F">
        <w:trPr>
          <w:trHeight w:val="340"/>
          <w:jc w:val="center"/>
        </w:trPr>
        <w:tc>
          <w:tcPr>
            <w:tcW w:w="2366" w:type="dxa"/>
            <w:vMerge w:val="restart"/>
            <w:tcBorders>
              <w:top w:val="single" w:sz="4" w:space="0" w:color="auto"/>
              <w:left w:val="single" w:sz="4" w:space="0" w:color="auto"/>
              <w:bottom w:val="single" w:sz="4" w:space="0" w:color="auto"/>
              <w:right w:val="single" w:sz="4" w:space="0" w:color="auto"/>
            </w:tcBorders>
            <w:vAlign w:val="center"/>
            <w:hideMark/>
          </w:tcPr>
          <w:p w14:paraId="0F2118E9"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Факторы</w:t>
            </w:r>
          </w:p>
        </w:tc>
        <w:tc>
          <w:tcPr>
            <w:tcW w:w="910" w:type="dxa"/>
            <w:vMerge w:val="restart"/>
            <w:tcBorders>
              <w:top w:val="single" w:sz="4" w:space="0" w:color="auto"/>
              <w:left w:val="single" w:sz="4" w:space="0" w:color="auto"/>
              <w:bottom w:val="single" w:sz="4" w:space="0" w:color="auto"/>
              <w:right w:val="single" w:sz="4" w:space="0" w:color="auto"/>
            </w:tcBorders>
            <w:vAlign w:val="center"/>
            <w:hideMark/>
          </w:tcPr>
          <w:p w14:paraId="03C56389"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В</w:t>
            </w:r>
          </w:p>
        </w:tc>
        <w:tc>
          <w:tcPr>
            <w:tcW w:w="826" w:type="dxa"/>
            <w:vMerge w:val="restart"/>
            <w:tcBorders>
              <w:top w:val="single" w:sz="4" w:space="0" w:color="auto"/>
              <w:left w:val="single" w:sz="4" w:space="0" w:color="auto"/>
              <w:bottom w:val="single" w:sz="4" w:space="0" w:color="auto"/>
              <w:right w:val="single" w:sz="4" w:space="0" w:color="auto"/>
            </w:tcBorders>
            <w:vAlign w:val="center"/>
            <w:hideMark/>
          </w:tcPr>
          <w:p w14:paraId="46883DC9" w14:textId="77777777" w:rsidR="00A9409C" w:rsidRPr="004B123F" w:rsidRDefault="00A9409C" w:rsidP="00094F6F">
            <w:pPr>
              <w:tabs>
                <w:tab w:val="left" w:pos="0"/>
              </w:tabs>
              <w:spacing w:after="0" w:line="240" w:lineRule="auto"/>
              <w:jc w:val="center"/>
              <w:rPr>
                <w:rFonts w:ascii="Times New Roman" w:hAnsi="Times New Roman"/>
                <w:sz w:val="24"/>
                <w:szCs w:val="24"/>
                <w:lang w:val="en-US" w:eastAsia="en-US"/>
              </w:rPr>
            </w:pPr>
            <w:r w:rsidRPr="004B123F">
              <w:rPr>
                <w:rFonts w:ascii="Times New Roman" w:hAnsi="Times New Roman"/>
                <w:sz w:val="24"/>
                <w:szCs w:val="24"/>
                <w:lang w:val="en-US" w:eastAsia="en-US"/>
              </w:rPr>
              <w:t>SE</w:t>
            </w:r>
          </w:p>
        </w:tc>
        <w:tc>
          <w:tcPr>
            <w:tcW w:w="952" w:type="dxa"/>
            <w:vMerge w:val="restart"/>
            <w:tcBorders>
              <w:top w:val="single" w:sz="4" w:space="0" w:color="auto"/>
              <w:left w:val="single" w:sz="4" w:space="0" w:color="auto"/>
              <w:bottom w:val="single" w:sz="4" w:space="0" w:color="auto"/>
              <w:right w:val="single" w:sz="4" w:space="0" w:color="auto"/>
            </w:tcBorders>
            <w:vAlign w:val="center"/>
            <w:hideMark/>
          </w:tcPr>
          <w:p w14:paraId="73B718A4" w14:textId="77777777" w:rsidR="00A9409C" w:rsidRPr="004B123F" w:rsidRDefault="00A9409C" w:rsidP="00094F6F">
            <w:pPr>
              <w:tabs>
                <w:tab w:val="left" w:pos="0"/>
              </w:tabs>
              <w:spacing w:after="0" w:line="240" w:lineRule="auto"/>
              <w:jc w:val="center"/>
              <w:rPr>
                <w:rFonts w:ascii="Times New Roman" w:hAnsi="Times New Roman"/>
                <w:sz w:val="24"/>
                <w:szCs w:val="24"/>
                <w:lang w:val="kk-KZ" w:eastAsia="en-US"/>
              </w:rPr>
            </w:pPr>
            <w:r w:rsidRPr="004B123F">
              <w:rPr>
                <w:rFonts w:ascii="Times New Roman" w:hAnsi="Times New Roman"/>
                <w:sz w:val="24"/>
                <w:szCs w:val="24"/>
                <w:lang w:val="en-US" w:eastAsia="en-US"/>
              </w:rPr>
              <w:t>Wald</w:t>
            </w:r>
          </w:p>
        </w:tc>
        <w:tc>
          <w:tcPr>
            <w:tcW w:w="546" w:type="dxa"/>
            <w:vMerge w:val="restart"/>
            <w:tcBorders>
              <w:top w:val="single" w:sz="4" w:space="0" w:color="auto"/>
              <w:left w:val="single" w:sz="4" w:space="0" w:color="auto"/>
              <w:bottom w:val="single" w:sz="4" w:space="0" w:color="auto"/>
              <w:right w:val="single" w:sz="4" w:space="0" w:color="auto"/>
            </w:tcBorders>
            <w:vAlign w:val="center"/>
            <w:hideMark/>
          </w:tcPr>
          <w:p w14:paraId="52393680" w14:textId="77777777" w:rsidR="00A9409C" w:rsidRPr="004B123F" w:rsidRDefault="00A9409C" w:rsidP="00094F6F">
            <w:pPr>
              <w:tabs>
                <w:tab w:val="left" w:pos="0"/>
              </w:tabs>
              <w:spacing w:after="0" w:line="240" w:lineRule="auto"/>
              <w:jc w:val="center"/>
              <w:rPr>
                <w:rFonts w:ascii="Times New Roman" w:hAnsi="Times New Roman"/>
                <w:sz w:val="24"/>
                <w:szCs w:val="24"/>
                <w:lang w:val="en-US" w:eastAsia="en-US"/>
              </w:rPr>
            </w:pPr>
            <w:proofErr w:type="spellStart"/>
            <w:r w:rsidRPr="004B123F">
              <w:rPr>
                <w:rFonts w:ascii="Times New Roman" w:hAnsi="Times New Roman"/>
                <w:sz w:val="24"/>
                <w:szCs w:val="24"/>
                <w:lang w:val="en-US" w:eastAsia="en-US"/>
              </w:rPr>
              <w:t>df</w:t>
            </w:r>
            <w:proofErr w:type="spellEnd"/>
          </w:p>
        </w:tc>
        <w:tc>
          <w:tcPr>
            <w:tcW w:w="853" w:type="dxa"/>
            <w:vMerge w:val="restart"/>
            <w:tcBorders>
              <w:top w:val="single" w:sz="4" w:space="0" w:color="auto"/>
              <w:left w:val="single" w:sz="4" w:space="0" w:color="auto"/>
              <w:bottom w:val="single" w:sz="4" w:space="0" w:color="auto"/>
              <w:right w:val="single" w:sz="4" w:space="0" w:color="auto"/>
            </w:tcBorders>
            <w:vAlign w:val="center"/>
            <w:hideMark/>
          </w:tcPr>
          <w:p w14:paraId="77ECAE21"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proofErr w:type="gramStart"/>
            <w:r w:rsidRPr="004B123F">
              <w:rPr>
                <w:rFonts w:ascii="Times New Roman" w:hAnsi="Times New Roman"/>
                <w:sz w:val="24"/>
                <w:szCs w:val="24"/>
                <w:lang w:eastAsia="en-US"/>
              </w:rPr>
              <w:t>р</w:t>
            </w:r>
            <w:proofErr w:type="gramEnd"/>
          </w:p>
        </w:tc>
        <w:tc>
          <w:tcPr>
            <w:tcW w:w="952" w:type="dxa"/>
            <w:vMerge w:val="restart"/>
            <w:tcBorders>
              <w:top w:val="single" w:sz="4" w:space="0" w:color="auto"/>
              <w:left w:val="single" w:sz="4" w:space="0" w:color="auto"/>
              <w:bottom w:val="single" w:sz="4" w:space="0" w:color="auto"/>
              <w:right w:val="single" w:sz="4" w:space="0" w:color="auto"/>
            </w:tcBorders>
            <w:vAlign w:val="center"/>
            <w:hideMark/>
          </w:tcPr>
          <w:p w14:paraId="4DE11BD4" w14:textId="77777777" w:rsidR="00A9409C" w:rsidRPr="004B123F" w:rsidRDefault="00A9409C" w:rsidP="00094F6F">
            <w:pPr>
              <w:tabs>
                <w:tab w:val="left" w:pos="0"/>
              </w:tabs>
              <w:spacing w:after="0" w:line="240" w:lineRule="auto"/>
              <w:jc w:val="center"/>
              <w:rPr>
                <w:rFonts w:ascii="Times New Roman" w:hAnsi="Times New Roman"/>
                <w:sz w:val="24"/>
                <w:szCs w:val="24"/>
                <w:lang w:val="en-US" w:eastAsia="en-US"/>
              </w:rPr>
            </w:pPr>
            <w:proofErr w:type="spellStart"/>
            <w:r w:rsidRPr="004B123F">
              <w:rPr>
                <w:rFonts w:ascii="Times New Roman" w:hAnsi="Times New Roman"/>
                <w:sz w:val="24"/>
                <w:szCs w:val="24"/>
                <w:lang w:val="en-US" w:eastAsia="en-US"/>
              </w:rPr>
              <w:t>Exp</w:t>
            </w:r>
            <w:proofErr w:type="spellEnd"/>
            <w:r w:rsidRPr="004B123F">
              <w:rPr>
                <w:rFonts w:ascii="Times New Roman" w:hAnsi="Times New Roman"/>
                <w:sz w:val="24"/>
                <w:szCs w:val="24"/>
                <w:lang w:eastAsia="en-US"/>
              </w:rPr>
              <w:t>(</w:t>
            </w:r>
            <w:r w:rsidRPr="004B123F">
              <w:rPr>
                <w:rFonts w:ascii="Times New Roman" w:hAnsi="Times New Roman"/>
                <w:sz w:val="24"/>
                <w:szCs w:val="24"/>
                <w:lang w:val="en-US" w:eastAsia="en-US"/>
              </w:rPr>
              <w:t>B</w:t>
            </w:r>
            <w:r w:rsidRPr="004B123F">
              <w:rPr>
                <w:rFonts w:ascii="Times New Roman" w:hAnsi="Times New Roman"/>
                <w:sz w:val="24"/>
                <w:szCs w:val="24"/>
                <w:lang w:eastAsia="en-US"/>
              </w:rPr>
              <w:t>)</w:t>
            </w:r>
          </w:p>
        </w:tc>
        <w:tc>
          <w:tcPr>
            <w:tcW w:w="2178" w:type="dxa"/>
            <w:gridSpan w:val="2"/>
            <w:tcBorders>
              <w:top w:val="single" w:sz="4" w:space="0" w:color="auto"/>
              <w:left w:val="single" w:sz="4" w:space="0" w:color="auto"/>
              <w:bottom w:val="single" w:sz="4" w:space="0" w:color="auto"/>
              <w:right w:val="single" w:sz="4" w:space="0" w:color="auto"/>
            </w:tcBorders>
            <w:vAlign w:val="center"/>
            <w:hideMark/>
          </w:tcPr>
          <w:p w14:paraId="4FF566F6"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95% ДИ</w:t>
            </w:r>
          </w:p>
        </w:tc>
      </w:tr>
      <w:tr w:rsidR="00A9409C" w:rsidRPr="004B123F" w14:paraId="43AF91B4" w14:textId="77777777" w:rsidTr="00094F6F">
        <w:trPr>
          <w:trHeight w:val="340"/>
          <w:jc w:val="center"/>
        </w:trPr>
        <w:tc>
          <w:tcPr>
            <w:tcW w:w="2366" w:type="dxa"/>
            <w:vMerge/>
            <w:tcBorders>
              <w:top w:val="single" w:sz="4" w:space="0" w:color="auto"/>
              <w:left w:val="single" w:sz="4" w:space="0" w:color="auto"/>
              <w:bottom w:val="single" w:sz="4" w:space="0" w:color="auto"/>
              <w:right w:val="single" w:sz="4" w:space="0" w:color="auto"/>
            </w:tcBorders>
            <w:vAlign w:val="center"/>
            <w:hideMark/>
          </w:tcPr>
          <w:p w14:paraId="6BB96EE1" w14:textId="77777777" w:rsidR="00A9409C" w:rsidRPr="004B123F" w:rsidRDefault="00A9409C" w:rsidP="00094F6F">
            <w:pPr>
              <w:spacing w:after="0" w:line="240" w:lineRule="auto"/>
              <w:jc w:val="center"/>
              <w:rPr>
                <w:rFonts w:ascii="Times New Roman" w:hAnsi="Times New Roman"/>
                <w:sz w:val="24"/>
                <w:szCs w:val="24"/>
                <w:lang w:eastAsia="en-US"/>
              </w:rPr>
            </w:pPr>
          </w:p>
        </w:tc>
        <w:tc>
          <w:tcPr>
            <w:tcW w:w="910" w:type="dxa"/>
            <w:vMerge/>
            <w:tcBorders>
              <w:top w:val="single" w:sz="4" w:space="0" w:color="auto"/>
              <w:left w:val="single" w:sz="4" w:space="0" w:color="auto"/>
              <w:bottom w:val="single" w:sz="4" w:space="0" w:color="auto"/>
              <w:right w:val="single" w:sz="4" w:space="0" w:color="auto"/>
            </w:tcBorders>
            <w:vAlign w:val="center"/>
            <w:hideMark/>
          </w:tcPr>
          <w:p w14:paraId="43DFA639" w14:textId="77777777" w:rsidR="00A9409C" w:rsidRPr="004B123F" w:rsidRDefault="00A9409C" w:rsidP="00094F6F">
            <w:pPr>
              <w:spacing w:after="0" w:line="240" w:lineRule="auto"/>
              <w:jc w:val="center"/>
              <w:rPr>
                <w:rFonts w:ascii="Times New Roman" w:hAnsi="Times New Roman"/>
                <w:sz w:val="24"/>
                <w:szCs w:val="24"/>
                <w:lang w:eastAsia="en-US"/>
              </w:rPr>
            </w:pPr>
          </w:p>
        </w:tc>
        <w:tc>
          <w:tcPr>
            <w:tcW w:w="826" w:type="dxa"/>
            <w:vMerge/>
            <w:tcBorders>
              <w:top w:val="single" w:sz="4" w:space="0" w:color="auto"/>
              <w:left w:val="single" w:sz="4" w:space="0" w:color="auto"/>
              <w:bottom w:val="single" w:sz="4" w:space="0" w:color="auto"/>
              <w:right w:val="single" w:sz="4" w:space="0" w:color="auto"/>
            </w:tcBorders>
            <w:vAlign w:val="center"/>
            <w:hideMark/>
          </w:tcPr>
          <w:p w14:paraId="75F8B58A" w14:textId="77777777" w:rsidR="00A9409C" w:rsidRPr="004B123F" w:rsidRDefault="00A9409C" w:rsidP="00094F6F">
            <w:pPr>
              <w:spacing w:after="0" w:line="240" w:lineRule="auto"/>
              <w:jc w:val="center"/>
              <w:rPr>
                <w:rFonts w:ascii="Times New Roman" w:hAnsi="Times New Roman"/>
                <w:sz w:val="24"/>
                <w:szCs w:val="24"/>
                <w:lang w:val="en-US" w:eastAsia="en-US"/>
              </w:rPr>
            </w:pPr>
          </w:p>
        </w:tc>
        <w:tc>
          <w:tcPr>
            <w:tcW w:w="952" w:type="dxa"/>
            <w:vMerge/>
            <w:tcBorders>
              <w:top w:val="single" w:sz="4" w:space="0" w:color="auto"/>
              <w:left w:val="single" w:sz="4" w:space="0" w:color="auto"/>
              <w:bottom w:val="single" w:sz="4" w:space="0" w:color="auto"/>
              <w:right w:val="single" w:sz="4" w:space="0" w:color="auto"/>
            </w:tcBorders>
            <w:vAlign w:val="center"/>
            <w:hideMark/>
          </w:tcPr>
          <w:p w14:paraId="6159715B" w14:textId="77777777" w:rsidR="00A9409C" w:rsidRPr="004B123F" w:rsidRDefault="00A9409C" w:rsidP="00094F6F">
            <w:pPr>
              <w:spacing w:after="0" w:line="240" w:lineRule="auto"/>
              <w:jc w:val="center"/>
              <w:rPr>
                <w:rFonts w:ascii="Times New Roman" w:hAnsi="Times New Roman"/>
                <w:sz w:val="24"/>
                <w:szCs w:val="24"/>
                <w:lang w:val="kk-KZ" w:eastAsia="en-US"/>
              </w:rPr>
            </w:pPr>
          </w:p>
        </w:tc>
        <w:tc>
          <w:tcPr>
            <w:tcW w:w="546" w:type="dxa"/>
            <w:vMerge/>
            <w:tcBorders>
              <w:top w:val="single" w:sz="4" w:space="0" w:color="auto"/>
              <w:left w:val="single" w:sz="4" w:space="0" w:color="auto"/>
              <w:bottom w:val="single" w:sz="4" w:space="0" w:color="auto"/>
              <w:right w:val="single" w:sz="4" w:space="0" w:color="auto"/>
            </w:tcBorders>
            <w:vAlign w:val="center"/>
            <w:hideMark/>
          </w:tcPr>
          <w:p w14:paraId="3F5EA493" w14:textId="77777777" w:rsidR="00A9409C" w:rsidRPr="004B123F" w:rsidRDefault="00A9409C" w:rsidP="00094F6F">
            <w:pPr>
              <w:spacing w:after="0" w:line="240" w:lineRule="auto"/>
              <w:jc w:val="center"/>
              <w:rPr>
                <w:rFonts w:ascii="Times New Roman" w:hAnsi="Times New Roman"/>
                <w:sz w:val="24"/>
                <w:szCs w:val="24"/>
                <w:lang w:val="en-US" w:eastAsia="en-US"/>
              </w:rPr>
            </w:pPr>
          </w:p>
        </w:tc>
        <w:tc>
          <w:tcPr>
            <w:tcW w:w="853" w:type="dxa"/>
            <w:vMerge/>
            <w:tcBorders>
              <w:top w:val="single" w:sz="4" w:space="0" w:color="auto"/>
              <w:left w:val="single" w:sz="4" w:space="0" w:color="auto"/>
              <w:bottom w:val="single" w:sz="4" w:space="0" w:color="auto"/>
              <w:right w:val="single" w:sz="4" w:space="0" w:color="auto"/>
            </w:tcBorders>
            <w:vAlign w:val="center"/>
            <w:hideMark/>
          </w:tcPr>
          <w:p w14:paraId="2CDC6030" w14:textId="77777777" w:rsidR="00A9409C" w:rsidRPr="004B123F" w:rsidRDefault="00A9409C" w:rsidP="00094F6F">
            <w:pPr>
              <w:spacing w:after="0" w:line="240" w:lineRule="auto"/>
              <w:jc w:val="center"/>
              <w:rPr>
                <w:rFonts w:ascii="Times New Roman" w:hAnsi="Times New Roman"/>
                <w:sz w:val="24"/>
                <w:szCs w:val="24"/>
                <w:lang w:eastAsia="en-US"/>
              </w:rPr>
            </w:pPr>
          </w:p>
        </w:tc>
        <w:tc>
          <w:tcPr>
            <w:tcW w:w="952" w:type="dxa"/>
            <w:vMerge/>
            <w:tcBorders>
              <w:top w:val="single" w:sz="4" w:space="0" w:color="auto"/>
              <w:left w:val="single" w:sz="4" w:space="0" w:color="auto"/>
              <w:bottom w:val="single" w:sz="4" w:space="0" w:color="auto"/>
              <w:right w:val="single" w:sz="4" w:space="0" w:color="auto"/>
            </w:tcBorders>
            <w:vAlign w:val="center"/>
            <w:hideMark/>
          </w:tcPr>
          <w:p w14:paraId="1D62E18A" w14:textId="77777777" w:rsidR="00A9409C" w:rsidRPr="004B123F" w:rsidRDefault="00A9409C" w:rsidP="00094F6F">
            <w:pPr>
              <w:spacing w:after="0" w:line="240" w:lineRule="auto"/>
              <w:jc w:val="center"/>
              <w:rPr>
                <w:rFonts w:ascii="Times New Roman" w:hAnsi="Times New Roman"/>
                <w:sz w:val="24"/>
                <w:szCs w:val="24"/>
                <w:lang w:val="en-US" w:eastAsia="en-US"/>
              </w:rPr>
            </w:pPr>
          </w:p>
        </w:tc>
        <w:tc>
          <w:tcPr>
            <w:tcW w:w="1106" w:type="dxa"/>
            <w:tcBorders>
              <w:top w:val="single" w:sz="4" w:space="0" w:color="auto"/>
              <w:left w:val="single" w:sz="4" w:space="0" w:color="auto"/>
              <w:bottom w:val="single" w:sz="4" w:space="0" w:color="auto"/>
              <w:right w:val="single" w:sz="4" w:space="0" w:color="auto"/>
            </w:tcBorders>
            <w:vAlign w:val="center"/>
            <w:hideMark/>
          </w:tcPr>
          <w:p w14:paraId="75732546"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proofErr w:type="gramStart"/>
            <w:r w:rsidRPr="004B123F">
              <w:rPr>
                <w:rFonts w:ascii="Times New Roman" w:hAnsi="Times New Roman"/>
                <w:sz w:val="24"/>
                <w:szCs w:val="24"/>
                <w:lang w:eastAsia="en-US"/>
              </w:rPr>
              <w:t>нижняя</w:t>
            </w:r>
            <w:proofErr w:type="gramEnd"/>
          </w:p>
        </w:tc>
        <w:tc>
          <w:tcPr>
            <w:tcW w:w="1072" w:type="dxa"/>
            <w:tcBorders>
              <w:top w:val="single" w:sz="4" w:space="0" w:color="auto"/>
              <w:left w:val="single" w:sz="4" w:space="0" w:color="auto"/>
              <w:bottom w:val="single" w:sz="4" w:space="0" w:color="auto"/>
              <w:right w:val="single" w:sz="4" w:space="0" w:color="auto"/>
            </w:tcBorders>
            <w:vAlign w:val="center"/>
            <w:hideMark/>
          </w:tcPr>
          <w:p w14:paraId="5D69ECD5"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proofErr w:type="gramStart"/>
            <w:r w:rsidRPr="004B123F">
              <w:rPr>
                <w:rFonts w:ascii="Times New Roman" w:hAnsi="Times New Roman"/>
                <w:sz w:val="24"/>
                <w:szCs w:val="24"/>
                <w:lang w:eastAsia="en-US"/>
              </w:rPr>
              <w:t>верхняя</w:t>
            </w:r>
            <w:proofErr w:type="gramEnd"/>
          </w:p>
        </w:tc>
      </w:tr>
      <w:tr w:rsidR="00A9409C" w:rsidRPr="004B123F" w14:paraId="28A7F028" w14:textId="77777777" w:rsidTr="00094F6F">
        <w:trPr>
          <w:trHeight w:val="340"/>
          <w:jc w:val="center"/>
        </w:trPr>
        <w:tc>
          <w:tcPr>
            <w:tcW w:w="2366" w:type="dxa"/>
            <w:tcBorders>
              <w:top w:val="single" w:sz="4" w:space="0" w:color="auto"/>
              <w:left w:val="single" w:sz="4" w:space="0" w:color="auto"/>
              <w:bottom w:val="single" w:sz="4" w:space="0" w:color="auto"/>
              <w:right w:val="single" w:sz="4" w:space="0" w:color="auto"/>
            </w:tcBorders>
          </w:tcPr>
          <w:p w14:paraId="41757690" w14:textId="77777777" w:rsidR="00A9409C" w:rsidRPr="004B123F" w:rsidRDefault="00A9409C" w:rsidP="00094F6F">
            <w:pPr>
              <w:tabs>
                <w:tab w:val="left" w:pos="0"/>
              </w:tabs>
              <w:spacing w:after="0" w:line="240" w:lineRule="auto"/>
              <w:jc w:val="both"/>
              <w:rPr>
                <w:rFonts w:ascii="Times New Roman" w:hAnsi="Times New Roman"/>
                <w:sz w:val="24"/>
                <w:szCs w:val="24"/>
                <w:lang w:eastAsia="en-US"/>
              </w:rPr>
            </w:pPr>
            <w:r w:rsidRPr="004B123F">
              <w:rPr>
                <w:rFonts w:ascii="Times New Roman" w:hAnsi="Times New Roman"/>
                <w:sz w:val="24"/>
                <w:szCs w:val="24"/>
                <w:lang w:eastAsia="en-US"/>
              </w:rPr>
              <w:t xml:space="preserve">Возраст </w:t>
            </w:r>
          </w:p>
        </w:tc>
        <w:tc>
          <w:tcPr>
            <w:tcW w:w="910" w:type="dxa"/>
            <w:tcBorders>
              <w:top w:val="single" w:sz="4" w:space="0" w:color="auto"/>
              <w:left w:val="single" w:sz="4" w:space="0" w:color="auto"/>
              <w:bottom w:val="single" w:sz="4" w:space="0" w:color="auto"/>
              <w:right w:val="single" w:sz="4" w:space="0" w:color="auto"/>
            </w:tcBorders>
            <w:vAlign w:val="center"/>
          </w:tcPr>
          <w:p w14:paraId="525259CA"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0,784</w:t>
            </w:r>
          </w:p>
        </w:tc>
        <w:tc>
          <w:tcPr>
            <w:tcW w:w="826" w:type="dxa"/>
            <w:tcBorders>
              <w:top w:val="single" w:sz="4" w:space="0" w:color="auto"/>
              <w:left w:val="single" w:sz="4" w:space="0" w:color="auto"/>
              <w:bottom w:val="single" w:sz="4" w:space="0" w:color="auto"/>
              <w:right w:val="single" w:sz="4" w:space="0" w:color="auto"/>
            </w:tcBorders>
            <w:vAlign w:val="center"/>
          </w:tcPr>
          <w:p w14:paraId="3C4B6E4E"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0,231</w:t>
            </w:r>
          </w:p>
        </w:tc>
        <w:tc>
          <w:tcPr>
            <w:tcW w:w="952" w:type="dxa"/>
            <w:tcBorders>
              <w:top w:val="single" w:sz="4" w:space="0" w:color="auto"/>
              <w:left w:val="single" w:sz="4" w:space="0" w:color="auto"/>
              <w:bottom w:val="single" w:sz="4" w:space="0" w:color="auto"/>
              <w:right w:val="single" w:sz="4" w:space="0" w:color="auto"/>
            </w:tcBorders>
            <w:vAlign w:val="center"/>
          </w:tcPr>
          <w:p w14:paraId="34D36A99"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4,561</w:t>
            </w:r>
          </w:p>
        </w:tc>
        <w:tc>
          <w:tcPr>
            <w:tcW w:w="546" w:type="dxa"/>
            <w:tcBorders>
              <w:top w:val="single" w:sz="4" w:space="0" w:color="auto"/>
              <w:left w:val="single" w:sz="4" w:space="0" w:color="auto"/>
              <w:bottom w:val="single" w:sz="4" w:space="0" w:color="auto"/>
              <w:right w:val="single" w:sz="4" w:space="0" w:color="auto"/>
            </w:tcBorders>
            <w:vAlign w:val="center"/>
          </w:tcPr>
          <w:p w14:paraId="2DAD3544"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w:t>
            </w:r>
          </w:p>
        </w:tc>
        <w:tc>
          <w:tcPr>
            <w:tcW w:w="853" w:type="dxa"/>
            <w:tcBorders>
              <w:top w:val="single" w:sz="4" w:space="0" w:color="auto"/>
              <w:left w:val="single" w:sz="4" w:space="0" w:color="auto"/>
              <w:bottom w:val="single" w:sz="4" w:space="0" w:color="auto"/>
              <w:right w:val="single" w:sz="4" w:space="0" w:color="auto"/>
            </w:tcBorders>
            <w:vAlign w:val="center"/>
          </w:tcPr>
          <w:p w14:paraId="68E148B1" w14:textId="77777777" w:rsidR="00A9409C" w:rsidRPr="00E7133A" w:rsidRDefault="00A9409C" w:rsidP="00094F6F">
            <w:pPr>
              <w:tabs>
                <w:tab w:val="left" w:pos="0"/>
              </w:tabs>
              <w:spacing w:after="0" w:line="240" w:lineRule="auto"/>
              <w:jc w:val="center"/>
              <w:rPr>
                <w:rFonts w:ascii="Times New Roman" w:hAnsi="Times New Roman"/>
                <w:b/>
                <w:bCs/>
                <w:sz w:val="24"/>
                <w:szCs w:val="24"/>
                <w:lang w:eastAsia="en-US"/>
              </w:rPr>
            </w:pPr>
            <w:r w:rsidRPr="00E7133A">
              <w:rPr>
                <w:rFonts w:ascii="Times New Roman" w:hAnsi="Times New Roman"/>
                <w:b/>
                <w:bCs/>
                <w:sz w:val="24"/>
                <w:szCs w:val="24"/>
                <w:lang w:eastAsia="en-US"/>
              </w:rPr>
              <w:t>0,000</w:t>
            </w:r>
          </w:p>
        </w:tc>
        <w:tc>
          <w:tcPr>
            <w:tcW w:w="952" w:type="dxa"/>
            <w:tcBorders>
              <w:top w:val="single" w:sz="4" w:space="0" w:color="auto"/>
              <w:left w:val="single" w:sz="4" w:space="0" w:color="auto"/>
              <w:bottom w:val="single" w:sz="4" w:space="0" w:color="auto"/>
              <w:right w:val="single" w:sz="4" w:space="0" w:color="auto"/>
            </w:tcBorders>
            <w:vAlign w:val="center"/>
          </w:tcPr>
          <w:p w14:paraId="25AEAA16"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1,784</w:t>
            </w:r>
          </w:p>
        </w:tc>
        <w:tc>
          <w:tcPr>
            <w:tcW w:w="1106" w:type="dxa"/>
            <w:tcBorders>
              <w:top w:val="single" w:sz="4" w:space="0" w:color="auto"/>
              <w:left w:val="single" w:sz="4" w:space="0" w:color="auto"/>
              <w:bottom w:val="single" w:sz="4" w:space="0" w:color="auto"/>
              <w:right w:val="single" w:sz="4" w:space="0" w:color="auto"/>
            </w:tcBorders>
            <w:vAlign w:val="center"/>
          </w:tcPr>
          <w:p w14:paraId="38BFC42B"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1,251</w:t>
            </w:r>
          </w:p>
        </w:tc>
        <w:tc>
          <w:tcPr>
            <w:tcW w:w="1072" w:type="dxa"/>
            <w:tcBorders>
              <w:top w:val="single" w:sz="4" w:space="0" w:color="auto"/>
              <w:left w:val="single" w:sz="4" w:space="0" w:color="auto"/>
              <w:bottom w:val="single" w:sz="4" w:space="0" w:color="auto"/>
              <w:right w:val="single" w:sz="4" w:space="0" w:color="auto"/>
            </w:tcBorders>
            <w:vAlign w:val="center"/>
          </w:tcPr>
          <w:p w14:paraId="2FD5659C"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3,458</w:t>
            </w:r>
          </w:p>
        </w:tc>
      </w:tr>
      <w:tr w:rsidR="00A9409C" w:rsidRPr="004B123F" w14:paraId="674AAAD1" w14:textId="77777777" w:rsidTr="00094F6F">
        <w:trPr>
          <w:trHeight w:val="340"/>
          <w:jc w:val="center"/>
        </w:trPr>
        <w:tc>
          <w:tcPr>
            <w:tcW w:w="2366" w:type="dxa"/>
            <w:tcBorders>
              <w:top w:val="single" w:sz="4" w:space="0" w:color="auto"/>
              <w:left w:val="single" w:sz="4" w:space="0" w:color="auto"/>
              <w:right w:val="single" w:sz="4" w:space="0" w:color="auto"/>
            </w:tcBorders>
          </w:tcPr>
          <w:p w14:paraId="4DB50A3E" w14:textId="77777777" w:rsidR="00A9409C" w:rsidRPr="004B123F" w:rsidRDefault="00A9409C" w:rsidP="00094F6F">
            <w:pPr>
              <w:tabs>
                <w:tab w:val="left" w:pos="0"/>
              </w:tabs>
              <w:spacing w:after="0" w:line="240" w:lineRule="auto"/>
              <w:jc w:val="both"/>
              <w:rPr>
                <w:rFonts w:ascii="Times New Roman" w:hAnsi="Times New Roman"/>
                <w:sz w:val="24"/>
                <w:szCs w:val="24"/>
                <w:lang w:eastAsia="en-US"/>
              </w:rPr>
            </w:pPr>
            <w:r w:rsidRPr="004B123F">
              <w:rPr>
                <w:rFonts w:ascii="Times New Roman" w:hAnsi="Times New Roman"/>
                <w:sz w:val="24"/>
                <w:szCs w:val="24"/>
                <w:lang w:val="en-US" w:eastAsia="en-US"/>
              </w:rPr>
              <w:t>III</w:t>
            </w:r>
            <w:r w:rsidRPr="004B123F">
              <w:rPr>
                <w:rFonts w:ascii="Times New Roman" w:hAnsi="Times New Roman"/>
                <w:sz w:val="24"/>
                <w:szCs w:val="24"/>
                <w:lang w:eastAsia="en-US"/>
              </w:rPr>
              <w:t xml:space="preserve"> стадия рака ободочной кишки</w:t>
            </w:r>
          </w:p>
        </w:tc>
        <w:tc>
          <w:tcPr>
            <w:tcW w:w="910" w:type="dxa"/>
            <w:tcBorders>
              <w:top w:val="single" w:sz="4" w:space="0" w:color="auto"/>
              <w:left w:val="single" w:sz="4" w:space="0" w:color="auto"/>
              <w:right w:val="single" w:sz="4" w:space="0" w:color="auto"/>
            </w:tcBorders>
            <w:vAlign w:val="center"/>
          </w:tcPr>
          <w:p w14:paraId="3556D2F4"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0,846</w:t>
            </w:r>
          </w:p>
        </w:tc>
        <w:tc>
          <w:tcPr>
            <w:tcW w:w="826" w:type="dxa"/>
            <w:tcBorders>
              <w:top w:val="single" w:sz="4" w:space="0" w:color="auto"/>
              <w:left w:val="single" w:sz="4" w:space="0" w:color="auto"/>
              <w:right w:val="single" w:sz="4" w:space="0" w:color="auto"/>
            </w:tcBorders>
            <w:vAlign w:val="center"/>
          </w:tcPr>
          <w:p w14:paraId="5EE799BB"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0,238</w:t>
            </w:r>
          </w:p>
        </w:tc>
        <w:tc>
          <w:tcPr>
            <w:tcW w:w="952" w:type="dxa"/>
            <w:tcBorders>
              <w:top w:val="single" w:sz="4" w:space="0" w:color="auto"/>
              <w:left w:val="single" w:sz="4" w:space="0" w:color="auto"/>
              <w:right w:val="single" w:sz="4" w:space="0" w:color="auto"/>
            </w:tcBorders>
            <w:vAlign w:val="center"/>
          </w:tcPr>
          <w:p w14:paraId="76017286"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1,311</w:t>
            </w:r>
          </w:p>
        </w:tc>
        <w:tc>
          <w:tcPr>
            <w:tcW w:w="546" w:type="dxa"/>
            <w:tcBorders>
              <w:top w:val="single" w:sz="4" w:space="0" w:color="auto"/>
              <w:left w:val="single" w:sz="4" w:space="0" w:color="auto"/>
              <w:right w:val="single" w:sz="4" w:space="0" w:color="auto"/>
            </w:tcBorders>
            <w:vAlign w:val="center"/>
          </w:tcPr>
          <w:p w14:paraId="3093657C"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w:t>
            </w:r>
          </w:p>
        </w:tc>
        <w:tc>
          <w:tcPr>
            <w:tcW w:w="853" w:type="dxa"/>
            <w:tcBorders>
              <w:top w:val="single" w:sz="4" w:space="0" w:color="auto"/>
              <w:left w:val="single" w:sz="4" w:space="0" w:color="auto"/>
              <w:right w:val="single" w:sz="4" w:space="0" w:color="auto"/>
            </w:tcBorders>
            <w:vAlign w:val="center"/>
          </w:tcPr>
          <w:p w14:paraId="21A9019E" w14:textId="77777777" w:rsidR="00A9409C" w:rsidRPr="00E7133A" w:rsidRDefault="00A9409C" w:rsidP="00094F6F">
            <w:pPr>
              <w:tabs>
                <w:tab w:val="left" w:pos="0"/>
              </w:tabs>
              <w:spacing w:after="0" w:line="240" w:lineRule="auto"/>
              <w:jc w:val="center"/>
              <w:rPr>
                <w:rFonts w:ascii="Times New Roman" w:hAnsi="Times New Roman"/>
                <w:b/>
                <w:bCs/>
                <w:sz w:val="24"/>
                <w:szCs w:val="24"/>
                <w:lang w:eastAsia="en-US"/>
              </w:rPr>
            </w:pPr>
            <w:r w:rsidRPr="00E7133A">
              <w:rPr>
                <w:rFonts w:ascii="Times New Roman" w:hAnsi="Times New Roman"/>
                <w:b/>
                <w:bCs/>
                <w:sz w:val="24"/>
                <w:szCs w:val="24"/>
                <w:lang w:eastAsia="en-US"/>
              </w:rPr>
              <w:t>0,003</w:t>
            </w:r>
          </w:p>
        </w:tc>
        <w:tc>
          <w:tcPr>
            <w:tcW w:w="952" w:type="dxa"/>
            <w:tcBorders>
              <w:top w:val="single" w:sz="4" w:space="0" w:color="auto"/>
              <w:left w:val="single" w:sz="4" w:space="0" w:color="auto"/>
              <w:right w:val="single" w:sz="4" w:space="0" w:color="auto"/>
            </w:tcBorders>
            <w:vAlign w:val="center"/>
          </w:tcPr>
          <w:p w14:paraId="6BAFCD62"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1,451</w:t>
            </w:r>
          </w:p>
        </w:tc>
        <w:tc>
          <w:tcPr>
            <w:tcW w:w="1106" w:type="dxa"/>
            <w:tcBorders>
              <w:top w:val="single" w:sz="4" w:space="0" w:color="auto"/>
              <w:left w:val="single" w:sz="4" w:space="0" w:color="auto"/>
              <w:right w:val="single" w:sz="4" w:space="0" w:color="auto"/>
            </w:tcBorders>
            <w:vAlign w:val="center"/>
          </w:tcPr>
          <w:p w14:paraId="52671147"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1,132</w:t>
            </w:r>
          </w:p>
        </w:tc>
        <w:tc>
          <w:tcPr>
            <w:tcW w:w="1072" w:type="dxa"/>
            <w:tcBorders>
              <w:top w:val="single" w:sz="4" w:space="0" w:color="auto"/>
              <w:left w:val="single" w:sz="4" w:space="0" w:color="auto"/>
              <w:right w:val="single" w:sz="4" w:space="0" w:color="auto"/>
            </w:tcBorders>
            <w:vAlign w:val="center"/>
          </w:tcPr>
          <w:p w14:paraId="570EA131"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2,568</w:t>
            </w:r>
          </w:p>
        </w:tc>
      </w:tr>
      <w:tr w:rsidR="00A9409C" w:rsidRPr="004B123F" w14:paraId="3C2FE84A" w14:textId="77777777" w:rsidTr="00094F6F">
        <w:trPr>
          <w:trHeight w:val="340"/>
          <w:jc w:val="center"/>
        </w:trPr>
        <w:tc>
          <w:tcPr>
            <w:tcW w:w="2366" w:type="dxa"/>
            <w:tcBorders>
              <w:top w:val="single" w:sz="4" w:space="0" w:color="auto"/>
              <w:left w:val="single" w:sz="4" w:space="0" w:color="auto"/>
              <w:bottom w:val="single" w:sz="4" w:space="0" w:color="auto"/>
              <w:right w:val="single" w:sz="4" w:space="0" w:color="auto"/>
            </w:tcBorders>
          </w:tcPr>
          <w:p w14:paraId="368801D9" w14:textId="77777777" w:rsidR="00A9409C" w:rsidRPr="004B123F" w:rsidRDefault="00A9409C" w:rsidP="00094F6F">
            <w:pPr>
              <w:spacing w:after="0" w:line="240" w:lineRule="auto"/>
              <w:jc w:val="both"/>
              <w:rPr>
                <w:rFonts w:ascii="Times New Roman" w:hAnsi="Times New Roman"/>
                <w:bCs/>
                <w:sz w:val="24"/>
                <w:szCs w:val="24"/>
                <w:lang w:eastAsia="en-US"/>
              </w:rPr>
            </w:pPr>
            <w:r w:rsidRPr="004B123F">
              <w:rPr>
                <w:rFonts w:ascii="Times New Roman" w:hAnsi="Times New Roman"/>
                <w:bCs/>
                <w:sz w:val="24"/>
                <w:szCs w:val="24"/>
                <w:lang w:eastAsia="en-US"/>
              </w:rPr>
              <w:t xml:space="preserve">Низкая </w:t>
            </w:r>
            <w:r w:rsidRPr="004B123F">
              <w:rPr>
                <w:rFonts w:ascii="Times New Roman" w:hAnsi="Times New Roman"/>
                <w:sz w:val="24"/>
                <w:szCs w:val="24"/>
                <w:lang w:eastAsia="en-US"/>
              </w:rPr>
              <w:t>степень дифференцировки</w:t>
            </w:r>
            <w:r w:rsidRPr="004B123F">
              <w:rPr>
                <w:rFonts w:ascii="Times New Roman" w:hAnsi="Times New Roman"/>
                <w:sz w:val="24"/>
                <w:szCs w:val="24"/>
                <w:lang w:val="en-US" w:eastAsia="en-US"/>
              </w:rPr>
              <w:t xml:space="preserve"> </w:t>
            </w:r>
            <w:r w:rsidRPr="004B123F">
              <w:rPr>
                <w:rFonts w:ascii="Times New Roman" w:hAnsi="Times New Roman"/>
                <w:sz w:val="24"/>
                <w:szCs w:val="24"/>
                <w:lang w:eastAsia="en-US"/>
              </w:rPr>
              <w:t xml:space="preserve"> </w:t>
            </w:r>
          </w:p>
        </w:tc>
        <w:tc>
          <w:tcPr>
            <w:tcW w:w="910" w:type="dxa"/>
            <w:tcBorders>
              <w:top w:val="single" w:sz="4" w:space="0" w:color="auto"/>
              <w:left w:val="single" w:sz="4" w:space="0" w:color="auto"/>
              <w:bottom w:val="single" w:sz="4" w:space="0" w:color="auto"/>
              <w:right w:val="single" w:sz="4" w:space="0" w:color="auto"/>
            </w:tcBorders>
            <w:vAlign w:val="center"/>
          </w:tcPr>
          <w:p w14:paraId="1ABBA738"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1,086</w:t>
            </w:r>
          </w:p>
        </w:tc>
        <w:tc>
          <w:tcPr>
            <w:tcW w:w="826" w:type="dxa"/>
            <w:tcBorders>
              <w:top w:val="single" w:sz="4" w:space="0" w:color="auto"/>
              <w:left w:val="single" w:sz="4" w:space="0" w:color="auto"/>
              <w:bottom w:val="single" w:sz="4" w:space="0" w:color="auto"/>
              <w:right w:val="single" w:sz="4" w:space="0" w:color="auto"/>
            </w:tcBorders>
            <w:vAlign w:val="center"/>
          </w:tcPr>
          <w:p w14:paraId="2C0ACA77"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0,841</w:t>
            </w:r>
          </w:p>
        </w:tc>
        <w:tc>
          <w:tcPr>
            <w:tcW w:w="952" w:type="dxa"/>
            <w:tcBorders>
              <w:top w:val="single" w:sz="4" w:space="0" w:color="auto"/>
              <w:left w:val="single" w:sz="4" w:space="0" w:color="auto"/>
              <w:bottom w:val="single" w:sz="4" w:space="0" w:color="auto"/>
              <w:right w:val="single" w:sz="4" w:space="0" w:color="auto"/>
            </w:tcBorders>
            <w:vAlign w:val="center"/>
          </w:tcPr>
          <w:p w14:paraId="3505F6C5"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2,311</w:t>
            </w:r>
          </w:p>
        </w:tc>
        <w:tc>
          <w:tcPr>
            <w:tcW w:w="546" w:type="dxa"/>
            <w:tcBorders>
              <w:top w:val="single" w:sz="4" w:space="0" w:color="auto"/>
              <w:left w:val="single" w:sz="4" w:space="0" w:color="auto"/>
              <w:bottom w:val="single" w:sz="4" w:space="0" w:color="auto"/>
              <w:right w:val="single" w:sz="4" w:space="0" w:color="auto"/>
            </w:tcBorders>
            <w:vAlign w:val="center"/>
          </w:tcPr>
          <w:p w14:paraId="40D8BE9B"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w:t>
            </w:r>
          </w:p>
        </w:tc>
        <w:tc>
          <w:tcPr>
            <w:tcW w:w="853" w:type="dxa"/>
            <w:tcBorders>
              <w:top w:val="single" w:sz="4" w:space="0" w:color="auto"/>
              <w:left w:val="single" w:sz="4" w:space="0" w:color="auto"/>
              <w:bottom w:val="single" w:sz="4" w:space="0" w:color="auto"/>
              <w:right w:val="single" w:sz="4" w:space="0" w:color="auto"/>
            </w:tcBorders>
            <w:vAlign w:val="center"/>
          </w:tcPr>
          <w:p w14:paraId="56150E62" w14:textId="77777777" w:rsidR="00A9409C" w:rsidRPr="00E7133A" w:rsidRDefault="00A9409C" w:rsidP="00094F6F">
            <w:pPr>
              <w:tabs>
                <w:tab w:val="left" w:pos="0"/>
              </w:tabs>
              <w:spacing w:after="0" w:line="240" w:lineRule="auto"/>
              <w:jc w:val="center"/>
              <w:rPr>
                <w:rFonts w:ascii="Times New Roman" w:hAnsi="Times New Roman"/>
                <w:b/>
                <w:bCs/>
                <w:sz w:val="24"/>
                <w:szCs w:val="24"/>
                <w:lang w:eastAsia="en-US"/>
              </w:rPr>
            </w:pPr>
            <w:r w:rsidRPr="00E7133A">
              <w:rPr>
                <w:rFonts w:ascii="Times New Roman" w:hAnsi="Times New Roman"/>
                <w:b/>
                <w:bCs/>
                <w:sz w:val="24"/>
                <w:szCs w:val="24"/>
                <w:lang w:eastAsia="en-US"/>
              </w:rPr>
              <w:t>0,000</w:t>
            </w:r>
          </w:p>
        </w:tc>
        <w:tc>
          <w:tcPr>
            <w:tcW w:w="952" w:type="dxa"/>
            <w:tcBorders>
              <w:top w:val="single" w:sz="4" w:space="0" w:color="auto"/>
              <w:left w:val="single" w:sz="4" w:space="0" w:color="auto"/>
              <w:bottom w:val="single" w:sz="4" w:space="0" w:color="auto"/>
              <w:right w:val="single" w:sz="4" w:space="0" w:color="auto"/>
            </w:tcBorders>
            <w:vAlign w:val="center"/>
          </w:tcPr>
          <w:p w14:paraId="00D5A9C9"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1,032</w:t>
            </w:r>
          </w:p>
        </w:tc>
        <w:tc>
          <w:tcPr>
            <w:tcW w:w="1106" w:type="dxa"/>
            <w:tcBorders>
              <w:top w:val="single" w:sz="4" w:space="0" w:color="auto"/>
              <w:left w:val="single" w:sz="4" w:space="0" w:color="auto"/>
              <w:bottom w:val="single" w:sz="4" w:space="0" w:color="auto"/>
              <w:right w:val="single" w:sz="4" w:space="0" w:color="auto"/>
            </w:tcBorders>
            <w:vAlign w:val="center"/>
          </w:tcPr>
          <w:p w14:paraId="1FDF31E1"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1,001</w:t>
            </w:r>
          </w:p>
        </w:tc>
        <w:tc>
          <w:tcPr>
            <w:tcW w:w="1072" w:type="dxa"/>
            <w:tcBorders>
              <w:top w:val="single" w:sz="4" w:space="0" w:color="auto"/>
              <w:left w:val="single" w:sz="4" w:space="0" w:color="auto"/>
              <w:bottom w:val="single" w:sz="4" w:space="0" w:color="auto"/>
              <w:right w:val="single" w:sz="4" w:space="0" w:color="auto"/>
            </w:tcBorders>
            <w:vAlign w:val="center"/>
          </w:tcPr>
          <w:p w14:paraId="50893E82"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3,454</w:t>
            </w:r>
          </w:p>
        </w:tc>
      </w:tr>
      <w:tr w:rsidR="00A9409C" w:rsidRPr="004B123F" w14:paraId="6AB8B773" w14:textId="77777777" w:rsidTr="00094F6F">
        <w:trPr>
          <w:trHeight w:val="340"/>
          <w:jc w:val="center"/>
        </w:trPr>
        <w:tc>
          <w:tcPr>
            <w:tcW w:w="2366" w:type="dxa"/>
            <w:tcBorders>
              <w:top w:val="single" w:sz="4" w:space="0" w:color="auto"/>
              <w:left w:val="single" w:sz="4" w:space="0" w:color="auto"/>
              <w:bottom w:val="single" w:sz="4" w:space="0" w:color="auto"/>
              <w:right w:val="single" w:sz="4" w:space="0" w:color="auto"/>
            </w:tcBorders>
          </w:tcPr>
          <w:p w14:paraId="14EF45FD" w14:textId="77777777" w:rsidR="00A9409C" w:rsidRPr="004B123F" w:rsidRDefault="00A9409C" w:rsidP="00094F6F">
            <w:pPr>
              <w:spacing w:after="0" w:line="240" w:lineRule="auto"/>
              <w:jc w:val="both"/>
              <w:rPr>
                <w:rFonts w:ascii="Times New Roman" w:hAnsi="Times New Roman"/>
                <w:bCs/>
                <w:sz w:val="24"/>
                <w:szCs w:val="24"/>
                <w:lang w:eastAsia="en-US"/>
              </w:rPr>
            </w:pPr>
            <w:r w:rsidRPr="004B123F">
              <w:rPr>
                <w:rFonts w:ascii="Times New Roman" w:hAnsi="Times New Roman"/>
                <w:sz w:val="24"/>
                <w:szCs w:val="24"/>
                <w:lang w:eastAsia="en-US"/>
              </w:rPr>
              <w:t>Недифференцированная карцинома</w:t>
            </w:r>
          </w:p>
        </w:tc>
        <w:tc>
          <w:tcPr>
            <w:tcW w:w="910" w:type="dxa"/>
            <w:tcBorders>
              <w:top w:val="single" w:sz="4" w:space="0" w:color="auto"/>
              <w:left w:val="single" w:sz="4" w:space="0" w:color="auto"/>
              <w:bottom w:val="single" w:sz="4" w:space="0" w:color="auto"/>
              <w:right w:val="single" w:sz="4" w:space="0" w:color="auto"/>
            </w:tcBorders>
            <w:vAlign w:val="center"/>
          </w:tcPr>
          <w:p w14:paraId="3A5CABFD"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-3,451</w:t>
            </w:r>
          </w:p>
        </w:tc>
        <w:tc>
          <w:tcPr>
            <w:tcW w:w="826" w:type="dxa"/>
            <w:tcBorders>
              <w:top w:val="single" w:sz="4" w:space="0" w:color="auto"/>
              <w:left w:val="single" w:sz="4" w:space="0" w:color="auto"/>
              <w:bottom w:val="single" w:sz="4" w:space="0" w:color="auto"/>
              <w:right w:val="single" w:sz="4" w:space="0" w:color="auto"/>
            </w:tcBorders>
            <w:vAlign w:val="center"/>
          </w:tcPr>
          <w:p w14:paraId="103EE1C7"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0,840</w:t>
            </w:r>
          </w:p>
        </w:tc>
        <w:tc>
          <w:tcPr>
            <w:tcW w:w="952" w:type="dxa"/>
            <w:tcBorders>
              <w:top w:val="single" w:sz="4" w:space="0" w:color="auto"/>
              <w:left w:val="single" w:sz="4" w:space="0" w:color="auto"/>
              <w:bottom w:val="single" w:sz="4" w:space="0" w:color="auto"/>
              <w:right w:val="single" w:sz="4" w:space="0" w:color="auto"/>
            </w:tcBorders>
            <w:vAlign w:val="center"/>
          </w:tcPr>
          <w:p w14:paraId="5768531A"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0,783</w:t>
            </w:r>
          </w:p>
        </w:tc>
        <w:tc>
          <w:tcPr>
            <w:tcW w:w="546" w:type="dxa"/>
            <w:tcBorders>
              <w:top w:val="single" w:sz="4" w:space="0" w:color="auto"/>
              <w:left w:val="single" w:sz="4" w:space="0" w:color="auto"/>
              <w:bottom w:val="single" w:sz="4" w:space="0" w:color="auto"/>
              <w:right w:val="single" w:sz="4" w:space="0" w:color="auto"/>
            </w:tcBorders>
            <w:vAlign w:val="center"/>
          </w:tcPr>
          <w:p w14:paraId="5848F50B"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w:t>
            </w:r>
          </w:p>
        </w:tc>
        <w:tc>
          <w:tcPr>
            <w:tcW w:w="853" w:type="dxa"/>
            <w:tcBorders>
              <w:top w:val="single" w:sz="4" w:space="0" w:color="auto"/>
              <w:left w:val="single" w:sz="4" w:space="0" w:color="auto"/>
              <w:bottom w:val="single" w:sz="4" w:space="0" w:color="auto"/>
              <w:right w:val="single" w:sz="4" w:space="0" w:color="auto"/>
            </w:tcBorders>
            <w:vAlign w:val="center"/>
          </w:tcPr>
          <w:p w14:paraId="01ED96B8"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0,846</w:t>
            </w:r>
          </w:p>
        </w:tc>
        <w:tc>
          <w:tcPr>
            <w:tcW w:w="952" w:type="dxa"/>
            <w:tcBorders>
              <w:top w:val="single" w:sz="4" w:space="0" w:color="auto"/>
              <w:left w:val="single" w:sz="4" w:space="0" w:color="auto"/>
              <w:bottom w:val="single" w:sz="4" w:space="0" w:color="auto"/>
              <w:right w:val="single" w:sz="4" w:space="0" w:color="auto"/>
            </w:tcBorders>
            <w:vAlign w:val="center"/>
          </w:tcPr>
          <w:p w14:paraId="12BBBDA7"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0,453</w:t>
            </w:r>
          </w:p>
        </w:tc>
        <w:tc>
          <w:tcPr>
            <w:tcW w:w="1106" w:type="dxa"/>
            <w:tcBorders>
              <w:top w:val="single" w:sz="4" w:space="0" w:color="auto"/>
              <w:left w:val="single" w:sz="4" w:space="0" w:color="auto"/>
              <w:bottom w:val="single" w:sz="4" w:space="0" w:color="auto"/>
              <w:right w:val="single" w:sz="4" w:space="0" w:color="auto"/>
            </w:tcBorders>
            <w:vAlign w:val="center"/>
          </w:tcPr>
          <w:p w14:paraId="47677AF9"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0,355</w:t>
            </w:r>
          </w:p>
        </w:tc>
        <w:tc>
          <w:tcPr>
            <w:tcW w:w="1072" w:type="dxa"/>
            <w:tcBorders>
              <w:top w:val="single" w:sz="4" w:space="0" w:color="auto"/>
              <w:left w:val="single" w:sz="4" w:space="0" w:color="auto"/>
              <w:bottom w:val="single" w:sz="4" w:space="0" w:color="auto"/>
              <w:right w:val="single" w:sz="4" w:space="0" w:color="auto"/>
            </w:tcBorders>
            <w:vAlign w:val="center"/>
          </w:tcPr>
          <w:p w14:paraId="67E581FD"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1,864</w:t>
            </w:r>
          </w:p>
        </w:tc>
      </w:tr>
      <w:tr w:rsidR="00A9409C" w:rsidRPr="004B123F" w14:paraId="7AB9D272" w14:textId="77777777" w:rsidTr="00094F6F">
        <w:trPr>
          <w:trHeight w:val="340"/>
          <w:jc w:val="center"/>
        </w:trPr>
        <w:tc>
          <w:tcPr>
            <w:tcW w:w="2366" w:type="dxa"/>
            <w:tcBorders>
              <w:top w:val="single" w:sz="4" w:space="0" w:color="auto"/>
              <w:left w:val="single" w:sz="4" w:space="0" w:color="auto"/>
              <w:bottom w:val="single" w:sz="4" w:space="0" w:color="auto"/>
              <w:right w:val="single" w:sz="4" w:space="0" w:color="BFBFBF"/>
            </w:tcBorders>
          </w:tcPr>
          <w:p w14:paraId="4B62B03C" w14:textId="77777777" w:rsidR="00A9409C" w:rsidRPr="004B123F" w:rsidRDefault="00A9409C" w:rsidP="00094F6F">
            <w:pPr>
              <w:spacing w:after="0" w:line="240" w:lineRule="auto"/>
              <w:jc w:val="both"/>
              <w:rPr>
                <w:rFonts w:ascii="Times New Roman" w:hAnsi="Times New Roman"/>
                <w:bCs/>
                <w:sz w:val="24"/>
                <w:szCs w:val="24"/>
                <w:lang w:eastAsia="en-US"/>
              </w:rPr>
            </w:pPr>
            <w:r w:rsidRPr="004B123F">
              <w:rPr>
                <w:rFonts w:ascii="Times New Roman" w:hAnsi="Times New Roman"/>
                <w:bCs/>
                <w:sz w:val="24"/>
                <w:szCs w:val="24"/>
                <w:lang w:eastAsia="en-US"/>
              </w:rPr>
              <w:t xml:space="preserve">Функциональные осложнения </w:t>
            </w:r>
          </w:p>
        </w:tc>
        <w:tc>
          <w:tcPr>
            <w:tcW w:w="910" w:type="dxa"/>
            <w:tcBorders>
              <w:top w:val="single" w:sz="4" w:space="0" w:color="auto"/>
              <w:left w:val="single" w:sz="4" w:space="0" w:color="auto"/>
              <w:bottom w:val="single" w:sz="4" w:space="0" w:color="auto"/>
              <w:right w:val="single" w:sz="4" w:space="0" w:color="auto"/>
            </w:tcBorders>
            <w:vAlign w:val="center"/>
          </w:tcPr>
          <w:p w14:paraId="240FD87F"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1,320</w:t>
            </w:r>
          </w:p>
        </w:tc>
        <w:tc>
          <w:tcPr>
            <w:tcW w:w="826" w:type="dxa"/>
            <w:tcBorders>
              <w:top w:val="single" w:sz="4" w:space="0" w:color="auto"/>
              <w:left w:val="single" w:sz="4" w:space="0" w:color="auto"/>
              <w:bottom w:val="single" w:sz="4" w:space="0" w:color="auto"/>
              <w:right w:val="single" w:sz="4" w:space="0" w:color="auto"/>
            </w:tcBorders>
            <w:vAlign w:val="center"/>
          </w:tcPr>
          <w:p w14:paraId="0EF14CCB"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0,984</w:t>
            </w:r>
          </w:p>
        </w:tc>
        <w:tc>
          <w:tcPr>
            <w:tcW w:w="952" w:type="dxa"/>
            <w:tcBorders>
              <w:top w:val="single" w:sz="4" w:space="0" w:color="auto"/>
              <w:left w:val="single" w:sz="4" w:space="0" w:color="auto"/>
              <w:bottom w:val="single" w:sz="4" w:space="0" w:color="auto"/>
              <w:right w:val="single" w:sz="4" w:space="0" w:color="auto"/>
            </w:tcBorders>
            <w:vAlign w:val="center"/>
          </w:tcPr>
          <w:p w14:paraId="5A1BB441"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3,452</w:t>
            </w:r>
          </w:p>
        </w:tc>
        <w:tc>
          <w:tcPr>
            <w:tcW w:w="546" w:type="dxa"/>
            <w:tcBorders>
              <w:top w:val="single" w:sz="4" w:space="0" w:color="auto"/>
              <w:left w:val="single" w:sz="4" w:space="0" w:color="auto"/>
              <w:bottom w:val="single" w:sz="4" w:space="0" w:color="auto"/>
              <w:right w:val="single" w:sz="4" w:space="0" w:color="auto"/>
            </w:tcBorders>
            <w:vAlign w:val="center"/>
          </w:tcPr>
          <w:p w14:paraId="73DEF767"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w:t>
            </w:r>
          </w:p>
        </w:tc>
        <w:tc>
          <w:tcPr>
            <w:tcW w:w="853" w:type="dxa"/>
            <w:tcBorders>
              <w:top w:val="single" w:sz="4" w:space="0" w:color="auto"/>
              <w:left w:val="single" w:sz="4" w:space="0" w:color="auto"/>
              <w:bottom w:val="single" w:sz="4" w:space="0" w:color="auto"/>
              <w:right w:val="single" w:sz="4" w:space="0" w:color="auto"/>
            </w:tcBorders>
            <w:vAlign w:val="center"/>
          </w:tcPr>
          <w:p w14:paraId="4BC629CC" w14:textId="77777777" w:rsidR="00A9409C" w:rsidRPr="00E7133A" w:rsidRDefault="00A9409C" w:rsidP="00094F6F">
            <w:pPr>
              <w:tabs>
                <w:tab w:val="left" w:pos="0"/>
              </w:tabs>
              <w:spacing w:after="0" w:line="240" w:lineRule="auto"/>
              <w:jc w:val="center"/>
              <w:rPr>
                <w:rFonts w:ascii="Times New Roman" w:hAnsi="Times New Roman"/>
                <w:b/>
                <w:bCs/>
                <w:sz w:val="24"/>
                <w:szCs w:val="24"/>
                <w:lang w:eastAsia="en-US"/>
              </w:rPr>
            </w:pPr>
            <w:r w:rsidRPr="00E7133A">
              <w:rPr>
                <w:rFonts w:ascii="Times New Roman" w:hAnsi="Times New Roman"/>
                <w:b/>
                <w:bCs/>
                <w:sz w:val="24"/>
                <w:szCs w:val="24"/>
                <w:lang w:eastAsia="en-US"/>
              </w:rPr>
              <w:t>0,000</w:t>
            </w:r>
          </w:p>
        </w:tc>
        <w:tc>
          <w:tcPr>
            <w:tcW w:w="952" w:type="dxa"/>
            <w:tcBorders>
              <w:top w:val="single" w:sz="4" w:space="0" w:color="auto"/>
              <w:left w:val="single" w:sz="4" w:space="0" w:color="auto"/>
              <w:bottom w:val="single" w:sz="4" w:space="0" w:color="auto"/>
              <w:right w:val="single" w:sz="4" w:space="0" w:color="auto"/>
            </w:tcBorders>
            <w:vAlign w:val="center"/>
          </w:tcPr>
          <w:p w14:paraId="0C3E48DC"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1,781</w:t>
            </w:r>
          </w:p>
        </w:tc>
        <w:tc>
          <w:tcPr>
            <w:tcW w:w="1106" w:type="dxa"/>
            <w:tcBorders>
              <w:top w:val="single" w:sz="4" w:space="0" w:color="auto"/>
              <w:left w:val="single" w:sz="4" w:space="0" w:color="auto"/>
              <w:bottom w:val="single" w:sz="4" w:space="0" w:color="auto"/>
              <w:right w:val="single" w:sz="4" w:space="0" w:color="auto"/>
            </w:tcBorders>
            <w:vAlign w:val="center"/>
          </w:tcPr>
          <w:p w14:paraId="4C7DD9EA"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1,235</w:t>
            </w:r>
          </w:p>
        </w:tc>
        <w:tc>
          <w:tcPr>
            <w:tcW w:w="1072" w:type="dxa"/>
            <w:tcBorders>
              <w:top w:val="single" w:sz="4" w:space="0" w:color="auto"/>
              <w:left w:val="single" w:sz="4" w:space="0" w:color="auto"/>
              <w:bottom w:val="single" w:sz="4" w:space="0" w:color="auto"/>
              <w:right w:val="single" w:sz="4" w:space="0" w:color="auto"/>
            </w:tcBorders>
            <w:vAlign w:val="center"/>
          </w:tcPr>
          <w:p w14:paraId="131DD67A"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2,642</w:t>
            </w:r>
          </w:p>
        </w:tc>
      </w:tr>
      <w:tr w:rsidR="00A9409C" w:rsidRPr="004B123F" w14:paraId="5B1868C2" w14:textId="77777777" w:rsidTr="00094F6F">
        <w:trPr>
          <w:trHeight w:val="340"/>
          <w:jc w:val="center"/>
        </w:trPr>
        <w:tc>
          <w:tcPr>
            <w:tcW w:w="2366" w:type="dxa"/>
            <w:tcBorders>
              <w:top w:val="single" w:sz="4" w:space="0" w:color="auto"/>
              <w:left w:val="single" w:sz="4" w:space="0" w:color="auto"/>
              <w:bottom w:val="single" w:sz="4" w:space="0" w:color="auto"/>
              <w:right w:val="single" w:sz="4" w:space="0" w:color="BFBFBF"/>
            </w:tcBorders>
          </w:tcPr>
          <w:p w14:paraId="45CB4E3C" w14:textId="77777777" w:rsidR="00A9409C" w:rsidRPr="004B123F" w:rsidRDefault="00A9409C" w:rsidP="00094F6F">
            <w:pPr>
              <w:spacing w:after="0" w:line="240" w:lineRule="auto"/>
              <w:jc w:val="both"/>
              <w:rPr>
                <w:rFonts w:ascii="Times New Roman" w:hAnsi="Times New Roman"/>
                <w:bCs/>
                <w:sz w:val="24"/>
                <w:szCs w:val="24"/>
                <w:lang w:eastAsia="en-US"/>
              </w:rPr>
            </w:pPr>
            <w:r w:rsidRPr="004B123F">
              <w:rPr>
                <w:rFonts w:ascii="Times New Roman" w:hAnsi="Times New Roman"/>
                <w:sz w:val="24"/>
                <w:szCs w:val="24"/>
              </w:rPr>
              <w:t>Сопутствующая патология</w:t>
            </w:r>
          </w:p>
        </w:tc>
        <w:tc>
          <w:tcPr>
            <w:tcW w:w="910" w:type="dxa"/>
            <w:tcBorders>
              <w:top w:val="single" w:sz="4" w:space="0" w:color="auto"/>
              <w:left w:val="single" w:sz="4" w:space="0" w:color="auto"/>
              <w:bottom w:val="single" w:sz="4" w:space="0" w:color="auto"/>
              <w:right w:val="single" w:sz="4" w:space="0" w:color="auto"/>
            </w:tcBorders>
            <w:vAlign w:val="center"/>
          </w:tcPr>
          <w:p w14:paraId="23852027"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-3,532</w:t>
            </w:r>
          </w:p>
        </w:tc>
        <w:tc>
          <w:tcPr>
            <w:tcW w:w="826" w:type="dxa"/>
            <w:tcBorders>
              <w:top w:val="single" w:sz="4" w:space="0" w:color="auto"/>
              <w:left w:val="single" w:sz="4" w:space="0" w:color="auto"/>
              <w:bottom w:val="single" w:sz="4" w:space="0" w:color="auto"/>
              <w:right w:val="single" w:sz="4" w:space="0" w:color="auto"/>
            </w:tcBorders>
            <w:vAlign w:val="center"/>
          </w:tcPr>
          <w:p w14:paraId="452F2F2A"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1,486</w:t>
            </w:r>
          </w:p>
        </w:tc>
        <w:tc>
          <w:tcPr>
            <w:tcW w:w="952" w:type="dxa"/>
            <w:tcBorders>
              <w:top w:val="single" w:sz="4" w:space="0" w:color="auto"/>
              <w:left w:val="single" w:sz="4" w:space="0" w:color="auto"/>
              <w:bottom w:val="single" w:sz="4" w:space="0" w:color="auto"/>
              <w:right w:val="single" w:sz="4" w:space="0" w:color="auto"/>
            </w:tcBorders>
            <w:vAlign w:val="center"/>
          </w:tcPr>
          <w:p w14:paraId="3E314489"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0,784</w:t>
            </w:r>
          </w:p>
        </w:tc>
        <w:tc>
          <w:tcPr>
            <w:tcW w:w="546" w:type="dxa"/>
            <w:tcBorders>
              <w:top w:val="single" w:sz="4" w:space="0" w:color="auto"/>
              <w:left w:val="single" w:sz="4" w:space="0" w:color="auto"/>
              <w:bottom w:val="single" w:sz="4" w:space="0" w:color="auto"/>
              <w:right w:val="single" w:sz="4" w:space="0" w:color="auto"/>
            </w:tcBorders>
            <w:vAlign w:val="center"/>
          </w:tcPr>
          <w:p w14:paraId="031F134A"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1</w:t>
            </w:r>
          </w:p>
        </w:tc>
        <w:tc>
          <w:tcPr>
            <w:tcW w:w="853" w:type="dxa"/>
            <w:tcBorders>
              <w:top w:val="single" w:sz="4" w:space="0" w:color="auto"/>
              <w:left w:val="single" w:sz="4" w:space="0" w:color="auto"/>
              <w:bottom w:val="single" w:sz="4" w:space="0" w:color="auto"/>
              <w:right w:val="single" w:sz="4" w:space="0" w:color="auto"/>
            </w:tcBorders>
            <w:vAlign w:val="center"/>
          </w:tcPr>
          <w:p w14:paraId="5A33B75A"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0,335</w:t>
            </w:r>
          </w:p>
        </w:tc>
        <w:tc>
          <w:tcPr>
            <w:tcW w:w="952" w:type="dxa"/>
            <w:tcBorders>
              <w:top w:val="single" w:sz="4" w:space="0" w:color="auto"/>
              <w:left w:val="single" w:sz="4" w:space="0" w:color="auto"/>
              <w:bottom w:val="single" w:sz="4" w:space="0" w:color="auto"/>
              <w:right w:val="single" w:sz="4" w:space="0" w:color="auto"/>
            </w:tcBorders>
            <w:vAlign w:val="center"/>
          </w:tcPr>
          <w:p w14:paraId="0D0DDDC1"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0,322</w:t>
            </w:r>
          </w:p>
        </w:tc>
        <w:tc>
          <w:tcPr>
            <w:tcW w:w="1106" w:type="dxa"/>
            <w:tcBorders>
              <w:top w:val="single" w:sz="4" w:space="0" w:color="auto"/>
              <w:left w:val="single" w:sz="4" w:space="0" w:color="auto"/>
              <w:bottom w:val="single" w:sz="4" w:space="0" w:color="auto"/>
              <w:right w:val="single" w:sz="4" w:space="0" w:color="auto"/>
            </w:tcBorders>
            <w:vAlign w:val="center"/>
          </w:tcPr>
          <w:p w14:paraId="6800E85D"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0,250</w:t>
            </w:r>
          </w:p>
        </w:tc>
        <w:tc>
          <w:tcPr>
            <w:tcW w:w="1072" w:type="dxa"/>
            <w:tcBorders>
              <w:top w:val="single" w:sz="4" w:space="0" w:color="auto"/>
              <w:left w:val="single" w:sz="4" w:space="0" w:color="auto"/>
              <w:bottom w:val="single" w:sz="4" w:space="0" w:color="auto"/>
              <w:right w:val="single" w:sz="4" w:space="0" w:color="auto"/>
            </w:tcBorders>
            <w:vAlign w:val="center"/>
          </w:tcPr>
          <w:p w14:paraId="05DF1AEB" w14:textId="77777777" w:rsidR="00A9409C" w:rsidRPr="004B123F" w:rsidRDefault="00A9409C" w:rsidP="00094F6F">
            <w:pPr>
              <w:tabs>
                <w:tab w:val="left" w:pos="0"/>
              </w:tabs>
              <w:spacing w:after="0" w:line="240" w:lineRule="auto"/>
              <w:jc w:val="center"/>
              <w:rPr>
                <w:rFonts w:ascii="Times New Roman" w:hAnsi="Times New Roman"/>
                <w:sz w:val="24"/>
                <w:szCs w:val="24"/>
                <w:lang w:eastAsia="en-US"/>
              </w:rPr>
            </w:pPr>
            <w:r w:rsidRPr="004B123F">
              <w:rPr>
                <w:rFonts w:ascii="Times New Roman" w:hAnsi="Times New Roman"/>
                <w:sz w:val="24"/>
                <w:szCs w:val="24"/>
                <w:lang w:eastAsia="en-US"/>
              </w:rPr>
              <w:t>8,312</w:t>
            </w:r>
          </w:p>
        </w:tc>
      </w:tr>
    </w:tbl>
    <w:p w14:paraId="5277CDF1" w14:textId="77777777" w:rsidR="00A9409C" w:rsidRDefault="00A9409C" w:rsidP="00A940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sz w:val="28"/>
          <w:szCs w:val="28"/>
        </w:rPr>
      </w:pPr>
    </w:p>
    <w:p w14:paraId="59246CDE" w14:textId="77777777" w:rsidR="00A9409C" w:rsidRDefault="00A9409C" w:rsidP="00A940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sz w:val="28"/>
          <w:szCs w:val="28"/>
        </w:rPr>
      </w:pPr>
    </w:p>
    <w:p w14:paraId="65716414" w14:textId="77777777" w:rsidR="00A9409C" w:rsidRPr="00E63035" w:rsidRDefault="00A9409C" w:rsidP="00A940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
          <w:sz w:val="28"/>
          <w:szCs w:val="28"/>
        </w:rPr>
      </w:pPr>
      <w:r>
        <w:rPr>
          <w:rFonts w:ascii="Times New Roman" w:hAnsi="Times New Roman"/>
          <w:bCs/>
          <w:sz w:val="28"/>
          <w:szCs w:val="28"/>
        </w:rPr>
        <w:t>Таким образом, п</w:t>
      </w:r>
      <w:r w:rsidRPr="00145B66">
        <w:rPr>
          <w:rFonts w:ascii="Times New Roman" w:hAnsi="Times New Roman"/>
          <w:bCs/>
          <w:sz w:val="28"/>
          <w:szCs w:val="28"/>
        </w:rPr>
        <w:t>ри изучении выживаемости больных с осложнениями после радикального хирургического лечения рака ободочной кишки было выявлено, что наличие функциональных осложнений значительно сокращают общую одногодичную и 3-летнюю выживаемость. По результатам однофакторного и многофакторного регрессионного анализа Кокса, анализируя наличие факторов, влияющих на выживаемость больных, было выявлено, что такие показатели как возраст старше 60</w:t>
      </w:r>
      <w:r>
        <w:rPr>
          <w:rFonts w:ascii="Times New Roman" w:hAnsi="Times New Roman"/>
          <w:bCs/>
          <w:sz w:val="28"/>
          <w:szCs w:val="28"/>
        </w:rPr>
        <w:t xml:space="preserve">–69 </w:t>
      </w:r>
      <w:r w:rsidRPr="00145B66">
        <w:rPr>
          <w:rFonts w:ascii="Times New Roman" w:hAnsi="Times New Roman"/>
          <w:bCs/>
          <w:sz w:val="28"/>
          <w:szCs w:val="28"/>
        </w:rPr>
        <w:t xml:space="preserve">лет, </w:t>
      </w:r>
      <w:r w:rsidRPr="00145B66">
        <w:rPr>
          <w:rFonts w:ascii="Times New Roman" w:hAnsi="Times New Roman"/>
          <w:bCs/>
          <w:sz w:val="28"/>
          <w:szCs w:val="28"/>
          <w:lang w:val="en-US"/>
        </w:rPr>
        <w:t>III</w:t>
      </w:r>
      <w:r w:rsidRPr="00145B66">
        <w:rPr>
          <w:rFonts w:ascii="Times New Roman" w:hAnsi="Times New Roman"/>
          <w:bCs/>
          <w:sz w:val="28"/>
          <w:szCs w:val="28"/>
        </w:rPr>
        <w:t xml:space="preserve"> </w:t>
      </w:r>
      <w:r w:rsidRPr="00145B66">
        <w:rPr>
          <w:rFonts w:ascii="Times New Roman" w:hAnsi="Times New Roman"/>
          <w:sz w:val="28"/>
          <w:szCs w:val="28"/>
        </w:rPr>
        <w:t xml:space="preserve">стадия рака, низкая дифференцировка опухоли, функциональные осложнения </w:t>
      </w:r>
      <w:r w:rsidRPr="00145B66">
        <w:rPr>
          <w:rFonts w:ascii="Times New Roman" w:hAnsi="Times New Roman"/>
          <w:bCs/>
          <w:sz w:val="28"/>
          <w:szCs w:val="28"/>
        </w:rPr>
        <w:t>оказывают неблагоприятное влияние на исход. При составлении программы реабилитации для больных после радикального хирургического лечения рака ободочной кишки были учтены факторы, показавшие статистическую значимость при однофакторном и многофакторном анализе. Реабилитация была направлена на диагностику и коррекцию осложнений функционального характера.</w:t>
      </w:r>
    </w:p>
    <w:p w14:paraId="5655143A" w14:textId="101B8A64" w:rsidR="00A9409C" w:rsidRDefault="00A9409C">
      <w:pPr>
        <w:spacing w:after="160" w:line="259" w:lineRule="auto"/>
      </w:pPr>
      <w:r>
        <w:br w:type="page"/>
      </w:r>
    </w:p>
    <w:p w14:paraId="3A96BB0A" w14:textId="77777777" w:rsidR="00EF5CD6" w:rsidRPr="00EF5CD6" w:rsidRDefault="00EF5CD6" w:rsidP="00EF5CD6">
      <w:pPr>
        <w:pStyle w:val="a6"/>
        <w:numPr>
          <w:ilvl w:val="0"/>
          <w:numId w:val="13"/>
        </w:numPr>
        <w:tabs>
          <w:tab w:val="left" w:pos="0"/>
          <w:tab w:val="left" w:pos="851"/>
        </w:tabs>
        <w:spacing w:after="0" w:line="240" w:lineRule="auto"/>
        <w:ind w:left="0" w:firstLine="567"/>
        <w:jc w:val="both"/>
        <w:rPr>
          <w:rFonts w:ascii="Times New Roman" w:hAnsi="Times New Roman"/>
          <w:b/>
          <w:bCs/>
          <w:caps/>
          <w:sz w:val="28"/>
          <w:szCs w:val="28"/>
        </w:rPr>
      </w:pPr>
      <w:r w:rsidRPr="00EF5CD6">
        <w:rPr>
          <w:rFonts w:ascii="Times New Roman" w:hAnsi="Times New Roman"/>
          <w:b/>
          <w:bCs/>
          <w:caps/>
          <w:sz w:val="28"/>
          <w:szCs w:val="28"/>
        </w:rPr>
        <w:lastRenderedPageBreak/>
        <w:t>Оценка функциональных осложнений, качества жизни и реабилитационных мероприятий после хирургического лечения</w:t>
      </w:r>
    </w:p>
    <w:p w14:paraId="439251C3" w14:textId="77777777" w:rsidR="00EF5CD6" w:rsidRPr="00D11BAB" w:rsidRDefault="00EF5CD6" w:rsidP="00EF5CD6">
      <w:pPr>
        <w:tabs>
          <w:tab w:val="left" w:pos="0"/>
        </w:tabs>
        <w:spacing w:after="0" w:line="240" w:lineRule="auto"/>
        <w:ind w:firstLine="567"/>
        <w:jc w:val="both"/>
        <w:rPr>
          <w:rFonts w:ascii="Times New Roman" w:hAnsi="Times New Roman"/>
          <w:bCs/>
          <w:sz w:val="28"/>
          <w:szCs w:val="28"/>
        </w:rPr>
      </w:pPr>
    </w:p>
    <w:p w14:paraId="3C931352" w14:textId="106DCE15" w:rsidR="00EF5CD6" w:rsidRPr="00C41F1F" w:rsidRDefault="00EF5CD6" w:rsidP="00C41F1F">
      <w:pPr>
        <w:tabs>
          <w:tab w:val="left" w:pos="0"/>
        </w:tabs>
        <w:spacing w:after="0" w:line="240" w:lineRule="auto"/>
        <w:ind w:firstLine="567"/>
        <w:jc w:val="both"/>
        <w:rPr>
          <w:rFonts w:ascii="Times New Roman" w:hAnsi="Times New Roman"/>
          <w:b/>
          <w:sz w:val="28"/>
          <w:szCs w:val="28"/>
        </w:rPr>
      </w:pPr>
      <w:r w:rsidRPr="00D11BAB">
        <w:rPr>
          <w:rFonts w:ascii="Times New Roman" w:hAnsi="Times New Roman"/>
          <w:b/>
          <w:sz w:val="28"/>
          <w:szCs w:val="28"/>
        </w:rPr>
        <w:t>4.1</w:t>
      </w:r>
      <w:bookmarkStart w:id="31" w:name="_Hlk40016437"/>
      <w:r>
        <w:rPr>
          <w:rFonts w:ascii="Times New Roman" w:hAnsi="Times New Roman"/>
          <w:bCs/>
          <w:sz w:val="28"/>
          <w:szCs w:val="28"/>
        </w:rPr>
        <w:t> </w:t>
      </w:r>
      <w:r w:rsidRPr="00D11BAB">
        <w:rPr>
          <w:rFonts w:ascii="Times New Roman" w:hAnsi="Times New Roman"/>
          <w:b/>
          <w:sz w:val="28"/>
          <w:szCs w:val="28"/>
          <w:lang w:bidi="kn-IN"/>
        </w:rPr>
        <w:t>Клинико-лабораторная оценка функциональных осложнений после хирургического лечения злокачественных новообразований ободочной кишки</w:t>
      </w:r>
    </w:p>
    <w:p w14:paraId="7159071B" w14:textId="77777777" w:rsidR="00EF5CD6" w:rsidRPr="00D11BAB" w:rsidRDefault="00EF5CD6" w:rsidP="00EF5CD6">
      <w:pPr>
        <w:tabs>
          <w:tab w:val="left" w:pos="0"/>
        </w:tabs>
        <w:spacing w:after="0" w:line="240" w:lineRule="auto"/>
        <w:ind w:firstLine="567"/>
        <w:jc w:val="both"/>
        <w:rPr>
          <w:rFonts w:ascii="Times New Roman" w:hAnsi="Times New Roman"/>
          <w:sz w:val="28"/>
          <w:szCs w:val="28"/>
        </w:rPr>
      </w:pPr>
      <w:r w:rsidRPr="00D11BAB">
        <w:rPr>
          <w:rFonts w:ascii="Times New Roman" w:hAnsi="Times New Roman"/>
          <w:sz w:val="28"/>
          <w:szCs w:val="28"/>
        </w:rPr>
        <w:t>Были изучены функциональные последствия хирургического лечения рака ободочной кишки у больных на сроках до 1 года после операции. Расчет доли объектов исследования в группе, имеющие одно из нарушений по отношению к общему числу наблюдений производился в процентах (%).</w:t>
      </w:r>
      <w:bookmarkEnd w:id="31"/>
      <w:r w:rsidRPr="00D11BAB">
        <w:rPr>
          <w:rFonts w:ascii="Times New Roman" w:hAnsi="Times New Roman"/>
          <w:sz w:val="28"/>
          <w:szCs w:val="28"/>
        </w:rPr>
        <w:t xml:space="preserve"> Выяснено, </w:t>
      </w:r>
      <w:r w:rsidRPr="00D11BAB">
        <w:rPr>
          <w:rFonts w:ascii="Times New Roman" w:hAnsi="Times New Roman"/>
          <w:bCs/>
          <w:sz w:val="28"/>
          <w:szCs w:val="28"/>
        </w:rPr>
        <w:t xml:space="preserve">что </w:t>
      </w:r>
      <w:bookmarkStart w:id="32" w:name="_Hlk40016465"/>
      <w:r w:rsidRPr="00D11BAB">
        <w:rPr>
          <w:rFonts w:ascii="Times New Roman" w:hAnsi="Times New Roman"/>
          <w:sz w:val="28"/>
          <w:szCs w:val="28"/>
        </w:rPr>
        <w:t xml:space="preserve">из 125 больных у 58 (46,4%) диагностирован стул по шкале </w:t>
      </w:r>
      <w:r w:rsidRPr="00D11BAB">
        <w:rPr>
          <w:rFonts w:ascii="Times New Roman" w:hAnsi="Times New Roman"/>
          <w:sz w:val="28"/>
          <w:szCs w:val="28"/>
          <w:lang w:val="en-US"/>
        </w:rPr>
        <w:t>BSF</w:t>
      </w:r>
      <w:r w:rsidRPr="00D11BAB">
        <w:rPr>
          <w:rFonts w:ascii="Times New Roman" w:hAnsi="Times New Roman"/>
          <w:sz w:val="28"/>
          <w:szCs w:val="28"/>
        </w:rPr>
        <w:t xml:space="preserve"> 6-7 типа (стул кашицеобразной и/или водянистой консистенции) более 3 раз в сутки, длительностью более 3 недель, расцениваемый как</w:t>
      </w:r>
      <w:r w:rsidRPr="00D11BAB">
        <w:rPr>
          <w:rFonts w:ascii="Times New Roman" w:hAnsi="Times New Roman"/>
          <w:sz w:val="28"/>
          <w:szCs w:val="28"/>
          <w:lang w:val="kk-KZ"/>
        </w:rPr>
        <w:t xml:space="preserve"> синдром</w:t>
      </w:r>
      <w:r w:rsidRPr="00D11BAB">
        <w:rPr>
          <w:rFonts w:ascii="Times New Roman" w:hAnsi="Times New Roman"/>
          <w:sz w:val="28"/>
          <w:szCs w:val="28"/>
        </w:rPr>
        <w:t xml:space="preserve"> хроническ</w:t>
      </w:r>
      <w:r w:rsidRPr="00D11BAB">
        <w:rPr>
          <w:rFonts w:ascii="Times New Roman" w:hAnsi="Times New Roman"/>
          <w:sz w:val="28"/>
          <w:szCs w:val="28"/>
          <w:lang w:val="kk-KZ"/>
        </w:rPr>
        <w:t>ой</w:t>
      </w:r>
      <w:r w:rsidRPr="00D11BAB">
        <w:rPr>
          <w:rFonts w:ascii="Times New Roman" w:hAnsi="Times New Roman"/>
          <w:sz w:val="28"/>
          <w:szCs w:val="28"/>
        </w:rPr>
        <w:t xml:space="preserve"> диареи. У больных с кишечными стомами данная симптоматика проявлялась увеличением кишечного отделяемого по колостоме более 500 мл в сутки и по илеостоме более 1000 мл в сутки. В большинстве случаев у больных с хронической диареей выявлены и другие симптомы нарушения моторно-эвакуаторной функции ободочной кишки как метеоризм (</w:t>
      </w:r>
      <w:r w:rsidRPr="00D11BAB">
        <w:rPr>
          <w:rFonts w:ascii="Times New Roman" w:hAnsi="Times New Roman"/>
          <w:sz w:val="28"/>
          <w:szCs w:val="28"/>
          <w:lang w:val="kk-KZ"/>
        </w:rPr>
        <w:t>34/58</w:t>
      </w:r>
      <w:r w:rsidRPr="00D11BAB">
        <w:rPr>
          <w:rFonts w:ascii="Times New Roman" w:hAnsi="Times New Roman"/>
          <w:sz w:val="28"/>
          <w:szCs w:val="28"/>
        </w:rPr>
        <w:t>), абдоминальная боль (1</w:t>
      </w:r>
      <w:r w:rsidRPr="00D11BAB">
        <w:rPr>
          <w:rFonts w:ascii="Times New Roman" w:hAnsi="Times New Roman"/>
          <w:sz w:val="28"/>
          <w:szCs w:val="28"/>
          <w:lang w:val="kk-KZ"/>
        </w:rPr>
        <w:t>8/58</w:t>
      </w:r>
      <w:r w:rsidRPr="00D11BAB">
        <w:rPr>
          <w:rFonts w:ascii="Times New Roman" w:hAnsi="Times New Roman"/>
          <w:sz w:val="28"/>
          <w:szCs w:val="28"/>
        </w:rPr>
        <w:t>), недержание кала (</w:t>
      </w:r>
      <w:r w:rsidRPr="00D11BAB">
        <w:rPr>
          <w:rFonts w:ascii="Times New Roman" w:hAnsi="Times New Roman"/>
          <w:sz w:val="28"/>
          <w:szCs w:val="28"/>
          <w:lang w:val="kk-KZ"/>
        </w:rPr>
        <w:t>10/58</w:t>
      </w:r>
      <w:r w:rsidRPr="00D11BAB">
        <w:rPr>
          <w:rFonts w:ascii="Times New Roman" w:hAnsi="Times New Roman"/>
          <w:sz w:val="28"/>
          <w:szCs w:val="28"/>
        </w:rPr>
        <w:t>), тенезмы (</w:t>
      </w:r>
      <w:r w:rsidRPr="00D11BAB">
        <w:rPr>
          <w:rFonts w:ascii="Times New Roman" w:hAnsi="Times New Roman"/>
          <w:sz w:val="28"/>
          <w:szCs w:val="28"/>
          <w:lang w:val="kk-KZ"/>
        </w:rPr>
        <w:t>9/58</w:t>
      </w:r>
      <w:r w:rsidRPr="00D11BAB">
        <w:rPr>
          <w:rFonts w:ascii="Times New Roman" w:hAnsi="Times New Roman"/>
          <w:sz w:val="28"/>
          <w:szCs w:val="28"/>
        </w:rPr>
        <w:t>), ночная дефекация (</w:t>
      </w:r>
      <w:r w:rsidRPr="00D11BAB">
        <w:rPr>
          <w:rFonts w:ascii="Times New Roman" w:hAnsi="Times New Roman"/>
          <w:sz w:val="28"/>
          <w:szCs w:val="28"/>
          <w:lang w:val="kk-KZ"/>
        </w:rPr>
        <w:t>7/58</w:t>
      </w:r>
      <w:r w:rsidRPr="00D11BAB">
        <w:rPr>
          <w:rFonts w:ascii="Times New Roman" w:hAnsi="Times New Roman"/>
          <w:sz w:val="28"/>
          <w:szCs w:val="28"/>
        </w:rPr>
        <w:t>), тошнота (</w:t>
      </w:r>
      <w:r w:rsidRPr="00D11BAB">
        <w:rPr>
          <w:rFonts w:ascii="Times New Roman" w:hAnsi="Times New Roman"/>
          <w:sz w:val="28"/>
          <w:szCs w:val="28"/>
          <w:lang w:val="kk-KZ"/>
        </w:rPr>
        <w:t>6/58</w:t>
      </w:r>
      <w:r w:rsidRPr="00D11BAB">
        <w:rPr>
          <w:rFonts w:ascii="Times New Roman" w:hAnsi="Times New Roman"/>
          <w:sz w:val="28"/>
          <w:szCs w:val="28"/>
        </w:rPr>
        <w:t xml:space="preserve">). Реже встречался стул по шкале </w:t>
      </w:r>
      <w:r w:rsidRPr="00D11BAB">
        <w:rPr>
          <w:rFonts w:ascii="Times New Roman" w:hAnsi="Times New Roman"/>
          <w:sz w:val="28"/>
          <w:szCs w:val="28"/>
          <w:lang w:val="en-US"/>
        </w:rPr>
        <w:t>BFS</w:t>
      </w:r>
      <w:r w:rsidRPr="00D11BAB">
        <w:rPr>
          <w:rFonts w:ascii="Times New Roman" w:hAnsi="Times New Roman"/>
          <w:sz w:val="28"/>
          <w:szCs w:val="28"/>
        </w:rPr>
        <w:t xml:space="preserve"> 1-2 типа (трудно продвигающийся кал в форме орехов или комковатой колбаски), расцениваемый как констипация с периодическими эпизодами диареи, отмеченная у 14 </w:t>
      </w:r>
      <w:r w:rsidRPr="00D11BAB">
        <w:rPr>
          <w:rFonts w:ascii="Times New Roman" w:hAnsi="Times New Roman"/>
          <w:sz w:val="28"/>
          <w:szCs w:val="28"/>
          <w:lang w:val="kk-KZ"/>
        </w:rPr>
        <w:t xml:space="preserve">из 58 </w:t>
      </w:r>
      <w:r w:rsidRPr="00D11BAB">
        <w:rPr>
          <w:rFonts w:ascii="Times New Roman" w:hAnsi="Times New Roman"/>
          <w:sz w:val="28"/>
          <w:szCs w:val="28"/>
        </w:rPr>
        <w:t xml:space="preserve">больных (таблица </w:t>
      </w:r>
      <w:r>
        <w:rPr>
          <w:rFonts w:ascii="Times New Roman" w:hAnsi="Times New Roman"/>
          <w:sz w:val="28"/>
          <w:szCs w:val="28"/>
        </w:rPr>
        <w:t>32</w:t>
      </w:r>
      <w:r w:rsidRPr="00D11BAB">
        <w:rPr>
          <w:rFonts w:ascii="Times New Roman" w:hAnsi="Times New Roman"/>
          <w:sz w:val="28"/>
          <w:szCs w:val="28"/>
        </w:rPr>
        <w:t xml:space="preserve">). </w:t>
      </w:r>
    </w:p>
    <w:p w14:paraId="7F727A3C" w14:textId="77777777" w:rsidR="00EF5CD6" w:rsidRPr="00D11BAB" w:rsidRDefault="00EF5CD6" w:rsidP="00EF5CD6">
      <w:pPr>
        <w:tabs>
          <w:tab w:val="left" w:pos="0"/>
        </w:tabs>
        <w:spacing w:after="0" w:line="240" w:lineRule="auto"/>
        <w:jc w:val="both"/>
        <w:rPr>
          <w:rFonts w:ascii="Times New Roman" w:hAnsi="Times New Roman"/>
          <w:sz w:val="28"/>
          <w:szCs w:val="28"/>
        </w:rPr>
      </w:pPr>
    </w:p>
    <w:p w14:paraId="65C8517F" w14:textId="77777777" w:rsidR="00EF5CD6" w:rsidRPr="00D11BAB" w:rsidRDefault="00EF5CD6" w:rsidP="00EF5CD6">
      <w:pPr>
        <w:tabs>
          <w:tab w:val="left" w:pos="284"/>
        </w:tabs>
        <w:spacing w:after="0" w:line="240" w:lineRule="auto"/>
        <w:jc w:val="both"/>
        <w:rPr>
          <w:rFonts w:ascii="Times New Roman" w:hAnsi="Times New Roman"/>
          <w:bCs/>
          <w:sz w:val="28"/>
          <w:szCs w:val="28"/>
        </w:rPr>
      </w:pPr>
      <w:bookmarkStart w:id="33" w:name="_Hlk40016530"/>
      <w:bookmarkEnd w:id="32"/>
      <w:r w:rsidRPr="00D11BAB">
        <w:rPr>
          <w:rFonts w:ascii="Times New Roman" w:hAnsi="Times New Roman"/>
          <w:bCs/>
          <w:sz w:val="28"/>
          <w:szCs w:val="28"/>
          <w:lang w:val="kk-KZ"/>
        </w:rPr>
        <w:t xml:space="preserve">Таблица </w:t>
      </w:r>
      <w:r>
        <w:rPr>
          <w:rFonts w:ascii="Times New Roman" w:hAnsi="Times New Roman"/>
          <w:bCs/>
          <w:sz w:val="28"/>
          <w:szCs w:val="28"/>
        </w:rPr>
        <w:t>32</w:t>
      </w:r>
      <w:r w:rsidRPr="00D11BAB">
        <w:rPr>
          <w:rFonts w:ascii="Times New Roman" w:hAnsi="Times New Roman"/>
          <w:bCs/>
          <w:sz w:val="28"/>
          <w:szCs w:val="28"/>
        </w:rPr>
        <w:t xml:space="preserve"> – </w:t>
      </w:r>
      <w:r w:rsidRPr="00D11BAB">
        <w:rPr>
          <w:rFonts w:ascii="Times New Roman" w:hAnsi="Times New Roman"/>
          <w:bCs/>
          <w:sz w:val="28"/>
          <w:szCs w:val="28"/>
          <w:lang w:val="kk-KZ"/>
        </w:rPr>
        <w:t xml:space="preserve">Клинические проявления функциональных нарушений после хирургического лечения </w:t>
      </w:r>
      <w:r w:rsidRPr="00D11BAB">
        <w:rPr>
          <w:rFonts w:ascii="Times New Roman" w:hAnsi="Times New Roman"/>
          <w:bCs/>
          <w:sz w:val="28"/>
          <w:szCs w:val="28"/>
        </w:rPr>
        <w:t>злокачественных новообразований ободочной кишки</w:t>
      </w:r>
    </w:p>
    <w:p w14:paraId="50EB5F29" w14:textId="77777777" w:rsidR="00EF5CD6" w:rsidRPr="00BB1768" w:rsidRDefault="00EF5CD6" w:rsidP="00EF5CD6">
      <w:pPr>
        <w:tabs>
          <w:tab w:val="left" w:pos="0"/>
        </w:tabs>
        <w:spacing w:after="0" w:line="240" w:lineRule="auto"/>
        <w:ind w:firstLine="709"/>
        <w:rPr>
          <w:rFonts w:ascii="Times New Roman" w:hAnsi="Times New Roman"/>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9"/>
        <w:gridCol w:w="3081"/>
      </w:tblGrid>
      <w:tr w:rsidR="00EF5CD6" w:rsidRPr="00D11BAB" w14:paraId="58EAC25B" w14:textId="77777777" w:rsidTr="00094F6F">
        <w:trPr>
          <w:trHeight w:val="340"/>
        </w:trPr>
        <w:tc>
          <w:tcPr>
            <w:tcW w:w="6521" w:type="dxa"/>
            <w:shd w:val="clear" w:color="auto" w:fill="auto"/>
          </w:tcPr>
          <w:p w14:paraId="70AE828E"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rPr>
            </w:pPr>
            <w:r w:rsidRPr="00D11BAB">
              <w:rPr>
                <w:rFonts w:ascii="Times New Roman" w:hAnsi="Times New Roman"/>
                <w:bCs/>
                <w:sz w:val="24"/>
                <w:szCs w:val="24"/>
                <w:lang w:val="kk-KZ"/>
              </w:rPr>
              <w:t>Симптомы</w:t>
            </w:r>
          </w:p>
        </w:tc>
        <w:tc>
          <w:tcPr>
            <w:tcW w:w="3118" w:type="dxa"/>
            <w:shd w:val="clear" w:color="auto" w:fill="auto"/>
          </w:tcPr>
          <w:p w14:paraId="71D3798B" w14:textId="77777777" w:rsidR="00EF5CD6" w:rsidRPr="00D11BAB" w:rsidRDefault="00EF5CD6" w:rsidP="00094F6F">
            <w:pPr>
              <w:tabs>
                <w:tab w:val="left" w:pos="0"/>
              </w:tabs>
              <w:spacing w:after="0" w:line="240" w:lineRule="auto"/>
              <w:jc w:val="center"/>
              <w:rPr>
                <w:rFonts w:ascii="Times New Roman" w:hAnsi="Times New Roman"/>
                <w:bCs/>
                <w:sz w:val="24"/>
                <w:szCs w:val="24"/>
                <w:lang w:val="en-US"/>
              </w:rPr>
            </w:pPr>
            <w:r w:rsidRPr="00D11BAB">
              <w:rPr>
                <w:rFonts w:ascii="Times New Roman" w:hAnsi="Times New Roman"/>
                <w:bCs/>
                <w:sz w:val="24"/>
                <w:szCs w:val="24"/>
                <w:lang w:val="en-US"/>
              </w:rPr>
              <w:t>n=58 (100</w:t>
            </w:r>
            <w:r w:rsidRPr="00D11BAB">
              <w:rPr>
                <w:rFonts w:ascii="Times New Roman" w:hAnsi="Times New Roman"/>
                <w:bCs/>
                <w:sz w:val="24"/>
                <w:szCs w:val="24"/>
              </w:rPr>
              <w:t>%</w:t>
            </w:r>
            <w:r w:rsidRPr="00D11BAB">
              <w:rPr>
                <w:rFonts w:ascii="Times New Roman" w:hAnsi="Times New Roman"/>
                <w:bCs/>
                <w:sz w:val="24"/>
                <w:szCs w:val="24"/>
                <w:lang w:val="en-US"/>
              </w:rPr>
              <w:t>)</w:t>
            </w:r>
          </w:p>
        </w:tc>
      </w:tr>
      <w:tr w:rsidR="00EF5CD6" w:rsidRPr="00D11BAB" w14:paraId="4DEFBA1E" w14:textId="77777777" w:rsidTr="00094F6F">
        <w:trPr>
          <w:trHeight w:val="340"/>
        </w:trPr>
        <w:tc>
          <w:tcPr>
            <w:tcW w:w="6521" w:type="dxa"/>
            <w:shd w:val="clear" w:color="auto" w:fill="auto"/>
          </w:tcPr>
          <w:p w14:paraId="412EF673" w14:textId="77777777" w:rsidR="00EF5CD6" w:rsidRPr="00D11BAB" w:rsidRDefault="00EF5CD6" w:rsidP="00094F6F">
            <w:pPr>
              <w:tabs>
                <w:tab w:val="left" w:pos="0"/>
              </w:tabs>
              <w:spacing w:after="0" w:line="240" w:lineRule="auto"/>
              <w:jc w:val="both"/>
              <w:rPr>
                <w:rFonts w:ascii="Times New Roman" w:hAnsi="Times New Roman"/>
                <w:bCs/>
                <w:sz w:val="24"/>
                <w:szCs w:val="24"/>
                <w:lang w:val="kk-KZ"/>
              </w:rPr>
            </w:pPr>
            <w:r w:rsidRPr="00D11BAB">
              <w:rPr>
                <w:rFonts w:ascii="Times New Roman" w:hAnsi="Times New Roman"/>
                <w:bCs/>
                <w:sz w:val="24"/>
                <w:szCs w:val="24"/>
                <w:lang w:val="kk-KZ"/>
              </w:rPr>
              <w:t xml:space="preserve">Диарея  </w:t>
            </w:r>
          </w:p>
        </w:tc>
        <w:tc>
          <w:tcPr>
            <w:tcW w:w="3118" w:type="dxa"/>
            <w:shd w:val="clear" w:color="auto" w:fill="auto"/>
          </w:tcPr>
          <w:p w14:paraId="41B16801" w14:textId="77777777" w:rsidR="00EF5CD6" w:rsidRPr="00D11BAB" w:rsidRDefault="00EF5CD6" w:rsidP="00094F6F">
            <w:pPr>
              <w:tabs>
                <w:tab w:val="left" w:pos="0"/>
              </w:tabs>
              <w:spacing w:after="0" w:line="240" w:lineRule="auto"/>
              <w:rPr>
                <w:rFonts w:ascii="Times New Roman" w:hAnsi="Times New Roman"/>
                <w:bCs/>
                <w:sz w:val="24"/>
                <w:szCs w:val="24"/>
                <w:lang w:val="kk-KZ"/>
              </w:rPr>
            </w:pPr>
            <w:r w:rsidRPr="00D11BAB">
              <w:rPr>
                <w:rFonts w:ascii="Times New Roman" w:hAnsi="Times New Roman"/>
                <w:bCs/>
                <w:sz w:val="24"/>
                <w:szCs w:val="24"/>
                <w:lang w:val="kk-KZ"/>
              </w:rPr>
              <w:t xml:space="preserve">58 </w:t>
            </w:r>
            <w:r w:rsidRPr="00D11BAB">
              <w:rPr>
                <w:rFonts w:ascii="Times New Roman" w:hAnsi="Times New Roman"/>
                <w:bCs/>
                <w:sz w:val="24"/>
                <w:szCs w:val="24"/>
                <w:lang w:val="en-US" w:eastAsia="en-US"/>
              </w:rPr>
              <w:t>(</w:t>
            </w:r>
            <w:r w:rsidRPr="00D11BAB">
              <w:rPr>
                <w:rFonts w:ascii="Times New Roman" w:hAnsi="Times New Roman"/>
                <w:bCs/>
                <w:sz w:val="24"/>
                <w:szCs w:val="24"/>
                <w:lang w:eastAsia="en-US"/>
              </w:rPr>
              <w:t>100</w:t>
            </w:r>
            <w:r w:rsidRPr="00D11BAB">
              <w:rPr>
                <w:rFonts w:ascii="Times New Roman" w:hAnsi="Times New Roman"/>
                <w:bCs/>
                <w:sz w:val="24"/>
                <w:szCs w:val="24"/>
                <w:lang w:val="en-US" w:eastAsia="en-US"/>
              </w:rPr>
              <w:t xml:space="preserve"> %)</w:t>
            </w:r>
          </w:p>
        </w:tc>
      </w:tr>
      <w:tr w:rsidR="00EF5CD6" w:rsidRPr="00D11BAB" w14:paraId="3715DE7F" w14:textId="77777777" w:rsidTr="00094F6F">
        <w:trPr>
          <w:trHeight w:val="340"/>
        </w:trPr>
        <w:tc>
          <w:tcPr>
            <w:tcW w:w="6521" w:type="dxa"/>
            <w:shd w:val="clear" w:color="auto" w:fill="auto"/>
          </w:tcPr>
          <w:p w14:paraId="00C3DCE1" w14:textId="77777777" w:rsidR="00EF5CD6" w:rsidRPr="00D11BAB" w:rsidRDefault="00EF5CD6" w:rsidP="00094F6F">
            <w:pPr>
              <w:tabs>
                <w:tab w:val="left" w:pos="0"/>
              </w:tabs>
              <w:spacing w:after="0" w:line="240" w:lineRule="auto"/>
              <w:jc w:val="both"/>
              <w:rPr>
                <w:rFonts w:ascii="Times New Roman" w:hAnsi="Times New Roman"/>
                <w:bCs/>
                <w:sz w:val="24"/>
                <w:szCs w:val="24"/>
                <w:lang w:val="kk-KZ"/>
              </w:rPr>
            </w:pPr>
            <w:r w:rsidRPr="00D11BAB">
              <w:rPr>
                <w:rFonts w:ascii="Times New Roman" w:hAnsi="Times New Roman"/>
                <w:bCs/>
                <w:sz w:val="24"/>
                <w:szCs w:val="24"/>
                <w:lang w:val="kk-KZ"/>
              </w:rPr>
              <w:t xml:space="preserve">Метеоризм </w:t>
            </w:r>
          </w:p>
        </w:tc>
        <w:tc>
          <w:tcPr>
            <w:tcW w:w="3118" w:type="dxa"/>
            <w:shd w:val="clear" w:color="auto" w:fill="auto"/>
          </w:tcPr>
          <w:p w14:paraId="74FD5E41" w14:textId="77777777" w:rsidR="00EF5CD6" w:rsidRPr="00D11BAB" w:rsidRDefault="00EF5CD6" w:rsidP="00094F6F">
            <w:pPr>
              <w:tabs>
                <w:tab w:val="left" w:pos="0"/>
              </w:tabs>
              <w:spacing w:after="0" w:line="240" w:lineRule="auto"/>
              <w:rPr>
                <w:rFonts w:ascii="Times New Roman" w:hAnsi="Times New Roman"/>
                <w:bCs/>
                <w:sz w:val="24"/>
                <w:szCs w:val="24"/>
                <w:lang w:val="kk-KZ"/>
              </w:rPr>
            </w:pPr>
            <w:r w:rsidRPr="00D11BAB">
              <w:rPr>
                <w:rFonts w:ascii="Times New Roman" w:hAnsi="Times New Roman"/>
                <w:bCs/>
                <w:sz w:val="24"/>
                <w:szCs w:val="24"/>
                <w:lang w:val="kk-KZ"/>
              </w:rPr>
              <w:t xml:space="preserve">34 (58,6% </w:t>
            </w:r>
            <w:r w:rsidRPr="00D11BAB">
              <w:rPr>
                <w:rFonts w:ascii="Times New Roman" w:hAnsi="Times New Roman"/>
                <w:bCs/>
                <w:sz w:val="24"/>
                <w:szCs w:val="24"/>
                <w:lang w:val="en-US"/>
              </w:rPr>
              <w:t>[</w:t>
            </w:r>
            <w:r w:rsidRPr="00D11BAB">
              <w:rPr>
                <w:rFonts w:ascii="Times New Roman" w:hAnsi="Times New Roman"/>
                <w:bCs/>
                <w:sz w:val="24"/>
                <w:szCs w:val="24"/>
              </w:rPr>
              <w:t>47,6-69,6%</w:t>
            </w:r>
            <w:r w:rsidRPr="00D11BAB">
              <w:rPr>
                <w:rFonts w:ascii="Times New Roman" w:hAnsi="Times New Roman"/>
                <w:bCs/>
                <w:sz w:val="24"/>
                <w:szCs w:val="24"/>
                <w:lang w:val="en-US"/>
              </w:rPr>
              <w:t>]</w:t>
            </w:r>
            <w:r w:rsidRPr="00D11BAB">
              <w:rPr>
                <w:rFonts w:ascii="Times New Roman" w:hAnsi="Times New Roman"/>
                <w:bCs/>
                <w:sz w:val="24"/>
                <w:szCs w:val="24"/>
                <w:lang w:val="kk-KZ"/>
              </w:rPr>
              <w:t>)</w:t>
            </w:r>
          </w:p>
        </w:tc>
      </w:tr>
      <w:tr w:rsidR="00EF5CD6" w:rsidRPr="00D11BAB" w14:paraId="010A6B74" w14:textId="77777777" w:rsidTr="00094F6F">
        <w:trPr>
          <w:trHeight w:val="340"/>
        </w:trPr>
        <w:tc>
          <w:tcPr>
            <w:tcW w:w="6521" w:type="dxa"/>
            <w:shd w:val="clear" w:color="auto" w:fill="auto"/>
          </w:tcPr>
          <w:p w14:paraId="5D058F51" w14:textId="77777777" w:rsidR="00EF5CD6" w:rsidRPr="00D11BAB" w:rsidRDefault="00EF5CD6" w:rsidP="00094F6F">
            <w:pPr>
              <w:tabs>
                <w:tab w:val="left" w:pos="0"/>
              </w:tabs>
              <w:spacing w:after="0" w:line="240" w:lineRule="auto"/>
              <w:jc w:val="both"/>
              <w:rPr>
                <w:rFonts w:ascii="Times New Roman" w:hAnsi="Times New Roman"/>
                <w:bCs/>
                <w:sz w:val="24"/>
                <w:szCs w:val="24"/>
                <w:lang w:val="kk-KZ"/>
              </w:rPr>
            </w:pPr>
            <w:r w:rsidRPr="00D11BAB">
              <w:rPr>
                <w:rFonts w:ascii="Times New Roman" w:hAnsi="Times New Roman"/>
                <w:bCs/>
                <w:sz w:val="24"/>
                <w:szCs w:val="24"/>
                <w:lang w:val="kk-KZ"/>
              </w:rPr>
              <w:t>Абдоминальная боль</w:t>
            </w:r>
          </w:p>
        </w:tc>
        <w:tc>
          <w:tcPr>
            <w:tcW w:w="3118" w:type="dxa"/>
            <w:shd w:val="clear" w:color="auto" w:fill="auto"/>
          </w:tcPr>
          <w:p w14:paraId="395806D2" w14:textId="77777777" w:rsidR="00EF5CD6" w:rsidRPr="00D11BAB" w:rsidRDefault="00EF5CD6" w:rsidP="00094F6F">
            <w:pPr>
              <w:tabs>
                <w:tab w:val="left" w:pos="0"/>
              </w:tabs>
              <w:spacing w:after="0" w:line="240" w:lineRule="auto"/>
              <w:rPr>
                <w:rFonts w:ascii="Times New Roman" w:hAnsi="Times New Roman"/>
                <w:bCs/>
                <w:sz w:val="24"/>
                <w:szCs w:val="24"/>
                <w:lang w:val="kk-KZ"/>
              </w:rPr>
            </w:pPr>
            <w:r w:rsidRPr="00D11BAB">
              <w:rPr>
                <w:rFonts w:ascii="Times New Roman" w:hAnsi="Times New Roman"/>
                <w:bCs/>
                <w:sz w:val="24"/>
                <w:szCs w:val="24"/>
                <w:lang w:val="kk-KZ"/>
              </w:rPr>
              <w:t xml:space="preserve">18  (31% </w:t>
            </w:r>
            <w:r w:rsidRPr="00D11BAB">
              <w:rPr>
                <w:rFonts w:ascii="Times New Roman" w:hAnsi="Times New Roman"/>
                <w:bCs/>
                <w:sz w:val="24"/>
                <w:szCs w:val="24"/>
                <w:lang w:val="en-US"/>
              </w:rPr>
              <w:t>[</w:t>
            </w:r>
            <w:r w:rsidRPr="00D11BAB">
              <w:rPr>
                <w:rFonts w:ascii="Times New Roman" w:hAnsi="Times New Roman"/>
                <w:bCs/>
                <w:sz w:val="24"/>
                <w:szCs w:val="24"/>
              </w:rPr>
              <w:t>11,6-50,3%</w:t>
            </w:r>
            <w:r w:rsidRPr="00D11BAB">
              <w:rPr>
                <w:rFonts w:ascii="Times New Roman" w:hAnsi="Times New Roman"/>
                <w:bCs/>
                <w:sz w:val="24"/>
                <w:szCs w:val="24"/>
                <w:lang w:val="en-US"/>
              </w:rPr>
              <w:t>]</w:t>
            </w:r>
            <w:r w:rsidRPr="00D11BAB">
              <w:rPr>
                <w:rFonts w:ascii="Times New Roman" w:hAnsi="Times New Roman"/>
                <w:bCs/>
                <w:sz w:val="24"/>
                <w:szCs w:val="24"/>
                <w:lang w:val="kk-KZ"/>
              </w:rPr>
              <w:t>)</w:t>
            </w:r>
          </w:p>
        </w:tc>
      </w:tr>
      <w:tr w:rsidR="00EF5CD6" w:rsidRPr="00D11BAB" w14:paraId="286817C9" w14:textId="77777777" w:rsidTr="00094F6F">
        <w:trPr>
          <w:trHeight w:val="340"/>
        </w:trPr>
        <w:tc>
          <w:tcPr>
            <w:tcW w:w="6521" w:type="dxa"/>
            <w:shd w:val="clear" w:color="auto" w:fill="auto"/>
          </w:tcPr>
          <w:p w14:paraId="07C8E75C" w14:textId="77777777" w:rsidR="00EF5CD6" w:rsidRPr="00D11BAB" w:rsidRDefault="00EF5CD6" w:rsidP="00094F6F">
            <w:pPr>
              <w:tabs>
                <w:tab w:val="left" w:pos="0"/>
              </w:tabs>
              <w:spacing w:after="0" w:line="240" w:lineRule="auto"/>
              <w:jc w:val="both"/>
              <w:rPr>
                <w:rFonts w:ascii="Times New Roman" w:hAnsi="Times New Roman"/>
                <w:bCs/>
                <w:sz w:val="24"/>
                <w:szCs w:val="24"/>
                <w:lang w:val="kk-KZ"/>
              </w:rPr>
            </w:pPr>
            <w:r w:rsidRPr="00D11BAB">
              <w:rPr>
                <w:rFonts w:ascii="Times New Roman" w:hAnsi="Times New Roman"/>
                <w:bCs/>
                <w:sz w:val="24"/>
                <w:szCs w:val="24"/>
                <w:lang w:val="kk-KZ"/>
              </w:rPr>
              <w:t xml:space="preserve">Констипация </w:t>
            </w:r>
          </w:p>
        </w:tc>
        <w:tc>
          <w:tcPr>
            <w:tcW w:w="3118" w:type="dxa"/>
            <w:shd w:val="clear" w:color="auto" w:fill="auto"/>
          </w:tcPr>
          <w:p w14:paraId="416059F6" w14:textId="77777777" w:rsidR="00EF5CD6" w:rsidRPr="00D11BAB" w:rsidRDefault="00EF5CD6" w:rsidP="00094F6F">
            <w:pPr>
              <w:tabs>
                <w:tab w:val="left" w:pos="0"/>
              </w:tabs>
              <w:spacing w:after="0" w:line="240" w:lineRule="auto"/>
              <w:rPr>
                <w:rFonts w:ascii="Times New Roman" w:hAnsi="Times New Roman"/>
                <w:bCs/>
                <w:sz w:val="24"/>
                <w:szCs w:val="24"/>
                <w:lang w:val="kk-KZ"/>
              </w:rPr>
            </w:pPr>
            <w:r w:rsidRPr="00D11BAB">
              <w:rPr>
                <w:rFonts w:ascii="Times New Roman" w:hAnsi="Times New Roman"/>
                <w:bCs/>
                <w:sz w:val="24"/>
                <w:szCs w:val="24"/>
                <w:lang w:val="kk-KZ"/>
              </w:rPr>
              <w:t xml:space="preserve">14 (24,1% </w:t>
            </w:r>
            <w:r w:rsidRPr="00D11BAB">
              <w:rPr>
                <w:rFonts w:ascii="Times New Roman" w:hAnsi="Times New Roman"/>
                <w:bCs/>
                <w:sz w:val="24"/>
                <w:szCs w:val="24"/>
                <w:lang w:val="en-US"/>
              </w:rPr>
              <w:t>[</w:t>
            </w:r>
            <w:r w:rsidRPr="00D11BAB">
              <w:rPr>
                <w:rFonts w:ascii="Times New Roman" w:hAnsi="Times New Roman"/>
                <w:bCs/>
                <w:sz w:val="24"/>
                <w:szCs w:val="24"/>
              </w:rPr>
              <w:t>1,09</w:t>
            </w:r>
            <w:r w:rsidRPr="00D11BAB">
              <w:rPr>
                <w:rFonts w:ascii="Times New Roman" w:hAnsi="Times New Roman"/>
                <w:bCs/>
                <w:sz w:val="24"/>
                <w:szCs w:val="24"/>
                <w:lang w:val="en-US"/>
              </w:rPr>
              <w:t>-</w:t>
            </w:r>
            <w:r w:rsidRPr="00D11BAB">
              <w:rPr>
                <w:rFonts w:ascii="Times New Roman" w:hAnsi="Times New Roman"/>
                <w:bCs/>
                <w:sz w:val="24"/>
                <w:szCs w:val="24"/>
              </w:rPr>
              <w:t>47,1%</w:t>
            </w:r>
            <w:r w:rsidRPr="00D11BAB">
              <w:rPr>
                <w:rFonts w:ascii="Times New Roman" w:hAnsi="Times New Roman"/>
                <w:bCs/>
                <w:sz w:val="24"/>
                <w:szCs w:val="24"/>
                <w:lang w:val="en-US"/>
              </w:rPr>
              <w:t>]</w:t>
            </w:r>
            <w:r w:rsidRPr="00D11BAB">
              <w:rPr>
                <w:rFonts w:ascii="Times New Roman" w:hAnsi="Times New Roman"/>
                <w:bCs/>
                <w:sz w:val="24"/>
                <w:szCs w:val="24"/>
                <w:lang w:val="kk-KZ"/>
              </w:rPr>
              <w:t>)</w:t>
            </w:r>
          </w:p>
        </w:tc>
      </w:tr>
      <w:tr w:rsidR="00EF5CD6" w:rsidRPr="00D11BAB" w14:paraId="7BD91304" w14:textId="77777777" w:rsidTr="00094F6F">
        <w:trPr>
          <w:trHeight w:val="340"/>
        </w:trPr>
        <w:tc>
          <w:tcPr>
            <w:tcW w:w="6521" w:type="dxa"/>
            <w:shd w:val="clear" w:color="auto" w:fill="auto"/>
          </w:tcPr>
          <w:p w14:paraId="3C653AE8" w14:textId="77777777" w:rsidR="00EF5CD6" w:rsidRPr="00D11BAB" w:rsidRDefault="00EF5CD6" w:rsidP="00094F6F">
            <w:pPr>
              <w:tabs>
                <w:tab w:val="left" w:pos="0"/>
              </w:tabs>
              <w:spacing w:after="0" w:line="240" w:lineRule="auto"/>
              <w:jc w:val="both"/>
              <w:rPr>
                <w:rFonts w:ascii="Times New Roman" w:hAnsi="Times New Roman"/>
                <w:bCs/>
                <w:sz w:val="24"/>
                <w:szCs w:val="24"/>
                <w:lang w:val="kk-KZ"/>
              </w:rPr>
            </w:pPr>
            <w:r w:rsidRPr="00D11BAB">
              <w:rPr>
                <w:rFonts w:ascii="Times New Roman" w:hAnsi="Times New Roman"/>
                <w:bCs/>
                <w:sz w:val="24"/>
                <w:szCs w:val="24"/>
                <w:lang w:val="kk-KZ"/>
              </w:rPr>
              <w:t xml:space="preserve">Недержание кала </w:t>
            </w:r>
          </w:p>
        </w:tc>
        <w:tc>
          <w:tcPr>
            <w:tcW w:w="3118" w:type="dxa"/>
            <w:shd w:val="clear" w:color="auto" w:fill="auto"/>
          </w:tcPr>
          <w:p w14:paraId="1291BBAA" w14:textId="77777777" w:rsidR="00EF5CD6" w:rsidRPr="00D11BAB" w:rsidRDefault="00EF5CD6" w:rsidP="00094F6F">
            <w:pPr>
              <w:tabs>
                <w:tab w:val="left" w:pos="0"/>
              </w:tabs>
              <w:spacing w:after="0" w:line="240" w:lineRule="auto"/>
              <w:rPr>
                <w:rFonts w:ascii="Times New Roman" w:hAnsi="Times New Roman"/>
                <w:bCs/>
                <w:sz w:val="24"/>
                <w:szCs w:val="24"/>
                <w:lang w:val="kk-KZ"/>
              </w:rPr>
            </w:pPr>
            <w:r w:rsidRPr="00D11BAB">
              <w:rPr>
                <w:rFonts w:ascii="Times New Roman" w:hAnsi="Times New Roman"/>
                <w:bCs/>
                <w:sz w:val="24"/>
                <w:szCs w:val="24"/>
              </w:rPr>
              <w:t>10</w:t>
            </w:r>
            <w:r w:rsidRPr="00D11BAB">
              <w:rPr>
                <w:rFonts w:ascii="Times New Roman" w:hAnsi="Times New Roman"/>
                <w:bCs/>
                <w:sz w:val="24"/>
                <w:szCs w:val="24"/>
                <w:lang w:val="kk-KZ"/>
              </w:rPr>
              <w:t xml:space="preserve"> (</w:t>
            </w:r>
            <w:r w:rsidRPr="00D11BAB">
              <w:rPr>
                <w:rFonts w:ascii="Times New Roman" w:hAnsi="Times New Roman"/>
                <w:bCs/>
                <w:sz w:val="24"/>
                <w:szCs w:val="24"/>
              </w:rPr>
              <w:t>17</w:t>
            </w:r>
            <w:r w:rsidRPr="00D11BAB">
              <w:rPr>
                <w:rFonts w:ascii="Times New Roman" w:hAnsi="Times New Roman"/>
                <w:bCs/>
                <w:sz w:val="24"/>
                <w:szCs w:val="24"/>
                <w:lang w:val="en-US"/>
              </w:rPr>
              <w:t>,2</w:t>
            </w:r>
            <w:r w:rsidRPr="00D11BAB">
              <w:rPr>
                <w:rFonts w:ascii="Times New Roman" w:hAnsi="Times New Roman"/>
                <w:bCs/>
                <w:sz w:val="24"/>
                <w:szCs w:val="24"/>
                <w:lang w:val="kk-KZ"/>
              </w:rPr>
              <w:t xml:space="preserve">% </w:t>
            </w:r>
            <w:r w:rsidRPr="00D11BAB">
              <w:rPr>
                <w:rFonts w:ascii="Times New Roman" w:hAnsi="Times New Roman"/>
                <w:bCs/>
                <w:sz w:val="24"/>
                <w:szCs w:val="24"/>
              </w:rPr>
              <w:t>[0-</w:t>
            </w:r>
            <w:r w:rsidRPr="00D11BAB">
              <w:rPr>
                <w:rFonts w:ascii="Times New Roman" w:hAnsi="Times New Roman"/>
                <w:bCs/>
                <w:sz w:val="24"/>
                <w:szCs w:val="24"/>
                <w:lang w:val="en-US"/>
              </w:rPr>
              <w:t>48</w:t>
            </w:r>
            <w:r w:rsidRPr="00D11BAB">
              <w:rPr>
                <w:rFonts w:ascii="Times New Roman" w:hAnsi="Times New Roman"/>
                <w:bCs/>
                <w:sz w:val="24"/>
                <w:szCs w:val="24"/>
              </w:rPr>
              <w:t>,2%]</w:t>
            </w:r>
            <w:r w:rsidRPr="00D11BAB">
              <w:rPr>
                <w:rFonts w:ascii="Times New Roman" w:hAnsi="Times New Roman"/>
                <w:bCs/>
                <w:sz w:val="24"/>
                <w:szCs w:val="24"/>
                <w:lang w:val="kk-KZ"/>
              </w:rPr>
              <w:t>)</w:t>
            </w:r>
          </w:p>
        </w:tc>
      </w:tr>
      <w:tr w:rsidR="00EF5CD6" w:rsidRPr="00D11BAB" w14:paraId="5F45FFB3" w14:textId="77777777" w:rsidTr="00094F6F">
        <w:trPr>
          <w:trHeight w:val="340"/>
        </w:trPr>
        <w:tc>
          <w:tcPr>
            <w:tcW w:w="6521" w:type="dxa"/>
            <w:shd w:val="clear" w:color="auto" w:fill="auto"/>
          </w:tcPr>
          <w:p w14:paraId="51BB6B60" w14:textId="77777777" w:rsidR="00EF5CD6" w:rsidRPr="00D11BAB" w:rsidRDefault="00EF5CD6" w:rsidP="00094F6F">
            <w:pPr>
              <w:tabs>
                <w:tab w:val="left" w:pos="0"/>
              </w:tabs>
              <w:spacing w:after="0" w:line="240" w:lineRule="auto"/>
              <w:jc w:val="both"/>
              <w:rPr>
                <w:rFonts w:ascii="Times New Roman" w:hAnsi="Times New Roman"/>
                <w:bCs/>
                <w:sz w:val="24"/>
                <w:szCs w:val="24"/>
                <w:lang w:val="kk-KZ"/>
              </w:rPr>
            </w:pPr>
            <w:r w:rsidRPr="00D11BAB">
              <w:rPr>
                <w:rFonts w:ascii="Times New Roman" w:hAnsi="Times New Roman"/>
                <w:bCs/>
                <w:sz w:val="24"/>
                <w:szCs w:val="24"/>
                <w:lang w:val="kk-KZ"/>
              </w:rPr>
              <w:t xml:space="preserve">Тенезмы </w:t>
            </w:r>
          </w:p>
        </w:tc>
        <w:tc>
          <w:tcPr>
            <w:tcW w:w="3118" w:type="dxa"/>
            <w:shd w:val="clear" w:color="auto" w:fill="auto"/>
          </w:tcPr>
          <w:p w14:paraId="1E132382" w14:textId="77777777" w:rsidR="00EF5CD6" w:rsidRPr="00D11BAB" w:rsidRDefault="00EF5CD6" w:rsidP="00094F6F">
            <w:pPr>
              <w:tabs>
                <w:tab w:val="left" w:pos="0"/>
              </w:tabs>
              <w:spacing w:after="0" w:line="240" w:lineRule="auto"/>
              <w:rPr>
                <w:rFonts w:ascii="Times New Roman" w:hAnsi="Times New Roman"/>
                <w:bCs/>
                <w:sz w:val="24"/>
                <w:szCs w:val="24"/>
                <w:lang w:val="kk-KZ"/>
              </w:rPr>
            </w:pPr>
            <w:r w:rsidRPr="00D11BAB">
              <w:rPr>
                <w:rFonts w:ascii="Times New Roman" w:hAnsi="Times New Roman"/>
                <w:bCs/>
                <w:sz w:val="24"/>
                <w:szCs w:val="24"/>
                <w:lang w:val="kk-KZ"/>
              </w:rPr>
              <w:t xml:space="preserve">9 (15,5% </w:t>
            </w:r>
            <w:r w:rsidRPr="00D11BAB">
              <w:rPr>
                <w:rFonts w:ascii="Times New Roman" w:hAnsi="Times New Roman"/>
                <w:bCs/>
                <w:sz w:val="24"/>
                <w:szCs w:val="24"/>
              </w:rPr>
              <w:t>[0-45,7%]</w:t>
            </w:r>
            <w:r w:rsidRPr="00D11BAB">
              <w:rPr>
                <w:rFonts w:ascii="Times New Roman" w:hAnsi="Times New Roman"/>
                <w:bCs/>
                <w:sz w:val="24"/>
                <w:szCs w:val="24"/>
                <w:lang w:val="kk-KZ"/>
              </w:rPr>
              <w:t>)</w:t>
            </w:r>
          </w:p>
        </w:tc>
      </w:tr>
      <w:tr w:rsidR="00EF5CD6" w:rsidRPr="00D11BAB" w14:paraId="09CC0E7B" w14:textId="77777777" w:rsidTr="00094F6F">
        <w:trPr>
          <w:trHeight w:val="340"/>
        </w:trPr>
        <w:tc>
          <w:tcPr>
            <w:tcW w:w="6521" w:type="dxa"/>
            <w:shd w:val="clear" w:color="auto" w:fill="auto"/>
          </w:tcPr>
          <w:p w14:paraId="1B6F6F30" w14:textId="77777777" w:rsidR="00EF5CD6" w:rsidRPr="00D11BAB" w:rsidRDefault="00EF5CD6" w:rsidP="00094F6F">
            <w:pPr>
              <w:tabs>
                <w:tab w:val="left" w:pos="0"/>
              </w:tabs>
              <w:spacing w:after="0" w:line="240" w:lineRule="auto"/>
              <w:jc w:val="both"/>
              <w:rPr>
                <w:rFonts w:ascii="Times New Roman" w:hAnsi="Times New Roman"/>
                <w:bCs/>
                <w:sz w:val="24"/>
                <w:szCs w:val="24"/>
                <w:lang w:val="kk-KZ"/>
              </w:rPr>
            </w:pPr>
            <w:r w:rsidRPr="00D11BAB">
              <w:rPr>
                <w:rFonts w:ascii="Times New Roman" w:hAnsi="Times New Roman"/>
                <w:bCs/>
                <w:sz w:val="24"/>
                <w:szCs w:val="24"/>
                <w:lang w:val="kk-KZ"/>
              </w:rPr>
              <w:t>Ночная дефекация (при сохранениии анальной дефекации)</w:t>
            </w:r>
          </w:p>
        </w:tc>
        <w:tc>
          <w:tcPr>
            <w:tcW w:w="3118" w:type="dxa"/>
            <w:shd w:val="clear" w:color="auto" w:fill="auto"/>
          </w:tcPr>
          <w:p w14:paraId="1D095344" w14:textId="77777777" w:rsidR="00EF5CD6" w:rsidRPr="00D11BAB" w:rsidRDefault="00EF5CD6" w:rsidP="00094F6F">
            <w:pPr>
              <w:tabs>
                <w:tab w:val="left" w:pos="0"/>
              </w:tabs>
              <w:spacing w:after="0" w:line="240" w:lineRule="auto"/>
              <w:rPr>
                <w:rFonts w:ascii="Times New Roman" w:hAnsi="Times New Roman"/>
                <w:bCs/>
                <w:sz w:val="24"/>
                <w:szCs w:val="24"/>
                <w:lang w:val="kk-KZ"/>
              </w:rPr>
            </w:pPr>
            <w:r w:rsidRPr="00D11BAB">
              <w:rPr>
                <w:rFonts w:ascii="Times New Roman" w:hAnsi="Times New Roman"/>
                <w:bCs/>
                <w:sz w:val="24"/>
                <w:szCs w:val="24"/>
                <w:lang w:val="kk-KZ"/>
              </w:rPr>
              <w:t xml:space="preserve">7 (12,0% </w:t>
            </w:r>
            <w:r w:rsidRPr="00D11BAB">
              <w:rPr>
                <w:rFonts w:ascii="Times New Roman" w:hAnsi="Times New Roman"/>
                <w:bCs/>
                <w:sz w:val="24"/>
                <w:szCs w:val="24"/>
              </w:rPr>
              <w:t>[0-47,0%]</w:t>
            </w:r>
            <w:r w:rsidRPr="00D11BAB">
              <w:rPr>
                <w:rFonts w:ascii="Times New Roman" w:hAnsi="Times New Roman"/>
                <w:bCs/>
                <w:sz w:val="24"/>
                <w:szCs w:val="24"/>
                <w:lang w:val="kk-KZ"/>
              </w:rPr>
              <w:t>)</w:t>
            </w:r>
          </w:p>
        </w:tc>
      </w:tr>
      <w:tr w:rsidR="00EF5CD6" w:rsidRPr="00D11BAB" w14:paraId="5FED2C7E" w14:textId="77777777" w:rsidTr="00094F6F">
        <w:trPr>
          <w:trHeight w:val="340"/>
        </w:trPr>
        <w:tc>
          <w:tcPr>
            <w:tcW w:w="6521" w:type="dxa"/>
            <w:shd w:val="clear" w:color="auto" w:fill="auto"/>
          </w:tcPr>
          <w:p w14:paraId="74542FB1" w14:textId="77777777" w:rsidR="00EF5CD6" w:rsidRPr="00D11BAB" w:rsidRDefault="00EF5CD6" w:rsidP="00094F6F">
            <w:pPr>
              <w:tabs>
                <w:tab w:val="left" w:pos="0"/>
              </w:tabs>
              <w:spacing w:after="0" w:line="240" w:lineRule="auto"/>
              <w:jc w:val="both"/>
              <w:rPr>
                <w:rFonts w:ascii="Times New Roman" w:hAnsi="Times New Roman"/>
                <w:bCs/>
                <w:sz w:val="24"/>
                <w:szCs w:val="24"/>
                <w:lang w:val="kk-KZ"/>
              </w:rPr>
            </w:pPr>
            <w:r w:rsidRPr="00D11BAB">
              <w:rPr>
                <w:rFonts w:ascii="Times New Roman" w:hAnsi="Times New Roman"/>
                <w:bCs/>
                <w:sz w:val="24"/>
                <w:szCs w:val="24"/>
                <w:lang w:val="kk-KZ"/>
              </w:rPr>
              <w:t xml:space="preserve">Тошнота </w:t>
            </w:r>
          </w:p>
        </w:tc>
        <w:tc>
          <w:tcPr>
            <w:tcW w:w="3118" w:type="dxa"/>
            <w:shd w:val="clear" w:color="auto" w:fill="auto"/>
          </w:tcPr>
          <w:p w14:paraId="5CB67D2E" w14:textId="77777777" w:rsidR="00EF5CD6" w:rsidRPr="00D11BAB" w:rsidRDefault="00EF5CD6" w:rsidP="00094F6F">
            <w:pPr>
              <w:tabs>
                <w:tab w:val="left" w:pos="0"/>
              </w:tabs>
              <w:spacing w:after="0" w:line="240" w:lineRule="auto"/>
              <w:rPr>
                <w:rFonts w:ascii="Times New Roman" w:hAnsi="Times New Roman"/>
                <w:bCs/>
                <w:sz w:val="24"/>
                <w:szCs w:val="24"/>
                <w:lang w:val="kk-KZ"/>
              </w:rPr>
            </w:pPr>
            <w:r w:rsidRPr="00D11BAB">
              <w:rPr>
                <w:rFonts w:ascii="Times New Roman" w:hAnsi="Times New Roman"/>
                <w:bCs/>
                <w:sz w:val="24"/>
                <w:szCs w:val="24"/>
                <w:lang w:val="kk-KZ"/>
              </w:rPr>
              <w:t xml:space="preserve">6 (10,3% </w:t>
            </w:r>
            <w:r w:rsidRPr="00D11BAB">
              <w:rPr>
                <w:rFonts w:ascii="Times New Roman" w:hAnsi="Times New Roman"/>
                <w:bCs/>
                <w:sz w:val="24"/>
                <w:szCs w:val="24"/>
              </w:rPr>
              <w:t>[0-48,5%</w:t>
            </w:r>
            <w:r w:rsidRPr="00D11BAB">
              <w:rPr>
                <w:rFonts w:ascii="Times New Roman" w:hAnsi="Times New Roman"/>
                <w:bCs/>
                <w:sz w:val="24"/>
                <w:szCs w:val="24"/>
                <w:lang w:val="en-US"/>
              </w:rPr>
              <w:t>]</w:t>
            </w:r>
            <w:r w:rsidRPr="00D11BAB">
              <w:rPr>
                <w:rFonts w:ascii="Times New Roman" w:hAnsi="Times New Roman"/>
                <w:bCs/>
                <w:sz w:val="24"/>
                <w:szCs w:val="24"/>
                <w:lang w:val="kk-KZ"/>
              </w:rPr>
              <w:t>)</w:t>
            </w:r>
          </w:p>
        </w:tc>
      </w:tr>
      <w:tr w:rsidR="00EF5CD6" w:rsidRPr="00D11BAB" w14:paraId="6E96005D" w14:textId="77777777" w:rsidTr="00094F6F">
        <w:trPr>
          <w:trHeight w:val="340"/>
        </w:trPr>
        <w:tc>
          <w:tcPr>
            <w:tcW w:w="9639" w:type="dxa"/>
            <w:gridSpan w:val="2"/>
            <w:shd w:val="clear" w:color="auto" w:fill="auto"/>
          </w:tcPr>
          <w:p w14:paraId="28D0D55C" w14:textId="77777777" w:rsidR="00EF5CD6" w:rsidRPr="00D11BAB" w:rsidRDefault="00EF5CD6" w:rsidP="00094F6F">
            <w:pPr>
              <w:tabs>
                <w:tab w:val="left" w:pos="0"/>
              </w:tabs>
              <w:spacing w:after="0" w:line="240" w:lineRule="auto"/>
              <w:jc w:val="both"/>
              <w:rPr>
                <w:rFonts w:ascii="Times New Roman" w:hAnsi="Times New Roman"/>
                <w:bCs/>
                <w:sz w:val="24"/>
                <w:szCs w:val="24"/>
                <w:lang w:val="kk-KZ"/>
              </w:rPr>
            </w:pPr>
            <w:r w:rsidRPr="00D11BAB">
              <w:rPr>
                <w:rFonts w:ascii="Times New Roman" w:hAnsi="Times New Roman"/>
                <w:bCs/>
                <w:sz w:val="24"/>
                <w:szCs w:val="24"/>
                <w:lang w:eastAsia="en-US"/>
              </w:rPr>
              <w:t xml:space="preserve">Данные представлены в </w:t>
            </w:r>
            <w:r w:rsidRPr="00D11BAB">
              <w:rPr>
                <w:rFonts w:ascii="Times New Roman" w:hAnsi="Times New Roman"/>
                <w:bCs/>
                <w:sz w:val="24"/>
                <w:szCs w:val="24"/>
                <w:lang w:val="en-US" w:eastAsia="en-US"/>
              </w:rPr>
              <w:t>n</w:t>
            </w:r>
            <w:r w:rsidRPr="00D11BAB">
              <w:rPr>
                <w:rFonts w:ascii="Times New Roman" w:hAnsi="Times New Roman"/>
                <w:bCs/>
                <w:sz w:val="24"/>
                <w:szCs w:val="24"/>
                <w:lang w:eastAsia="en-US"/>
              </w:rPr>
              <w:t>, %, 95% ДИ</w:t>
            </w:r>
          </w:p>
        </w:tc>
      </w:tr>
    </w:tbl>
    <w:p w14:paraId="0B98D6BD" w14:textId="77777777" w:rsidR="00EF5CD6" w:rsidRPr="00287E2C"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b/>
          <w:bCs/>
          <w:sz w:val="28"/>
          <w:szCs w:val="28"/>
          <w:lang w:val="kk-KZ"/>
        </w:rPr>
      </w:pPr>
    </w:p>
    <w:p w14:paraId="0172DA52" w14:textId="77777777" w:rsidR="00EF5CD6" w:rsidRPr="00287E2C"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b/>
          <w:bCs/>
          <w:sz w:val="28"/>
          <w:szCs w:val="28"/>
          <w:lang w:val="kk-KZ"/>
        </w:rPr>
      </w:pPr>
    </w:p>
    <w:p w14:paraId="2E2E1E1C" w14:textId="77777777" w:rsidR="00EF5CD6" w:rsidRDefault="00EF5CD6" w:rsidP="00EF5CD6">
      <w:pPr>
        <w:tabs>
          <w:tab w:val="left" w:pos="0"/>
        </w:tabs>
        <w:spacing w:after="0" w:line="240" w:lineRule="auto"/>
        <w:ind w:firstLine="567"/>
        <w:jc w:val="both"/>
        <w:rPr>
          <w:rFonts w:ascii="Times New Roman" w:hAnsi="Times New Roman"/>
          <w:sz w:val="28"/>
          <w:szCs w:val="28"/>
        </w:rPr>
      </w:pPr>
      <w:r w:rsidRPr="00287E2C">
        <w:rPr>
          <w:rFonts w:ascii="Times New Roman" w:hAnsi="Times New Roman"/>
          <w:b/>
          <w:bCs/>
          <w:sz w:val="28"/>
          <w:szCs w:val="28"/>
        </w:rPr>
        <w:t>Сочетание данной симптоматики с изменениями в копрограмме</w:t>
      </w:r>
      <w:r w:rsidRPr="00D11BAB">
        <w:rPr>
          <w:rFonts w:ascii="Times New Roman" w:hAnsi="Times New Roman"/>
          <w:sz w:val="28"/>
          <w:szCs w:val="28"/>
        </w:rPr>
        <w:t xml:space="preserve"> (увеличение лейкоцитов и эри</w:t>
      </w:r>
      <w:r w:rsidRPr="00D11BAB">
        <w:rPr>
          <w:rFonts w:ascii="Times New Roman" w:hAnsi="Times New Roman"/>
          <w:sz w:val="28"/>
          <w:szCs w:val="28"/>
          <w:lang w:val="kk-KZ"/>
        </w:rPr>
        <w:t>т</w:t>
      </w:r>
      <w:r w:rsidRPr="00D11BAB">
        <w:rPr>
          <w:rFonts w:ascii="Times New Roman" w:hAnsi="Times New Roman"/>
          <w:sz w:val="28"/>
          <w:szCs w:val="28"/>
        </w:rPr>
        <w:t>роцитов) и сыворотке крови (сдвиг лейкоцитарной формулы влево и повышение СРБ) трактовалось как проявление вторичного энтероколита.</w:t>
      </w:r>
      <w:r w:rsidRPr="00D11BAB">
        <w:rPr>
          <w:rFonts w:ascii="Times New Roman" w:hAnsi="Times New Roman"/>
          <w:sz w:val="28"/>
          <w:szCs w:val="28"/>
          <w:lang w:val="kk-KZ"/>
        </w:rPr>
        <w:t xml:space="preserve"> Четких клинических различий симптоматики </w:t>
      </w:r>
      <w:r w:rsidRPr="00D11BAB">
        <w:rPr>
          <w:rFonts w:ascii="Times New Roman" w:hAnsi="Times New Roman"/>
          <w:sz w:val="28"/>
          <w:szCs w:val="28"/>
          <w:lang w:val="kk-KZ"/>
        </w:rPr>
        <w:lastRenderedPageBreak/>
        <w:t xml:space="preserve">энтерита и колита при значительном удалении длины любого из отдела кишечника определить не удалось. По показаниям была провдена ФКС с биопсией, по данным гистологического исследования в 42 случаях выявлен хронический атрофический энтероколит. </w:t>
      </w:r>
      <w:r w:rsidRPr="00D11BAB">
        <w:rPr>
          <w:rFonts w:ascii="Times New Roman" w:hAnsi="Times New Roman"/>
          <w:sz w:val="28"/>
          <w:szCs w:val="28"/>
        </w:rPr>
        <w:t xml:space="preserve">Графическое изображение основных симптомов нарушений функции ободочной кишки в зависимости от вида операций представлены на рисунке </w:t>
      </w:r>
      <w:r>
        <w:rPr>
          <w:rFonts w:ascii="Times New Roman" w:hAnsi="Times New Roman"/>
          <w:sz w:val="28"/>
          <w:szCs w:val="28"/>
        </w:rPr>
        <w:t>22</w:t>
      </w:r>
      <w:r w:rsidRPr="00D11BAB">
        <w:rPr>
          <w:rFonts w:ascii="Times New Roman" w:hAnsi="Times New Roman"/>
          <w:sz w:val="28"/>
          <w:szCs w:val="28"/>
        </w:rPr>
        <w:t>.</w:t>
      </w:r>
    </w:p>
    <w:p w14:paraId="3A45D2FE" w14:textId="77777777" w:rsidR="00EF5CD6" w:rsidRDefault="00EF5CD6" w:rsidP="00EF5CD6">
      <w:pPr>
        <w:tabs>
          <w:tab w:val="left" w:pos="0"/>
        </w:tabs>
        <w:spacing w:after="0" w:line="240" w:lineRule="auto"/>
        <w:jc w:val="both"/>
        <w:rPr>
          <w:rFonts w:ascii="Times New Roman" w:hAnsi="Times New Roman"/>
          <w:sz w:val="28"/>
          <w:szCs w:val="28"/>
        </w:rPr>
      </w:pPr>
    </w:p>
    <w:p w14:paraId="23BC2FCE"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
          <w:sz w:val="28"/>
          <w:szCs w:val="28"/>
          <w:lang w:val="kk-KZ"/>
        </w:rPr>
      </w:pPr>
    </w:p>
    <w:p w14:paraId="0582C59C" w14:textId="77777777" w:rsidR="00EF5CD6" w:rsidRPr="00D11BAB" w:rsidRDefault="00EF5CD6" w:rsidP="00EF5CD6">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D11BAB">
        <w:rPr>
          <w:rFonts w:ascii="Times New Roman" w:hAnsi="Times New Roman"/>
          <w:noProof/>
          <w:sz w:val="28"/>
          <w:szCs w:val="28"/>
        </w:rPr>
        <w:drawing>
          <wp:inline distT="0" distB="0" distL="0" distR="0" wp14:anchorId="68370244" wp14:editId="215EE67D">
            <wp:extent cx="4930140" cy="3093720"/>
            <wp:effectExtent l="0" t="0" r="0" b="0"/>
            <wp:docPr id="46" name="Рисунок 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3" descr="Chart&#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30140" cy="3093720"/>
                    </a:xfrm>
                    <a:prstGeom prst="rect">
                      <a:avLst/>
                    </a:prstGeom>
                    <a:noFill/>
                    <a:ln>
                      <a:noFill/>
                    </a:ln>
                  </pic:spPr>
                </pic:pic>
              </a:graphicData>
            </a:graphic>
          </wp:inline>
        </w:drawing>
      </w:r>
    </w:p>
    <w:p w14:paraId="04E3A800" w14:textId="77777777" w:rsidR="00EF5CD6" w:rsidRPr="007F37C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2CB0AF90" w14:textId="77777777" w:rsidR="00EF5CD6" w:rsidRPr="00D11BAB" w:rsidRDefault="00EF5CD6" w:rsidP="00EF5CD6">
      <w:pPr>
        <w:spacing w:after="0" w:line="240" w:lineRule="auto"/>
        <w:jc w:val="center"/>
        <w:rPr>
          <w:rFonts w:ascii="Times New Roman" w:hAnsi="Times New Roman"/>
          <w:bCs/>
          <w:sz w:val="28"/>
          <w:szCs w:val="28"/>
        </w:rPr>
      </w:pPr>
      <w:r w:rsidRPr="00D11BAB">
        <w:rPr>
          <w:rFonts w:ascii="Times New Roman" w:hAnsi="Times New Roman"/>
          <w:sz w:val="28"/>
          <w:szCs w:val="28"/>
        </w:rPr>
        <w:t xml:space="preserve">Рисунок </w:t>
      </w:r>
      <w:r>
        <w:rPr>
          <w:rFonts w:ascii="Times New Roman" w:hAnsi="Times New Roman"/>
          <w:sz w:val="28"/>
          <w:szCs w:val="28"/>
        </w:rPr>
        <w:t>22</w:t>
      </w:r>
      <w:r w:rsidRPr="00D11BAB">
        <w:rPr>
          <w:rFonts w:ascii="Times New Roman" w:hAnsi="Times New Roman"/>
          <w:sz w:val="28"/>
          <w:szCs w:val="28"/>
        </w:rPr>
        <w:t xml:space="preserve"> – Распространенность симптомов </w:t>
      </w:r>
      <w:r w:rsidRPr="00D11BAB">
        <w:rPr>
          <w:rFonts w:ascii="Times New Roman" w:hAnsi="Times New Roman"/>
          <w:bCs/>
          <w:sz w:val="28"/>
          <w:szCs w:val="28"/>
          <w:lang w:val="kk-KZ"/>
        </w:rPr>
        <w:t xml:space="preserve">функциональных нарушений </w:t>
      </w:r>
      <w:r w:rsidRPr="00D11BAB">
        <w:rPr>
          <w:rFonts w:ascii="Times New Roman" w:hAnsi="Times New Roman"/>
          <w:sz w:val="28"/>
          <w:szCs w:val="28"/>
        </w:rPr>
        <w:t xml:space="preserve">после хирургического лечения </w:t>
      </w:r>
      <w:r w:rsidRPr="00D11BAB">
        <w:rPr>
          <w:rFonts w:ascii="Times New Roman" w:hAnsi="Times New Roman"/>
          <w:bCs/>
          <w:sz w:val="28"/>
          <w:szCs w:val="28"/>
        </w:rPr>
        <w:t>злокачественных новообразований ободочной кишки зависимости от вида операции</w:t>
      </w:r>
    </w:p>
    <w:p w14:paraId="114BFD8F" w14:textId="77777777" w:rsidR="00EF5CD6" w:rsidRPr="00D11BAB" w:rsidRDefault="00EF5CD6" w:rsidP="00EF5CD6">
      <w:pPr>
        <w:spacing w:after="0" w:line="240" w:lineRule="auto"/>
        <w:jc w:val="center"/>
        <w:rPr>
          <w:rFonts w:ascii="Times New Roman" w:hAnsi="Times New Roman"/>
          <w:sz w:val="28"/>
          <w:szCs w:val="28"/>
        </w:rPr>
      </w:pPr>
    </w:p>
    <w:p w14:paraId="2B4B0D0D"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794064BD"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Проведена сравнительная оценка распространённости функциональных осложнений по возрасту, где возраст стратифицировался как «старше» и «младше» 60 лет. Таким образом, согласно таблице </w:t>
      </w:r>
      <w:r>
        <w:rPr>
          <w:rFonts w:ascii="Times New Roman" w:hAnsi="Times New Roman"/>
          <w:sz w:val="28"/>
          <w:szCs w:val="28"/>
        </w:rPr>
        <w:t>33</w:t>
      </w:r>
      <w:r w:rsidRPr="00D11BAB">
        <w:rPr>
          <w:rFonts w:ascii="Times New Roman" w:hAnsi="Times New Roman"/>
          <w:color w:val="FF0000"/>
          <w:sz w:val="28"/>
          <w:szCs w:val="28"/>
        </w:rPr>
        <w:t xml:space="preserve"> </w:t>
      </w:r>
      <w:r w:rsidRPr="00D11BAB">
        <w:rPr>
          <w:rFonts w:ascii="Times New Roman" w:hAnsi="Times New Roman"/>
          <w:sz w:val="28"/>
          <w:szCs w:val="28"/>
        </w:rPr>
        <w:t>больные в возрасте старше 60 лет в большей степени страдали клиническими проявлениями функциональных осложнений по сравнению с больными младше 60 лет. Процент распространенности симптомов у лиц старше 60 лет преобладал в отношении диареи (</w:t>
      </w:r>
      <w:r w:rsidRPr="00D11BAB">
        <w:rPr>
          <w:rFonts w:ascii="Times New Roman" w:hAnsi="Times New Roman"/>
          <w:sz w:val="24"/>
          <w:szCs w:val="24"/>
        </w:rPr>
        <w:t>70%)</w:t>
      </w:r>
      <w:r w:rsidRPr="00D11BAB">
        <w:rPr>
          <w:rFonts w:ascii="Times New Roman" w:hAnsi="Times New Roman"/>
          <w:sz w:val="28"/>
          <w:szCs w:val="28"/>
        </w:rPr>
        <w:t>, метеоризма (</w:t>
      </w:r>
      <w:r w:rsidRPr="00D11BAB">
        <w:rPr>
          <w:rFonts w:ascii="Times New Roman" w:hAnsi="Times New Roman"/>
          <w:sz w:val="24"/>
          <w:szCs w:val="24"/>
        </w:rPr>
        <w:t>36,1%</w:t>
      </w:r>
      <w:r w:rsidRPr="00D11BAB">
        <w:rPr>
          <w:rFonts w:ascii="Times New Roman" w:hAnsi="Times New Roman"/>
          <w:sz w:val="28"/>
          <w:szCs w:val="28"/>
        </w:rPr>
        <w:t>), констипации (13,8%) и недержании кала (4,1%). У больных младше 60 лет доминировали симптомы как абдоминальная боль (15,9%), тенезмы (9,4%)и ночные дефекации (7,5%).</w:t>
      </w:r>
    </w:p>
    <w:p w14:paraId="3665AFA1"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Согласно клиническим протоколам МЗ РК-2018 при </w:t>
      </w:r>
      <w:r w:rsidRPr="00D11BAB">
        <w:rPr>
          <w:rFonts w:ascii="Times New Roman" w:hAnsi="Times New Roman"/>
          <w:sz w:val="28"/>
          <w:szCs w:val="28"/>
          <w:lang w:val="en-US"/>
        </w:rPr>
        <w:t>II</w:t>
      </w:r>
      <w:r w:rsidRPr="00D11BAB">
        <w:rPr>
          <w:rFonts w:ascii="Times New Roman" w:hAnsi="Times New Roman"/>
          <w:sz w:val="28"/>
          <w:szCs w:val="28"/>
        </w:rPr>
        <w:t>-</w:t>
      </w:r>
      <w:r w:rsidRPr="00D11BAB">
        <w:rPr>
          <w:rFonts w:ascii="Times New Roman" w:hAnsi="Times New Roman"/>
          <w:sz w:val="28"/>
          <w:szCs w:val="28"/>
          <w:lang w:val="en-US"/>
        </w:rPr>
        <w:t>III</w:t>
      </w:r>
      <w:r w:rsidRPr="00D11BAB">
        <w:rPr>
          <w:rFonts w:ascii="Times New Roman" w:hAnsi="Times New Roman"/>
          <w:sz w:val="28"/>
          <w:szCs w:val="28"/>
        </w:rPr>
        <w:t xml:space="preserve"> стадии злокачественного новообразования ободочной кишки показана химиотерапия в </w:t>
      </w:r>
      <w:proofErr w:type="spellStart"/>
      <w:r w:rsidRPr="00D11BAB">
        <w:rPr>
          <w:rFonts w:ascii="Times New Roman" w:hAnsi="Times New Roman"/>
          <w:sz w:val="28"/>
          <w:szCs w:val="28"/>
        </w:rPr>
        <w:t>адъювантном</w:t>
      </w:r>
      <w:proofErr w:type="spellEnd"/>
      <w:r w:rsidRPr="00D11BAB">
        <w:rPr>
          <w:rFonts w:ascii="Times New Roman" w:hAnsi="Times New Roman"/>
          <w:sz w:val="28"/>
          <w:szCs w:val="28"/>
        </w:rPr>
        <w:t xml:space="preserve"> режиме. Исходя из стадии 113 (90,4%) больных, которым были проведены радикальные операции, нуждались в </w:t>
      </w:r>
      <w:proofErr w:type="spellStart"/>
      <w:r w:rsidRPr="00D11BAB">
        <w:rPr>
          <w:rFonts w:ascii="Times New Roman" w:hAnsi="Times New Roman"/>
          <w:sz w:val="28"/>
          <w:szCs w:val="28"/>
        </w:rPr>
        <w:t>адьювантной</w:t>
      </w:r>
      <w:proofErr w:type="spellEnd"/>
      <w:r w:rsidRPr="00D11BAB">
        <w:rPr>
          <w:rFonts w:ascii="Times New Roman" w:hAnsi="Times New Roman"/>
          <w:sz w:val="28"/>
          <w:szCs w:val="28"/>
        </w:rPr>
        <w:t xml:space="preserve"> химиотерапии.</w:t>
      </w:r>
      <w:r w:rsidRPr="007F37CB">
        <w:rPr>
          <w:rFonts w:ascii="Times New Roman" w:hAnsi="Times New Roman"/>
          <w:sz w:val="28"/>
          <w:szCs w:val="28"/>
        </w:rPr>
        <w:t xml:space="preserve"> </w:t>
      </w:r>
      <w:r w:rsidRPr="00D11BAB">
        <w:rPr>
          <w:rFonts w:ascii="Times New Roman" w:hAnsi="Times New Roman"/>
          <w:sz w:val="28"/>
          <w:szCs w:val="28"/>
        </w:rPr>
        <w:t>Лекарственное лечение планировалось после операции на основании гистологического заключения.</w:t>
      </w:r>
    </w:p>
    <w:p w14:paraId="760F8ED3"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p>
    <w:p w14:paraId="4DE71E9A"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D11BAB">
        <w:rPr>
          <w:rFonts w:ascii="Times New Roman" w:hAnsi="Times New Roman"/>
          <w:sz w:val="28"/>
          <w:szCs w:val="28"/>
        </w:rPr>
        <w:lastRenderedPageBreak/>
        <w:t xml:space="preserve">Таблица </w:t>
      </w:r>
      <w:r>
        <w:rPr>
          <w:rFonts w:ascii="Times New Roman" w:hAnsi="Times New Roman"/>
          <w:sz w:val="28"/>
          <w:szCs w:val="28"/>
        </w:rPr>
        <w:t>33</w:t>
      </w:r>
      <w:r w:rsidRPr="00D11BAB">
        <w:rPr>
          <w:rFonts w:ascii="Times New Roman" w:hAnsi="Times New Roman"/>
          <w:sz w:val="28"/>
          <w:szCs w:val="28"/>
        </w:rPr>
        <w:t xml:space="preserve"> – Сравнительная оценка распространенности симптомов </w:t>
      </w:r>
      <w:r w:rsidRPr="00D11BAB">
        <w:rPr>
          <w:rFonts w:ascii="Times New Roman" w:hAnsi="Times New Roman"/>
          <w:bCs/>
          <w:sz w:val="28"/>
          <w:szCs w:val="28"/>
          <w:lang w:val="kk-KZ"/>
        </w:rPr>
        <w:t>функциональных нарушений</w:t>
      </w:r>
      <w:r w:rsidRPr="00D11BAB">
        <w:rPr>
          <w:rFonts w:ascii="Times New Roman" w:hAnsi="Times New Roman"/>
          <w:sz w:val="28"/>
          <w:szCs w:val="28"/>
        </w:rPr>
        <w:t xml:space="preserve"> по возрасту</w:t>
      </w:r>
    </w:p>
    <w:p w14:paraId="368DCDCA" w14:textId="77777777" w:rsidR="00EF5CD6" w:rsidRPr="007F37C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p>
    <w:tbl>
      <w:tblPr>
        <w:tblW w:w="9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64"/>
        <w:gridCol w:w="2085"/>
        <w:gridCol w:w="2618"/>
        <w:gridCol w:w="1050"/>
      </w:tblGrid>
      <w:tr w:rsidR="00EF5CD6" w:rsidRPr="00D11BAB" w14:paraId="7BFD4AB8" w14:textId="77777777" w:rsidTr="00094F6F">
        <w:trPr>
          <w:jc w:val="center"/>
        </w:trPr>
        <w:tc>
          <w:tcPr>
            <w:tcW w:w="3864" w:type="dxa"/>
            <w:shd w:val="clear" w:color="auto" w:fill="auto"/>
            <w:vAlign w:val="center"/>
          </w:tcPr>
          <w:p w14:paraId="791CA209"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bCs/>
                <w:sz w:val="24"/>
                <w:szCs w:val="24"/>
                <w:lang w:val="kk-KZ"/>
              </w:rPr>
              <w:t>Симптомы</w:t>
            </w:r>
          </w:p>
        </w:tc>
        <w:tc>
          <w:tcPr>
            <w:tcW w:w="2085" w:type="dxa"/>
            <w:shd w:val="clear" w:color="auto" w:fill="auto"/>
            <w:vAlign w:val="center"/>
          </w:tcPr>
          <w:p w14:paraId="5A81237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Старше 60 лет (</w:t>
            </w:r>
            <w:r w:rsidRPr="00D11BAB">
              <w:rPr>
                <w:rFonts w:ascii="Times New Roman" w:hAnsi="Times New Roman"/>
                <w:sz w:val="24"/>
                <w:szCs w:val="24"/>
                <w:lang w:val="en-US"/>
              </w:rPr>
              <w:t>n</w:t>
            </w:r>
            <w:r w:rsidRPr="00D11BAB">
              <w:rPr>
                <w:rFonts w:ascii="Times New Roman" w:hAnsi="Times New Roman"/>
                <w:sz w:val="24"/>
                <w:szCs w:val="24"/>
              </w:rPr>
              <w:t>=72)</w:t>
            </w:r>
          </w:p>
        </w:tc>
        <w:tc>
          <w:tcPr>
            <w:tcW w:w="2618" w:type="dxa"/>
            <w:shd w:val="clear" w:color="auto" w:fill="auto"/>
            <w:vAlign w:val="center"/>
          </w:tcPr>
          <w:p w14:paraId="2739566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Младше 60 лет</w:t>
            </w:r>
          </w:p>
          <w:p w14:paraId="5DB3A72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w:t>
            </w:r>
            <w:proofErr w:type="gramStart"/>
            <w:r w:rsidRPr="00D11BAB">
              <w:rPr>
                <w:rFonts w:ascii="Times New Roman" w:hAnsi="Times New Roman"/>
                <w:sz w:val="24"/>
                <w:szCs w:val="24"/>
                <w:lang w:val="en-US"/>
              </w:rPr>
              <w:t>n</w:t>
            </w:r>
            <w:proofErr w:type="gramEnd"/>
            <w:r w:rsidRPr="00D11BAB">
              <w:rPr>
                <w:rFonts w:ascii="Times New Roman" w:hAnsi="Times New Roman"/>
                <w:sz w:val="24"/>
                <w:szCs w:val="24"/>
              </w:rPr>
              <w:t>=53)</w:t>
            </w:r>
          </w:p>
        </w:tc>
        <w:tc>
          <w:tcPr>
            <w:tcW w:w="1050" w:type="dxa"/>
            <w:shd w:val="clear" w:color="auto" w:fill="auto"/>
            <w:vAlign w:val="center"/>
          </w:tcPr>
          <w:p w14:paraId="5020237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proofErr w:type="gramStart"/>
            <w:r w:rsidRPr="00D11BAB">
              <w:rPr>
                <w:rFonts w:ascii="Times New Roman" w:hAnsi="Times New Roman"/>
                <w:sz w:val="24"/>
                <w:szCs w:val="24"/>
              </w:rPr>
              <w:t>р</w:t>
            </w:r>
            <w:proofErr w:type="gramEnd"/>
          </w:p>
        </w:tc>
      </w:tr>
      <w:tr w:rsidR="00EF5CD6" w:rsidRPr="00D11BAB" w14:paraId="79A39718" w14:textId="77777777" w:rsidTr="00094F6F">
        <w:trPr>
          <w:jc w:val="center"/>
        </w:trPr>
        <w:tc>
          <w:tcPr>
            <w:tcW w:w="3864" w:type="dxa"/>
            <w:shd w:val="clear" w:color="auto" w:fill="auto"/>
          </w:tcPr>
          <w:p w14:paraId="3F28616A"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sz w:val="24"/>
                <w:szCs w:val="24"/>
              </w:rPr>
            </w:pPr>
            <w:r w:rsidRPr="00D11BAB">
              <w:rPr>
                <w:rFonts w:ascii="Times New Roman" w:hAnsi="Times New Roman"/>
                <w:bCs/>
                <w:sz w:val="24"/>
                <w:szCs w:val="24"/>
                <w:lang w:val="kk-KZ" w:eastAsia="en-US"/>
              </w:rPr>
              <w:t>Диарея</w:t>
            </w:r>
          </w:p>
        </w:tc>
        <w:tc>
          <w:tcPr>
            <w:tcW w:w="2085" w:type="dxa"/>
            <w:shd w:val="clear" w:color="auto" w:fill="auto"/>
            <w:vAlign w:val="center"/>
          </w:tcPr>
          <w:p w14:paraId="0B2E00F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50(70%)</w:t>
            </w:r>
          </w:p>
        </w:tc>
        <w:tc>
          <w:tcPr>
            <w:tcW w:w="2618" w:type="dxa"/>
            <w:shd w:val="clear" w:color="auto" w:fill="auto"/>
            <w:vAlign w:val="center"/>
          </w:tcPr>
          <w:p w14:paraId="7EE8CFCF"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8</w:t>
            </w:r>
            <w:r w:rsidRPr="00D11BAB">
              <w:rPr>
                <w:rFonts w:ascii="Times New Roman" w:hAnsi="Times New Roman"/>
                <w:sz w:val="24"/>
                <w:szCs w:val="24"/>
              </w:rPr>
              <w:t>(15%)</w:t>
            </w:r>
          </w:p>
        </w:tc>
        <w:tc>
          <w:tcPr>
            <w:tcW w:w="1050" w:type="dxa"/>
            <w:shd w:val="clear" w:color="auto" w:fill="auto"/>
            <w:vAlign w:val="center"/>
          </w:tcPr>
          <w:p w14:paraId="4479399A"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0,481</w:t>
            </w:r>
          </w:p>
        </w:tc>
      </w:tr>
      <w:tr w:rsidR="00EF5CD6" w:rsidRPr="00D11BAB" w14:paraId="3B4B2017" w14:textId="77777777" w:rsidTr="00094F6F">
        <w:trPr>
          <w:jc w:val="center"/>
        </w:trPr>
        <w:tc>
          <w:tcPr>
            <w:tcW w:w="3864" w:type="dxa"/>
            <w:shd w:val="clear" w:color="auto" w:fill="auto"/>
          </w:tcPr>
          <w:p w14:paraId="13E85EDF"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Метеоризм</w:t>
            </w:r>
          </w:p>
        </w:tc>
        <w:tc>
          <w:tcPr>
            <w:tcW w:w="2085" w:type="dxa"/>
            <w:shd w:val="clear" w:color="auto" w:fill="auto"/>
            <w:vAlign w:val="center"/>
          </w:tcPr>
          <w:p w14:paraId="548C3AE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26(36,1%)</w:t>
            </w:r>
          </w:p>
        </w:tc>
        <w:tc>
          <w:tcPr>
            <w:tcW w:w="2618" w:type="dxa"/>
            <w:shd w:val="clear" w:color="auto" w:fill="auto"/>
            <w:vAlign w:val="center"/>
          </w:tcPr>
          <w:p w14:paraId="22BC51A3"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8</w:t>
            </w:r>
            <w:r w:rsidRPr="00D11BAB">
              <w:rPr>
                <w:rFonts w:ascii="Times New Roman" w:hAnsi="Times New Roman"/>
                <w:sz w:val="24"/>
                <w:szCs w:val="24"/>
              </w:rPr>
              <w:t>(15%)</w:t>
            </w:r>
          </w:p>
        </w:tc>
        <w:tc>
          <w:tcPr>
            <w:tcW w:w="1050" w:type="dxa"/>
            <w:shd w:val="clear" w:color="auto" w:fill="auto"/>
            <w:vAlign w:val="center"/>
          </w:tcPr>
          <w:p w14:paraId="2D94AA04"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0,825</w:t>
            </w:r>
          </w:p>
        </w:tc>
      </w:tr>
      <w:tr w:rsidR="00EF5CD6" w:rsidRPr="00D11BAB" w14:paraId="380D68EB" w14:textId="77777777" w:rsidTr="00094F6F">
        <w:trPr>
          <w:jc w:val="center"/>
        </w:trPr>
        <w:tc>
          <w:tcPr>
            <w:tcW w:w="3864" w:type="dxa"/>
            <w:shd w:val="clear" w:color="auto" w:fill="auto"/>
          </w:tcPr>
          <w:p w14:paraId="4C1AD484"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Абдоминальная боль</w:t>
            </w:r>
          </w:p>
        </w:tc>
        <w:tc>
          <w:tcPr>
            <w:tcW w:w="2085" w:type="dxa"/>
            <w:shd w:val="clear" w:color="auto" w:fill="auto"/>
            <w:vAlign w:val="center"/>
          </w:tcPr>
          <w:p w14:paraId="3C57B4B4"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1</w:t>
            </w:r>
            <w:r w:rsidRPr="00D11BAB">
              <w:rPr>
                <w:rFonts w:ascii="Times New Roman" w:hAnsi="Times New Roman"/>
                <w:sz w:val="24"/>
                <w:szCs w:val="24"/>
              </w:rPr>
              <w:t>0(13</w:t>
            </w:r>
            <w:proofErr w:type="gramStart"/>
            <w:r w:rsidRPr="00D11BAB">
              <w:rPr>
                <w:rFonts w:ascii="Times New Roman" w:hAnsi="Times New Roman"/>
                <w:sz w:val="24"/>
                <w:szCs w:val="24"/>
              </w:rPr>
              <w:t>,8</w:t>
            </w:r>
            <w:proofErr w:type="gramEnd"/>
            <w:r w:rsidRPr="00D11BAB">
              <w:rPr>
                <w:rFonts w:ascii="Times New Roman" w:hAnsi="Times New Roman"/>
                <w:sz w:val="24"/>
                <w:szCs w:val="24"/>
              </w:rPr>
              <w:t>%)</w:t>
            </w:r>
          </w:p>
        </w:tc>
        <w:tc>
          <w:tcPr>
            <w:tcW w:w="2618" w:type="dxa"/>
            <w:shd w:val="clear" w:color="auto" w:fill="auto"/>
            <w:vAlign w:val="center"/>
          </w:tcPr>
          <w:p w14:paraId="0BBC34B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8(15,9%)</w:t>
            </w:r>
          </w:p>
        </w:tc>
        <w:tc>
          <w:tcPr>
            <w:tcW w:w="1050" w:type="dxa"/>
            <w:shd w:val="clear" w:color="auto" w:fill="auto"/>
            <w:vAlign w:val="center"/>
          </w:tcPr>
          <w:p w14:paraId="4E3DE88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0,536</w:t>
            </w:r>
          </w:p>
        </w:tc>
      </w:tr>
      <w:tr w:rsidR="00EF5CD6" w:rsidRPr="00D11BAB" w14:paraId="6C1D5CC0" w14:textId="77777777" w:rsidTr="00094F6F">
        <w:trPr>
          <w:jc w:val="center"/>
        </w:trPr>
        <w:tc>
          <w:tcPr>
            <w:tcW w:w="3864" w:type="dxa"/>
            <w:shd w:val="clear" w:color="auto" w:fill="auto"/>
          </w:tcPr>
          <w:p w14:paraId="757EC0DB"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Констипация</w:t>
            </w:r>
          </w:p>
        </w:tc>
        <w:tc>
          <w:tcPr>
            <w:tcW w:w="2085" w:type="dxa"/>
            <w:shd w:val="clear" w:color="auto" w:fill="auto"/>
            <w:vAlign w:val="center"/>
          </w:tcPr>
          <w:p w14:paraId="1AB98853"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10</w:t>
            </w:r>
            <w:r w:rsidRPr="00D11BAB">
              <w:rPr>
                <w:rFonts w:ascii="Times New Roman" w:hAnsi="Times New Roman"/>
                <w:sz w:val="24"/>
                <w:szCs w:val="24"/>
              </w:rPr>
              <w:t>(13</w:t>
            </w:r>
            <w:proofErr w:type="gramStart"/>
            <w:r w:rsidRPr="00D11BAB">
              <w:rPr>
                <w:rFonts w:ascii="Times New Roman" w:hAnsi="Times New Roman"/>
                <w:sz w:val="24"/>
                <w:szCs w:val="24"/>
              </w:rPr>
              <w:t>,8</w:t>
            </w:r>
            <w:proofErr w:type="gramEnd"/>
            <w:r w:rsidRPr="00D11BAB">
              <w:rPr>
                <w:rFonts w:ascii="Times New Roman" w:hAnsi="Times New Roman"/>
                <w:sz w:val="24"/>
                <w:szCs w:val="24"/>
              </w:rPr>
              <w:t>%)</w:t>
            </w:r>
          </w:p>
        </w:tc>
        <w:tc>
          <w:tcPr>
            <w:tcW w:w="2618" w:type="dxa"/>
            <w:shd w:val="clear" w:color="auto" w:fill="auto"/>
            <w:vAlign w:val="center"/>
          </w:tcPr>
          <w:p w14:paraId="5AAF87E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4</w:t>
            </w:r>
            <w:r w:rsidRPr="00D11BAB">
              <w:rPr>
                <w:rFonts w:ascii="Times New Roman" w:hAnsi="Times New Roman"/>
                <w:sz w:val="24"/>
                <w:szCs w:val="24"/>
              </w:rPr>
              <w:t>(7</w:t>
            </w:r>
            <w:proofErr w:type="gramStart"/>
            <w:r w:rsidRPr="00D11BAB">
              <w:rPr>
                <w:rFonts w:ascii="Times New Roman" w:hAnsi="Times New Roman"/>
                <w:sz w:val="24"/>
                <w:szCs w:val="24"/>
              </w:rPr>
              <w:t>,5</w:t>
            </w:r>
            <w:proofErr w:type="gramEnd"/>
            <w:r w:rsidRPr="00D11BAB">
              <w:rPr>
                <w:rFonts w:ascii="Times New Roman" w:hAnsi="Times New Roman"/>
                <w:sz w:val="24"/>
                <w:szCs w:val="24"/>
              </w:rPr>
              <w:t>%)</w:t>
            </w:r>
          </w:p>
        </w:tc>
        <w:tc>
          <w:tcPr>
            <w:tcW w:w="1050" w:type="dxa"/>
            <w:shd w:val="clear" w:color="auto" w:fill="auto"/>
            <w:vAlign w:val="center"/>
          </w:tcPr>
          <w:p w14:paraId="1AFCB7A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0,858</w:t>
            </w:r>
          </w:p>
        </w:tc>
      </w:tr>
      <w:tr w:rsidR="00EF5CD6" w:rsidRPr="00D11BAB" w14:paraId="6D762ADC" w14:textId="77777777" w:rsidTr="00094F6F">
        <w:trPr>
          <w:jc w:val="center"/>
        </w:trPr>
        <w:tc>
          <w:tcPr>
            <w:tcW w:w="3864" w:type="dxa"/>
            <w:shd w:val="clear" w:color="auto" w:fill="auto"/>
          </w:tcPr>
          <w:p w14:paraId="3D7C139B"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Недержание кала</w:t>
            </w:r>
          </w:p>
        </w:tc>
        <w:tc>
          <w:tcPr>
            <w:tcW w:w="2085" w:type="dxa"/>
            <w:shd w:val="clear" w:color="auto" w:fill="auto"/>
            <w:vAlign w:val="center"/>
          </w:tcPr>
          <w:p w14:paraId="5C0903D7"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3</w:t>
            </w:r>
            <w:r w:rsidRPr="00D11BAB">
              <w:rPr>
                <w:rFonts w:ascii="Times New Roman" w:hAnsi="Times New Roman"/>
                <w:sz w:val="24"/>
                <w:szCs w:val="24"/>
              </w:rPr>
              <w:t>(4</w:t>
            </w:r>
            <w:proofErr w:type="gramStart"/>
            <w:r w:rsidRPr="00D11BAB">
              <w:rPr>
                <w:rFonts w:ascii="Times New Roman" w:hAnsi="Times New Roman"/>
                <w:sz w:val="24"/>
                <w:szCs w:val="24"/>
              </w:rPr>
              <w:t>,1</w:t>
            </w:r>
            <w:proofErr w:type="gramEnd"/>
            <w:r w:rsidRPr="00D11BAB">
              <w:rPr>
                <w:rFonts w:ascii="Times New Roman" w:hAnsi="Times New Roman"/>
                <w:sz w:val="24"/>
                <w:szCs w:val="24"/>
              </w:rPr>
              <w:t>%)</w:t>
            </w:r>
          </w:p>
        </w:tc>
        <w:tc>
          <w:tcPr>
            <w:tcW w:w="2618" w:type="dxa"/>
            <w:shd w:val="clear" w:color="auto" w:fill="auto"/>
            <w:vAlign w:val="center"/>
          </w:tcPr>
          <w:p w14:paraId="60E52379"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0</w:t>
            </w:r>
            <w:r w:rsidRPr="00D11BAB">
              <w:rPr>
                <w:rFonts w:ascii="Times New Roman" w:hAnsi="Times New Roman"/>
                <w:sz w:val="24"/>
                <w:szCs w:val="24"/>
              </w:rPr>
              <w:t>(0)</w:t>
            </w:r>
          </w:p>
        </w:tc>
        <w:tc>
          <w:tcPr>
            <w:tcW w:w="1050" w:type="dxa"/>
            <w:shd w:val="clear" w:color="auto" w:fill="auto"/>
            <w:vAlign w:val="center"/>
          </w:tcPr>
          <w:p w14:paraId="518EC707"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0,251</w:t>
            </w:r>
          </w:p>
        </w:tc>
      </w:tr>
      <w:tr w:rsidR="00EF5CD6" w:rsidRPr="00D11BAB" w14:paraId="5B333826" w14:textId="77777777" w:rsidTr="00094F6F">
        <w:trPr>
          <w:jc w:val="center"/>
        </w:trPr>
        <w:tc>
          <w:tcPr>
            <w:tcW w:w="3864" w:type="dxa"/>
            <w:shd w:val="clear" w:color="auto" w:fill="auto"/>
          </w:tcPr>
          <w:p w14:paraId="69573986"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Тенезмы</w:t>
            </w:r>
          </w:p>
        </w:tc>
        <w:tc>
          <w:tcPr>
            <w:tcW w:w="2085" w:type="dxa"/>
            <w:shd w:val="clear" w:color="auto" w:fill="auto"/>
            <w:vAlign w:val="center"/>
          </w:tcPr>
          <w:p w14:paraId="5246B068"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4(5,5%)</w:t>
            </w:r>
          </w:p>
        </w:tc>
        <w:tc>
          <w:tcPr>
            <w:tcW w:w="2618" w:type="dxa"/>
            <w:shd w:val="clear" w:color="auto" w:fill="auto"/>
            <w:vAlign w:val="center"/>
          </w:tcPr>
          <w:p w14:paraId="7CEA60B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5(9,4%)</w:t>
            </w:r>
          </w:p>
        </w:tc>
        <w:tc>
          <w:tcPr>
            <w:tcW w:w="1050" w:type="dxa"/>
            <w:shd w:val="clear" w:color="auto" w:fill="auto"/>
            <w:vAlign w:val="center"/>
          </w:tcPr>
          <w:p w14:paraId="468E467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0,591</w:t>
            </w:r>
          </w:p>
        </w:tc>
      </w:tr>
      <w:tr w:rsidR="00EF5CD6" w:rsidRPr="00D11BAB" w14:paraId="617D7B33" w14:textId="77777777" w:rsidTr="00094F6F">
        <w:trPr>
          <w:jc w:val="center"/>
        </w:trPr>
        <w:tc>
          <w:tcPr>
            <w:tcW w:w="3864" w:type="dxa"/>
            <w:shd w:val="clear" w:color="auto" w:fill="auto"/>
          </w:tcPr>
          <w:p w14:paraId="56FDE49E" w14:textId="77777777" w:rsidR="00EF5CD6" w:rsidRPr="00D11BAB" w:rsidRDefault="00EF5CD6" w:rsidP="00094F6F">
            <w:pPr>
              <w:tabs>
                <w:tab w:val="left" w:pos="0"/>
              </w:tabs>
              <w:spacing w:after="0" w:line="240" w:lineRule="auto"/>
              <w:rPr>
                <w:rFonts w:ascii="Times New Roman" w:hAnsi="Times New Roman"/>
                <w:bCs/>
                <w:sz w:val="24"/>
                <w:szCs w:val="24"/>
                <w:highlight w:val="yellow"/>
                <w:lang w:val="kk-KZ" w:eastAsia="en-US"/>
              </w:rPr>
            </w:pPr>
            <w:r w:rsidRPr="00D11BAB">
              <w:rPr>
                <w:rFonts w:ascii="Times New Roman" w:hAnsi="Times New Roman"/>
                <w:bCs/>
                <w:sz w:val="24"/>
                <w:szCs w:val="24"/>
                <w:lang w:val="kk-KZ"/>
              </w:rPr>
              <w:t>Ночная дефекация (при сохранении анальной дефекации)</w:t>
            </w:r>
          </w:p>
        </w:tc>
        <w:tc>
          <w:tcPr>
            <w:tcW w:w="2085" w:type="dxa"/>
            <w:shd w:val="clear" w:color="auto" w:fill="auto"/>
            <w:vAlign w:val="center"/>
          </w:tcPr>
          <w:p w14:paraId="653860E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3</w:t>
            </w:r>
            <w:r w:rsidRPr="00D11BAB">
              <w:rPr>
                <w:rFonts w:ascii="Times New Roman" w:hAnsi="Times New Roman"/>
                <w:sz w:val="24"/>
                <w:szCs w:val="24"/>
              </w:rPr>
              <w:t>(4</w:t>
            </w:r>
            <w:proofErr w:type="gramStart"/>
            <w:r w:rsidRPr="00D11BAB">
              <w:rPr>
                <w:rFonts w:ascii="Times New Roman" w:hAnsi="Times New Roman"/>
                <w:sz w:val="24"/>
                <w:szCs w:val="24"/>
              </w:rPr>
              <w:t>,1</w:t>
            </w:r>
            <w:proofErr w:type="gramEnd"/>
            <w:r w:rsidRPr="00D11BAB">
              <w:rPr>
                <w:rFonts w:ascii="Times New Roman" w:hAnsi="Times New Roman"/>
                <w:sz w:val="24"/>
                <w:szCs w:val="24"/>
              </w:rPr>
              <w:t>%)</w:t>
            </w:r>
          </w:p>
        </w:tc>
        <w:tc>
          <w:tcPr>
            <w:tcW w:w="2618" w:type="dxa"/>
            <w:shd w:val="clear" w:color="auto" w:fill="auto"/>
            <w:vAlign w:val="center"/>
          </w:tcPr>
          <w:p w14:paraId="3EEB7B0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4</w:t>
            </w:r>
            <w:r w:rsidRPr="00D11BAB">
              <w:rPr>
                <w:rFonts w:ascii="Times New Roman" w:hAnsi="Times New Roman"/>
                <w:sz w:val="24"/>
                <w:szCs w:val="24"/>
              </w:rPr>
              <w:t>(7</w:t>
            </w:r>
            <w:proofErr w:type="gramStart"/>
            <w:r w:rsidRPr="00D11BAB">
              <w:rPr>
                <w:rFonts w:ascii="Times New Roman" w:hAnsi="Times New Roman"/>
                <w:sz w:val="24"/>
                <w:szCs w:val="24"/>
              </w:rPr>
              <w:t>,5</w:t>
            </w:r>
            <w:proofErr w:type="gramEnd"/>
            <w:r w:rsidRPr="00D11BAB">
              <w:rPr>
                <w:rFonts w:ascii="Times New Roman" w:hAnsi="Times New Roman"/>
                <w:sz w:val="24"/>
                <w:szCs w:val="24"/>
              </w:rPr>
              <w:t>%)</w:t>
            </w:r>
          </w:p>
        </w:tc>
        <w:tc>
          <w:tcPr>
            <w:tcW w:w="1050" w:type="dxa"/>
            <w:shd w:val="clear" w:color="auto" w:fill="auto"/>
            <w:vAlign w:val="center"/>
          </w:tcPr>
          <w:p w14:paraId="6ADAA87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0,168</w:t>
            </w:r>
          </w:p>
        </w:tc>
      </w:tr>
      <w:tr w:rsidR="00EF5CD6" w:rsidRPr="00D11BAB" w14:paraId="7A43B64A" w14:textId="77777777" w:rsidTr="00094F6F">
        <w:trPr>
          <w:jc w:val="center"/>
        </w:trPr>
        <w:tc>
          <w:tcPr>
            <w:tcW w:w="3864" w:type="dxa"/>
            <w:shd w:val="clear" w:color="auto" w:fill="auto"/>
          </w:tcPr>
          <w:p w14:paraId="25EC468B"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Тошнота</w:t>
            </w:r>
          </w:p>
        </w:tc>
        <w:tc>
          <w:tcPr>
            <w:tcW w:w="2085" w:type="dxa"/>
            <w:shd w:val="clear" w:color="auto" w:fill="auto"/>
            <w:vAlign w:val="center"/>
          </w:tcPr>
          <w:p w14:paraId="745B155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1</w:t>
            </w:r>
            <w:r w:rsidRPr="00D11BAB">
              <w:rPr>
                <w:rFonts w:ascii="Times New Roman" w:hAnsi="Times New Roman"/>
                <w:sz w:val="24"/>
                <w:szCs w:val="24"/>
              </w:rPr>
              <w:t>(2</w:t>
            </w:r>
            <w:proofErr w:type="gramStart"/>
            <w:r w:rsidRPr="00D11BAB">
              <w:rPr>
                <w:rFonts w:ascii="Times New Roman" w:hAnsi="Times New Roman"/>
                <w:sz w:val="24"/>
                <w:szCs w:val="24"/>
              </w:rPr>
              <w:t>,3</w:t>
            </w:r>
            <w:proofErr w:type="gramEnd"/>
            <w:r w:rsidRPr="00D11BAB">
              <w:rPr>
                <w:rFonts w:ascii="Times New Roman" w:hAnsi="Times New Roman"/>
                <w:sz w:val="24"/>
                <w:szCs w:val="24"/>
              </w:rPr>
              <w:t>%)</w:t>
            </w:r>
          </w:p>
        </w:tc>
        <w:tc>
          <w:tcPr>
            <w:tcW w:w="2618" w:type="dxa"/>
            <w:shd w:val="clear" w:color="auto" w:fill="auto"/>
            <w:vAlign w:val="center"/>
          </w:tcPr>
          <w:p w14:paraId="654F8CF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3</w:t>
            </w:r>
            <w:r w:rsidRPr="00D11BAB">
              <w:rPr>
                <w:rFonts w:ascii="Times New Roman" w:hAnsi="Times New Roman"/>
                <w:sz w:val="24"/>
                <w:szCs w:val="24"/>
              </w:rPr>
              <w:t>(5</w:t>
            </w:r>
            <w:proofErr w:type="gramStart"/>
            <w:r w:rsidRPr="00D11BAB">
              <w:rPr>
                <w:rFonts w:ascii="Times New Roman" w:hAnsi="Times New Roman"/>
                <w:sz w:val="24"/>
                <w:szCs w:val="24"/>
              </w:rPr>
              <w:t>,6</w:t>
            </w:r>
            <w:proofErr w:type="gramEnd"/>
            <w:r w:rsidRPr="00D11BAB">
              <w:rPr>
                <w:rFonts w:ascii="Times New Roman" w:hAnsi="Times New Roman"/>
                <w:sz w:val="24"/>
                <w:szCs w:val="24"/>
              </w:rPr>
              <w:t>%)</w:t>
            </w:r>
          </w:p>
        </w:tc>
        <w:tc>
          <w:tcPr>
            <w:tcW w:w="1050" w:type="dxa"/>
            <w:shd w:val="clear" w:color="auto" w:fill="auto"/>
            <w:vAlign w:val="center"/>
          </w:tcPr>
          <w:p w14:paraId="37DED2A4"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0,908</w:t>
            </w:r>
          </w:p>
        </w:tc>
      </w:tr>
      <w:tr w:rsidR="00EF5CD6" w:rsidRPr="00D11BAB" w14:paraId="4D1E5A9A" w14:textId="77777777" w:rsidTr="00094F6F">
        <w:trPr>
          <w:jc w:val="center"/>
        </w:trPr>
        <w:tc>
          <w:tcPr>
            <w:tcW w:w="9617" w:type="dxa"/>
            <w:gridSpan w:val="4"/>
            <w:shd w:val="clear" w:color="auto" w:fill="auto"/>
          </w:tcPr>
          <w:p w14:paraId="12B5377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01"/>
              <w:jc w:val="both"/>
              <w:rPr>
                <w:rFonts w:ascii="Times New Roman" w:hAnsi="Times New Roman"/>
                <w:sz w:val="24"/>
                <w:szCs w:val="24"/>
              </w:rPr>
            </w:pPr>
            <w:r w:rsidRPr="00D11BAB">
              <w:rPr>
                <w:rFonts w:ascii="Times New Roman" w:hAnsi="Times New Roman"/>
                <w:sz w:val="24"/>
                <w:szCs w:val="24"/>
              </w:rPr>
              <w:t>Примечание – р˂0,05 для критерий хи-квадрат Пирсона</w:t>
            </w:r>
          </w:p>
        </w:tc>
      </w:tr>
    </w:tbl>
    <w:p w14:paraId="20869585"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6622E568"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bCs/>
          <w:sz w:val="28"/>
          <w:szCs w:val="28"/>
          <w:lang w:val="kk-KZ"/>
        </w:rPr>
      </w:pPr>
      <w:r w:rsidRPr="00D11BAB">
        <w:rPr>
          <w:rFonts w:ascii="Times New Roman" w:hAnsi="Times New Roman"/>
          <w:sz w:val="28"/>
          <w:szCs w:val="28"/>
        </w:rPr>
        <w:t xml:space="preserve">Химиотерапевтическое лечение получили 45 (40%) [95%ДИ 39,07-40,92%] из запланированных 113 больных. Выполнен сравнительный анализ встречаемости симптоматики энтероколита у больных, получавших и не получавших химиотерапевтическое лечение (таблица </w:t>
      </w:r>
      <w:r>
        <w:rPr>
          <w:rFonts w:ascii="Times New Roman" w:hAnsi="Times New Roman"/>
          <w:sz w:val="28"/>
          <w:szCs w:val="28"/>
        </w:rPr>
        <w:t>34</w:t>
      </w:r>
      <w:r w:rsidRPr="00D11BAB">
        <w:rPr>
          <w:rFonts w:ascii="Times New Roman" w:hAnsi="Times New Roman"/>
          <w:sz w:val="28"/>
          <w:szCs w:val="28"/>
        </w:rPr>
        <w:t>).</w:t>
      </w:r>
    </w:p>
    <w:p w14:paraId="63C7BBAB" w14:textId="77777777" w:rsidR="00EF5CD6" w:rsidRPr="00BB1768"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p>
    <w:p w14:paraId="007776C0"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D11BAB">
        <w:rPr>
          <w:rFonts w:ascii="Times New Roman" w:hAnsi="Times New Roman"/>
          <w:sz w:val="28"/>
          <w:szCs w:val="28"/>
        </w:rPr>
        <w:t xml:space="preserve">Таблица </w:t>
      </w:r>
      <w:r>
        <w:rPr>
          <w:rFonts w:ascii="Times New Roman" w:hAnsi="Times New Roman"/>
          <w:sz w:val="28"/>
          <w:szCs w:val="28"/>
        </w:rPr>
        <w:t>34</w:t>
      </w:r>
      <w:r w:rsidRPr="00D11BAB">
        <w:rPr>
          <w:rFonts w:ascii="Times New Roman" w:hAnsi="Times New Roman"/>
          <w:sz w:val="28"/>
          <w:szCs w:val="28"/>
        </w:rPr>
        <w:t xml:space="preserve"> – Сравнительная оценка распространенности симптомов энтероколита, получавших и не получавших химиотерапевтическое лечение</w:t>
      </w:r>
    </w:p>
    <w:p w14:paraId="02135F3F" w14:textId="77777777" w:rsidR="00EF5CD6" w:rsidRPr="00BB1768"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p>
    <w:tbl>
      <w:tblPr>
        <w:tblW w:w="9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64"/>
        <w:gridCol w:w="2085"/>
        <w:gridCol w:w="2618"/>
        <w:gridCol w:w="1050"/>
      </w:tblGrid>
      <w:tr w:rsidR="00EF5CD6" w:rsidRPr="00D11BAB" w14:paraId="76709466" w14:textId="77777777" w:rsidTr="00094F6F">
        <w:trPr>
          <w:jc w:val="center"/>
        </w:trPr>
        <w:tc>
          <w:tcPr>
            <w:tcW w:w="3864" w:type="dxa"/>
            <w:shd w:val="clear" w:color="auto" w:fill="auto"/>
            <w:vAlign w:val="center"/>
          </w:tcPr>
          <w:p w14:paraId="3C39AFE8"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bCs/>
                <w:sz w:val="24"/>
                <w:szCs w:val="24"/>
                <w:lang w:val="kk-KZ"/>
              </w:rPr>
              <w:t>Симптомы</w:t>
            </w:r>
          </w:p>
        </w:tc>
        <w:tc>
          <w:tcPr>
            <w:tcW w:w="2085" w:type="dxa"/>
            <w:shd w:val="clear" w:color="auto" w:fill="auto"/>
            <w:vAlign w:val="center"/>
          </w:tcPr>
          <w:p w14:paraId="0C1E2937"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Химиотерапия (</w:t>
            </w:r>
            <w:r w:rsidRPr="00D11BAB">
              <w:rPr>
                <w:rFonts w:ascii="Times New Roman" w:hAnsi="Times New Roman"/>
                <w:sz w:val="24"/>
                <w:szCs w:val="24"/>
                <w:lang w:val="en-US"/>
              </w:rPr>
              <w:t>n</w:t>
            </w:r>
            <w:r w:rsidRPr="00D11BAB">
              <w:rPr>
                <w:rFonts w:ascii="Times New Roman" w:hAnsi="Times New Roman"/>
                <w:sz w:val="24"/>
                <w:szCs w:val="24"/>
              </w:rPr>
              <w:t>)</w:t>
            </w:r>
          </w:p>
        </w:tc>
        <w:tc>
          <w:tcPr>
            <w:tcW w:w="2618" w:type="dxa"/>
            <w:shd w:val="clear" w:color="auto" w:fill="auto"/>
            <w:vAlign w:val="center"/>
          </w:tcPr>
          <w:p w14:paraId="7C1FEA9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Без химиотерапии (</w:t>
            </w:r>
            <w:r w:rsidRPr="00D11BAB">
              <w:rPr>
                <w:rFonts w:ascii="Times New Roman" w:hAnsi="Times New Roman"/>
                <w:sz w:val="24"/>
                <w:szCs w:val="24"/>
                <w:lang w:val="en-US"/>
              </w:rPr>
              <w:t>n</w:t>
            </w:r>
            <w:r w:rsidRPr="00D11BAB">
              <w:rPr>
                <w:rFonts w:ascii="Times New Roman" w:hAnsi="Times New Roman"/>
                <w:sz w:val="24"/>
                <w:szCs w:val="24"/>
              </w:rPr>
              <w:t>)</w:t>
            </w:r>
          </w:p>
        </w:tc>
        <w:tc>
          <w:tcPr>
            <w:tcW w:w="1050" w:type="dxa"/>
            <w:shd w:val="clear" w:color="auto" w:fill="auto"/>
            <w:vAlign w:val="center"/>
          </w:tcPr>
          <w:p w14:paraId="6F78556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proofErr w:type="gramStart"/>
            <w:r w:rsidRPr="00D11BAB">
              <w:rPr>
                <w:rFonts w:ascii="Times New Roman" w:hAnsi="Times New Roman"/>
                <w:sz w:val="24"/>
                <w:szCs w:val="24"/>
              </w:rPr>
              <w:t>р</w:t>
            </w:r>
            <w:proofErr w:type="gramEnd"/>
          </w:p>
        </w:tc>
      </w:tr>
      <w:tr w:rsidR="00EF5CD6" w:rsidRPr="00D11BAB" w14:paraId="0506FECD" w14:textId="77777777" w:rsidTr="00094F6F">
        <w:trPr>
          <w:jc w:val="center"/>
        </w:trPr>
        <w:tc>
          <w:tcPr>
            <w:tcW w:w="3864" w:type="dxa"/>
            <w:shd w:val="clear" w:color="auto" w:fill="auto"/>
          </w:tcPr>
          <w:p w14:paraId="57F9FA6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sz w:val="24"/>
                <w:szCs w:val="24"/>
              </w:rPr>
            </w:pPr>
            <w:r w:rsidRPr="00D11BAB">
              <w:rPr>
                <w:rFonts w:ascii="Times New Roman" w:hAnsi="Times New Roman"/>
                <w:bCs/>
                <w:sz w:val="24"/>
                <w:szCs w:val="24"/>
                <w:lang w:val="kk-KZ" w:eastAsia="en-US"/>
              </w:rPr>
              <w:t>Диарея</w:t>
            </w:r>
          </w:p>
        </w:tc>
        <w:tc>
          <w:tcPr>
            <w:tcW w:w="2085" w:type="dxa"/>
            <w:shd w:val="clear" w:color="auto" w:fill="auto"/>
            <w:vAlign w:val="center"/>
          </w:tcPr>
          <w:p w14:paraId="2C070F5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2</w:t>
            </w:r>
            <w:r w:rsidRPr="00D11BAB">
              <w:rPr>
                <w:rFonts w:ascii="Times New Roman" w:hAnsi="Times New Roman"/>
                <w:sz w:val="24"/>
                <w:szCs w:val="24"/>
              </w:rPr>
              <w:t>3</w:t>
            </w:r>
          </w:p>
        </w:tc>
        <w:tc>
          <w:tcPr>
            <w:tcW w:w="2618" w:type="dxa"/>
            <w:shd w:val="clear" w:color="auto" w:fill="auto"/>
            <w:vAlign w:val="center"/>
          </w:tcPr>
          <w:p w14:paraId="25E3531F"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35</w:t>
            </w:r>
          </w:p>
        </w:tc>
        <w:tc>
          <w:tcPr>
            <w:tcW w:w="1050" w:type="dxa"/>
            <w:shd w:val="clear" w:color="auto" w:fill="auto"/>
            <w:vAlign w:val="center"/>
          </w:tcPr>
          <w:p w14:paraId="1CF884AF"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0,115</w:t>
            </w:r>
          </w:p>
        </w:tc>
      </w:tr>
      <w:tr w:rsidR="00EF5CD6" w:rsidRPr="00D11BAB" w14:paraId="78F86FAD" w14:textId="77777777" w:rsidTr="00094F6F">
        <w:trPr>
          <w:jc w:val="center"/>
        </w:trPr>
        <w:tc>
          <w:tcPr>
            <w:tcW w:w="3864" w:type="dxa"/>
            <w:shd w:val="clear" w:color="auto" w:fill="auto"/>
          </w:tcPr>
          <w:p w14:paraId="7869AE0D"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Метеоризм</w:t>
            </w:r>
          </w:p>
        </w:tc>
        <w:tc>
          <w:tcPr>
            <w:tcW w:w="2085" w:type="dxa"/>
            <w:shd w:val="clear" w:color="auto" w:fill="auto"/>
            <w:vAlign w:val="center"/>
          </w:tcPr>
          <w:p w14:paraId="09470FA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16</w:t>
            </w:r>
          </w:p>
        </w:tc>
        <w:tc>
          <w:tcPr>
            <w:tcW w:w="2618" w:type="dxa"/>
            <w:shd w:val="clear" w:color="auto" w:fill="auto"/>
            <w:vAlign w:val="center"/>
          </w:tcPr>
          <w:p w14:paraId="0631298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18</w:t>
            </w:r>
          </w:p>
        </w:tc>
        <w:tc>
          <w:tcPr>
            <w:tcW w:w="1050" w:type="dxa"/>
            <w:shd w:val="clear" w:color="auto" w:fill="auto"/>
            <w:vAlign w:val="center"/>
          </w:tcPr>
          <w:p w14:paraId="2712028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0,732</w:t>
            </w:r>
          </w:p>
        </w:tc>
      </w:tr>
      <w:tr w:rsidR="00EF5CD6" w:rsidRPr="00D11BAB" w14:paraId="2DD69B37" w14:textId="77777777" w:rsidTr="00094F6F">
        <w:trPr>
          <w:jc w:val="center"/>
        </w:trPr>
        <w:tc>
          <w:tcPr>
            <w:tcW w:w="3864" w:type="dxa"/>
            <w:shd w:val="clear" w:color="auto" w:fill="auto"/>
          </w:tcPr>
          <w:p w14:paraId="6DE1303D"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Абдоминальная боль</w:t>
            </w:r>
          </w:p>
        </w:tc>
        <w:tc>
          <w:tcPr>
            <w:tcW w:w="2085" w:type="dxa"/>
            <w:shd w:val="clear" w:color="auto" w:fill="auto"/>
            <w:vAlign w:val="center"/>
          </w:tcPr>
          <w:p w14:paraId="73047FA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12</w:t>
            </w:r>
          </w:p>
        </w:tc>
        <w:tc>
          <w:tcPr>
            <w:tcW w:w="2618" w:type="dxa"/>
            <w:shd w:val="clear" w:color="auto" w:fill="auto"/>
            <w:vAlign w:val="center"/>
          </w:tcPr>
          <w:p w14:paraId="0EA3293B"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6</w:t>
            </w:r>
          </w:p>
        </w:tc>
        <w:tc>
          <w:tcPr>
            <w:tcW w:w="1050" w:type="dxa"/>
            <w:shd w:val="clear" w:color="auto" w:fill="auto"/>
            <w:vAlign w:val="center"/>
          </w:tcPr>
          <w:p w14:paraId="2471690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0,157</w:t>
            </w:r>
          </w:p>
        </w:tc>
      </w:tr>
      <w:tr w:rsidR="00EF5CD6" w:rsidRPr="00D11BAB" w14:paraId="7A6C37F0" w14:textId="77777777" w:rsidTr="00094F6F">
        <w:trPr>
          <w:jc w:val="center"/>
        </w:trPr>
        <w:tc>
          <w:tcPr>
            <w:tcW w:w="3864" w:type="dxa"/>
            <w:shd w:val="clear" w:color="auto" w:fill="auto"/>
          </w:tcPr>
          <w:p w14:paraId="1D0D61E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Констипация</w:t>
            </w:r>
          </w:p>
        </w:tc>
        <w:tc>
          <w:tcPr>
            <w:tcW w:w="2085" w:type="dxa"/>
            <w:shd w:val="clear" w:color="auto" w:fill="auto"/>
            <w:vAlign w:val="center"/>
          </w:tcPr>
          <w:p w14:paraId="2570A08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6</w:t>
            </w:r>
          </w:p>
        </w:tc>
        <w:tc>
          <w:tcPr>
            <w:tcW w:w="2618" w:type="dxa"/>
            <w:shd w:val="clear" w:color="auto" w:fill="auto"/>
            <w:vAlign w:val="center"/>
          </w:tcPr>
          <w:p w14:paraId="6CCA04F8"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8</w:t>
            </w:r>
          </w:p>
        </w:tc>
        <w:tc>
          <w:tcPr>
            <w:tcW w:w="1050" w:type="dxa"/>
            <w:shd w:val="clear" w:color="auto" w:fill="auto"/>
            <w:vAlign w:val="center"/>
          </w:tcPr>
          <w:p w14:paraId="1D2DA05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0593</w:t>
            </w:r>
          </w:p>
        </w:tc>
      </w:tr>
      <w:tr w:rsidR="00EF5CD6" w:rsidRPr="00D11BAB" w14:paraId="75F6A80E" w14:textId="77777777" w:rsidTr="00094F6F">
        <w:trPr>
          <w:jc w:val="center"/>
        </w:trPr>
        <w:tc>
          <w:tcPr>
            <w:tcW w:w="3864" w:type="dxa"/>
            <w:shd w:val="clear" w:color="auto" w:fill="auto"/>
          </w:tcPr>
          <w:p w14:paraId="24AADD5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Недержание кала</w:t>
            </w:r>
          </w:p>
        </w:tc>
        <w:tc>
          <w:tcPr>
            <w:tcW w:w="2085" w:type="dxa"/>
            <w:shd w:val="clear" w:color="auto" w:fill="auto"/>
            <w:vAlign w:val="center"/>
          </w:tcPr>
          <w:p w14:paraId="49F9FC7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6</w:t>
            </w:r>
          </w:p>
        </w:tc>
        <w:tc>
          <w:tcPr>
            <w:tcW w:w="2618" w:type="dxa"/>
            <w:shd w:val="clear" w:color="auto" w:fill="auto"/>
            <w:vAlign w:val="center"/>
          </w:tcPr>
          <w:p w14:paraId="165835DB"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4</w:t>
            </w:r>
          </w:p>
        </w:tc>
        <w:tc>
          <w:tcPr>
            <w:tcW w:w="1050" w:type="dxa"/>
            <w:shd w:val="clear" w:color="auto" w:fill="auto"/>
            <w:vAlign w:val="center"/>
          </w:tcPr>
          <w:p w14:paraId="5116E25B"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0,527</w:t>
            </w:r>
          </w:p>
        </w:tc>
      </w:tr>
      <w:tr w:rsidR="00EF5CD6" w:rsidRPr="00D11BAB" w14:paraId="6690B9B6" w14:textId="77777777" w:rsidTr="00094F6F">
        <w:trPr>
          <w:jc w:val="center"/>
        </w:trPr>
        <w:tc>
          <w:tcPr>
            <w:tcW w:w="3864" w:type="dxa"/>
            <w:shd w:val="clear" w:color="auto" w:fill="auto"/>
          </w:tcPr>
          <w:p w14:paraId="129A099D"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Тенезмы</w:t>
            </w:r>
          </w:p>
        </w:tc>
        <w:tc>
          <w:tcPr>
            <w:tcW w:w="2085" w:type="dxa"/>
            <w:shd w:val="clear" w:color="auto" w:fill="auto"/>
            <w:vAlign w:val="center"/>
          </w:tcPr>
          <w:p w14:paraId="3A6F8E7F"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5</w:t>
            </w:r>
          </w:p>
        </w:tc>
        <w:tc>
          <w:tcPr>
            <w:tcW w:w="2618" w:type="dxa"/>
            <w:shd w:val="clear" w:color="auto" w:fill="auto"/>
            <w:vAlign w:val="center"/>
          </w:tcPr>
          <w:p w14:paraId="64BA7C6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4</w:t>
            </w:r>
          </w:p>
        </w:tc>
        <w:tc>
          <w:tcPr>
            <w:tcW w:w="1050" w:type="dxa"/>
            <w:shd w:val="clear" w:color="auto" w:fill="auto"/>
            <w:vAlign w:val="center"/>
          </w:tcPr>
          <w:p w14:paraId="61431BD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0,739</w:t>
            </w:r>
          </w:p>
        </w:tc>
      </w:tr>
      <w:tr w:rsidR="00EF5CD6" w:rsidRPr="00D11BAB" w14:paraId="7BDF0560" w14:textId="77777777" w:rsidTr="00094F6F">
        <w:trPr>
          <w:jc w:val="center"/>
        </w:trPr>
        <w:tc>
          <w:tcPr>
            <w:tcW w:w="3864" w:type="dxa"/>
            <w:shd w:val="clear" w:color="auto" w:fill="auto"/>
          </w:tcPr>
          <w:p w14:paraId="59315F72" w14:textId="77777777" w:rsidR="00EF5CD6" w:rsidRPr="00D11BAB" w:rsidRDefault="00EF5CD6" w:rsidP="00094F6F">
            <w:pPr>
              <w:tabs>
                <w:tab w:val="left" w:pos="0"/>
              </w:tabs>
              <w:spacing w:after="0" w:line="240" w:lineRule="auto"/>
              <w:rPr>
                <w:rFonts w:ascii="Times New Roman" w:hAnsi="Times New Roman"/>
                <w:bCs/>
                <w:sz w:val="24"/>
                <w:szCs w:val="24"/>
                <w:highlight w:val="yellow"/>
                <w:lang w:val="kk-KZ" w:eastAsia="en-US"/>
              </w:rPr>
            </w:pPr>
            <w:r w:rsidRPr="00D11BAB">
              <w:rPr>
                <w:rFonts w:ascii="Times New Roman" w:hAnsi="Times New Roman"/>
                <w:bCs/>
                <w:sz w:val="24"/>
                <w:szCs w:val="24"/>
                <w:lang w:val="kk-KZ"/>
              </w:rPr>
              <w:t>Ночная дефекация (при сохранении анальной дефекации)</w:t>
            </w:r>
          </w:p>
        </w:tc>
        <w:tc>
          <w:tcPr>
            <w:tcW w:w="2085" w:type="dxa"/>
            <w:shd w:val="clear" w:color="auto" w:fill="auto"/>
            <w:vAlign w:val="center"/>
          </w:tcPr>
          <w:p w14:paraId="56277A9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3</w:t>
            </w:r>
          </w:p>
        </w:tc>
        <w:tc>
          <w:tcPr>
            <w:tcW w:w="2618" w:type="dxa"/>
            <w:shd w:val="clear" w:color="auto" w:fill="auto"/>
            <w:vAlign w:val="center"/>
          </w:tcPr>
          <w:p w14:paraId="43960AE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4</w:t>
            </w:r>
          </w:p>
        </w:tc>
        <w:tc>
          <w:tcPr>
            <w:tcW w:w="1050" w:type="dxa"/>
            <w:shd w:val="clear" w:color="auto" w:fill="auto"/>
            <w:vAlign w:val="center"/>
          </w:tcPr>
          <w:p w14:paraId="6E2E28C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0,705</w:t>
            </w:r>
          </w:p>
        </w:tc>
      </w:tr>
      <w:tr w:rsidR="00EF5CD6" w:rsidRPr="00D11BAB" w14:paraId="170E4270" w14:textId="77777777" w:rsidTr="00094F6F">
        <w:trPr>
          <w:jc w:val="center"/>
        </w:trPr>
        <w:tc>
          <w:tcPr>
            <w:tcW w:w="3864" w:type="dxa"/>
            <w:shd w:val="clear" w:color="auto" w:fill="auto"/>
          </w:tcPr>
          <w:p w14:paraId="35DE1ECC"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Тошнота</w:t>
            </w:r>
          </w:p>
        </w:tc>
        <w:tc>
          <w:tcPr>
            <w:tcW w:w="2085" w:type="dxa"/>
            <w:shd w:val="clear" w:color="auto" w:fill="auto"/>
            <w:vAlign w:val="center"/>
          </w:tcPr>
          <w:p w14:paraId="255059B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4</w:t>
            </w:r>
          </w:p>
        </w:tc>
        <w:tc>
          <w:tcPr>
            <w:tcW w:w="2618" w:type="dxa"/>
            <w:shd w:val="clear" w:color="auto" w:fill="auto"/>
            <w:vAlign w:val="center"/>
          </w:tcPr>
          <w:p w14:paraId="168F9B8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2</w:t>
            </w:r>
          </w:p>
        </w:tc>
        <w:tc>
          <w:tcPr>
            <w:tcW w:w="1050" w:type="dxa"/>
            <w:shd w:val="clear" w:color="auto" w:fill="auto"/>
            <w:vAlign w:val="center"/>
          </w:tcPr>
          <w:p w14:paraId="1E4D504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0,414</w:t>
            </w:r>
          </w:p>
        </w:tc>
      </w:tr>
      <w:tr w:rsidR="00EF5CD6" w:rsidRPr="00D11BAB" w14:paraId="349B753E" w14:textId="77777777" w:rsidTr="00094F6F">
        <w:trPr>
          <w:jc w:val="center"/>
        </w:trPr>
        <w:tc>
          <w:tcPr>
            <w:tcW w:w="9617" w:type="dxa"/>
            <w:gridSpan w:val="4"/>
            <w:shd w:val="clear" w:color="auto" w:fill="auto"/>
          </w:tcPr>
          <w:p w14:paraId="1917797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01"/>
              <w:jc w:val="both"/>
              <w:rPr>
                <w:rFonts w:ascii="Times New Roman" w:hAnsi="Times New Roman"/>
                <w:sz w:val="24"/>
                <w:szCs w:val="24"/>
              </w:rPr>
            </w:pPr>
            <w:r w:rsidRPr="00D11BAB">
              <w:rPr>
                <w:rFonts w:ascii="Times New Roman" w:hAnsi="Times New Roman"/>
                <w:sz w:val="24"/>
                <w:szCs w:val="24"/>
              </w:rPr>
              <w:t>Примечание – р˂0,05 для критерий хи-квадрат Пирсона</w:t>
            </w:r>
          </w:p>
        </w:tc>
      </w:tr>
    </w:tbl>
    <w:p w14:paraId="4AED890A"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15AF2358"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bCs/>
          <w:sz w:val="28"/>
          <w:szCs w:val="28"/>
          <w:lang w:val="kk-KZ"/>
        </w:rPr>
      </w:pPr>
      <w:r w:rsidRPr="00D11BAB">
        <w:rPr>
          <w:rFonts w:ascii="Times New Roman" w:hAnsi="Times New Roman"/>
          <w:sz w:val="28"/>
          <w:szCs w:val="28"/>
        </w:rPr>
        <w:t>Полученные результаты свидетельствуют об отсутствии статистически достоверной разницы между группами по распространенности симптомов</w:t>
      </w:r>
      <w:r w:rsidRPr="00D11BAB">
        <w:rPr>
          <w:rFonts w:ascii="Times New Roman" w:hAnsi="Times New Roman"/>
          <w:bCs/>
          <w:sz w:val="28"/>
          <w:szCs w:val="28"/>
          <w:lang w:val="kk-KZ"/>
        </w:rPr>
        <w:t xml:space="preserve"> нарушений функции ободочной кишки (р˂0,05).</w:t>
      </w:r>
    </w:p>
    <w:p w14:paraId="7AEBB138"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У 44 больных с сохраненной анальной дефекацией при синдроме хронической диареи медиана частоты стула составила от 8 (5;10) раз в сутки.</w:t>
      </w:r>
    </w:p>
    <w:p w14:paraId="3EFAB1C5"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У 6 больных с </w:t>
      </w:r>
      <w:proofErr w:type="spellStart"/>
      <w:r w:rsidRPr="00D11BAB">
        <w:rPr>
          <w:rFonts w:ascii="Times New Roman" w:hAnsi="Times New Roman"/>
          <w:sz w:val="28"/>
          <w:szCs w:val="28"/>
        </w:rPr>
        <w:t>илеостомами</w:t>
      </w:r>
      <w:proofErr w:type="spellEnd"/>
      <w:r w:rsidRPr="00D11BAB">
        <w:rPr>
          <w:rFonts w:ascii="Times New Roman" w:hAnsi="Times New Roman"/>
          <w:sz w:val="28"/>
          <w:szCs w:val="28"/>
        </w:rPr>
        <w:t xml:space="preserve"> медиана количества кишечного отделяемого составила 1600 мл с размахом от 1300 до 2100 мл в сутки. </w:t>
      </w:r>
    </w:p>
    <w:p w14:paraId="3282B94B"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У 8 больных с </w:t>
      </w:r>
      <w:proofErr w:type="spellStart"/>
      <w:r w:rsidRPr="00D11BAB">
        <w:rPr>
          <w:rFonts w:ascii="Times New Roman" w:hAnsi="Times New Roman"/>
          <w:sz w:val="28"/>
          <w:szCs w:val="28"/>
        </w:rPr>
        <w:t>колостомами</w:t>
      </w:r>
      <w:proofErr w:type="spellEnd"/>
      <w:r w:rsidRPr="00D11BAB">
        <w:rPr>
          <w:rFonts w:ascii="Times New Roman" w:hAnsi="Times New Roman"/>
          <w:sz w:val="28"/>
          <w:szCs w:val="28"/>
        </w:rPr>
        <w:t xml:space="preserve"> отмечено разжижжение кишечного отделяемого с медианой потерь 750 (600;800) мл в сутки.</w:t>
      </w:r>
    </w:p>
    <w:p w14:paraId="5C0B4D35"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С целью определения интервала развития </w:t>
      </w:r>
      <w:r w:rsidRPr="00D11BAB">
        <w:rPr>
          <w:rFonts w:ascii="Times New Roman" w:hAnsi="Times New Roman"/>
          <w:sz w:val="28"/>
          <w:szCs w:val="28"/>
          <w:lang w:val="kk-KZ"/>
        </w:rPr>
        <w:t>симптоматики энтероколита</w:t>
      </w:r>
      <w:r w:rsidRPr="00D11BAB">
        <w:rPr>
          <w:rFonts w:ascii="Times New Roman" w:hAnsi="Times New Roman"/>
          <w:sz w:val="28"/>
          <w:szCs w:val="28"/>
        </w:rPr>
        <w:t xml:space="preserve"> применили статистический метод Каплан-Мейера, где «исход» обозначился как </w:t>
      </w:r>
      <w:r w:rsidRPr="00D11BAB">
        <w:rPr>
          <w:rFonts w:ascii="Times New Roman" w:hAnsi="Times New Roman"/>
          <w:sz w:val="28"/>
          <w:szCs w:val="28"/>
        </w:rPr>
        <w:lastRenderedPageBreak/>
        <w:t>«</w:t>
      </w:r>
      <w:r w:rsidRPr="00D11BAB">
        <w:rPr>
          <w:rFonts w:ascii="Times New Roman" w:hAnsi="Times New Roman"/>
          <w:sz w:val="28"/>
          <w:szCs w:val="28"/>
          <w:lang w:val="kk-KZ"/>
        </w:rPr>
        <w:t>энтероколит</w:t>
      </w:r>
      <w:r w:rsidRPr="00D11BAB">
        <w:rPr>
          <w:rFonts w:ascii="Times New Roman" w:hAnsi="Times New Roman"/>
          <w:sz w:val="28"/>
          <w:szCs w:val="28"/>
        </w:rPr>
        <w:t xml:space="preserve">», «время» исчислялось в месяцах после операций. Визуально, можно отметить, что </w:t>
      </w:r>
      <w:r w:rsidRPr="00D11BAB">
        <w:rPr>
          <w:rFonts w:ascii="Times New Roman" w:hAnsi="Times New Roman"/>
          <w:sz w:val="28"/>
          <w:szCs w:val="28"/>
          <w:lang w:val="kk-KZ"/>
        </w:rPr>
        <w:t xml:space="preserve">симптоматика </w:t>
      </w:r>
      <w:r w:rsidRPr="00D11BAB">
        <w:rPr>
          <w:rFonts w:ascii="Times New Roman" w:hAnsi="Times New Roman"/>
          <w:sz w:val="28"/>
          <w:szCs w:val="28"/>
        </w:rPr>
        <w:t xml:space="preserve">чаще развивается между 3 и 6 месяцами реабилитационного периода (рисунок </w:t>
      </w:r>
      <w:r>
        <w:rPr>
          <w:rFonts w:ascii="Times New Roman" w:hAnsi="Times New Roman"/>
          <w:sz w:val="28"/>
          <w:szCs w:val="28"/>
        </w:rPr>
        <w:t>23</w:t>
      </w:r>
      <w:r w:rsidRPr="00D11BAB">
        <w:rPr>
          <w:rFonts w:ascii="Times New Roman" w:hAnsi="Times New Roman"/>
          <w:sz w:val="28"/>
          <w:szCs w:val="28"/>
        </w:rPr>
        <w:t>).</w:t>
      </w:r>
    </w:p>
    <w:p w14:paraId="389DD7BA"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rPr>
      </w:pPr>
    </w:p>
    <w:p w14:paraId="1A69BC83"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D11BAB">
        <w:rPr>
          <w:rFonts w:ascii="Times New Roman" w:hAnsi="Times New Roman"/>
          <w:noProof/>
          <w:sz w:val="28"/>
          <w:szCs w:val="28"/>
        </w:rPr>
        <w:drawing>
          <wp:inline distT="0" distB="0" distL="0" distR="0" wp14:anchorId="50BCFF95" wp14:editId="7DA5DD7A">
            <wp:extent cx="4069080" cy="3048000"/>
            <wp:effectExtent l="0" t="0" r="0" b="0"/>
            <wp:docPr id="47" name="Рисунок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7" descr="Chart&#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69080" cy="3048000"/>
                    </a:xfrm>
                    <a:prstGeom prst="rect">
                      <a:avLst/>
                    </a:prstGeom>
                    <a:noFill/>
                    <a:ln>
                      <a:noFill/>
                    </a:ln>
                  </pic:spPr>
                </pic:pic>
              </a:graphicData>
            </a:graphic>
          </wp:inline>
        </w:drawing>
      </w:r>
    </w:p>
    <w:p w14:paraId="65719B12" w14:textId="77777777" w:rsidR="00EF5CD6" w:rsidRPr="00BB1768"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lang w:val="kk-KZ"/>
        </w:rPr>
      </w:pPr>
    </w:p>
    <w:p w14:paraId="5256E531"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lang w:val="kk-KZ"/>
        </w:rPr>
      </w:pPr>
      <w:r w:rsidRPr="00D11BAB">
        <w:rPr>
          <w:rFonts w:ascii="Times New Roman" w:hAnsi="Times New Roman"/>
          <w:sz w:val="28"/>
          <w:szCs w:val="28"/>
          <w:lang w:val="kk-KZ"/>
        </w:rPr>
        <w:t xml:space="preserve">Рисунок </w:t>
      </w:r>
      <w:r>
        <w:rPr>
          <w:rFonts w:ascii="Times New Roman" w:hAnsi="Times New Roman"/>
          <w:sz w:val="28"/>
          <w:szCs w:val="28"/>
          <w:lang w:val="kk-KZ"/>
        </w:rPr>
        <w:t>23</w:t>
      </w:r>
      <w:r w:rsidRPr="00D11BAB">
        <w:rPr>
          <w:rFonts w:ascii="Times New Roman" w:hAnsi="Times New Roman"/>
          <w:sz w:val="28"/>
          <w:szCs w:val="28"/>
          <w:lang w:val="kk-KZ"/>
        </w:rPr>
        <w:t xml:space="preserve"> – График кумулятивного риска развития энтероколита</w:t>
      </w:r>
    </w:p>
    <w:p w14:paraId="6AA378F7"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D11BAB">
        <w:rPr>
          <w:rFonts w:ascii="Times New Roman" w:hAnsi="Times New Roman"/>
          <w:sz w:val="28"/>
          <w:szCs w:val="28"/>
          <w:lang w:val="kk-KZ"/>
        </w:rPr>
        <w:t xml:space="preserve"> в течение периода наблюдения</w:t>
      </w:r>
    </w:p>
    <w:p w14:paraId="1C6498B7"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5A43570E"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646FA53A"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r w:rsidRPr="00D11BAB">
        <w:rPr>
          <w:rFonts w:ascii="Times New Roman" w:hAnsi="Times New Roman"/>
          <w:sz w:val="28"/>
          <w:szCs w:val="28"/>
        </w:rPr>
        <w:t>Всем больным вне зависимости от наличия симптоматики проведен микробиологический анализ кала на дисбактериоз. По результатам микробиологического исследования кала выяснено, что во всех случаях определяется уменьшение численности микроорганизмов облигатной микрофлоры кишечника (бактерии рода Bifidobacterium и Lactobacterium) и определение условно-патогенных штаммов (</w:t>
      </w:r>
      <w:r w:rsidRPr="00D11BAB">
        <w:rPr>
          <w:rFonts w:ascii="Times New Roman" w:hAnsi="Times New Roman"/>
          <w:bCs/>
          <w:sz w:val="28"/>
          <w:szCs w:val="28"/>
          <w:lang w:eastAsia="en-US"/>
        </w:rPr>
        <w:t>бактерии рода Enterococcus</w:t>
      </w:r>
      <w:r w:rsidRPr="00D11BAB">
        <w:rPr>
          <w:rFonts w:ascii="Times New Roman" w:hAnsi="Times New Roman"/>
          <w:sz w:val="28"/>
          <w:szCs w:val="28"/>
          <w:lang w:eastAsia="en-US"/>
        </w:rPr>
        <w:t xml:space="preserve">, </w:t>
      </w:r>
      <w:r w:rsidRPr="00D11BAB">
        <w:rPr>
          <w:rFonts w:ascii="Times New Roman" w:hAnsi="Times New Roman"/>
          <w:bCs/>
          <w:sz w:val="28"/>
          <w:szCs w:val="28"/>
          <w:lang w:eastAsia="en-US"/>
        </w:rPr>
        <w:t>E.coli с гемолитической активностью, лактозонегативная E.coli, Staphylococcus aureus, грибы рода Candida</w:t>
      </w:r>
      <w:r w:rsidRPr="00D11BAB">
        <w:rPr>
          <w:rFonts w:ascii="Times New Roman" w:hAnsi="Times New Roman"/>
          <w:sz w:val="28"/>
          <w:szCs w:val="28"/>
        </w:rPr>
        <w:t xml:space="preserve">). В группе больных после правосторонней гемиколэктомии и резекции кишечника с формированием стомы отмечались более выраженные изменения качественного и количественного состава микробной флоры.  Результаты микробиологического исследования кала на дисбактериоз представлены в таблице </w:t>
      </w:r>
      <w:r>
        <w:rPr>
          <w:rFonts w:ascii="Times New Roman" w:hAnsi="Times New Roman"/>
          <w:sz w:val="28"/>
          <w:szCs w:val="28"/>
        </w:rPr>
        <w:t>35</w:t>
      </w:r>
      <w:r w:rsidRPr="00D11BAB">
        <w:rPr>
          <w:rFonts w:ascii="Times New Roman" w:hAnsi="Times New Roman"/>
          <w:sz w:val="28"/>
          <w:szCs w:val="28"/>
        </w:rPr>
        <w:t>.</w:t>
      </w:r>
    </w:p>
    <w:p w14:paraId="2A22868D"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lang w:val="kk-KZ"/>
        </w:rPr>
      </w:pPr>
      <w:r w:rsidRPr="00D11BAB">
        <w:rPr>
          <w:rFonts w:ascii="Times New Roman" w:hAnsi="Times New Roman"/>
          <w:sz w:val="28"/>
          <w:szCs w:val="28"/>
        </w:rPr>
        <w:t xml:space="preserve">Реабилитационные мероприятия проводились по единому алгоритму: назначение </w:t>
      </w:r>
      <w:r w:rsidRPr="00D11BAB">
        <w:rPr>
          <w:rFonts w:ascii="Times New Roman" w:hAnsi="Times New Roman"/>
          <w:sz w:val="28"/>
          <w:szCs w:val="28"/>
          <w:lang w:val="en-US"/>
        </w:rPr>
        <w:t>FODMAP</w:t>
      </w:r>
      <w:r w:rsidRPr="00D11BAB">
        <w:rPr>
          <w:rFonts w:ascii="Times New Roman" w:hAnsi="Times New Roman"/>
          <w:sz w:val="28"/>
          <w:szCs w:val="28"/>
        </w:rPr>
        <w:t xml:space="preserve"> диеты, препаратов для нормализации микрофлоры кишечника, содержащих лиофилизированные молочнокислые бактерии </w:t>
      </w:r>
      <w:r w:rsidRPr="00D11BAB">
        <w:rPr>
          <w:rFonts w:ascii="Times New Roman" w:hAnsi="Times New Roman"/>
          <w:sz w:val="28"/>
          <w:szCs w:val="28"/>
          <w:lang w:val="en-US"/>
        </w:rPr>
        <w:t>LGG</w:t>
      </w:r>
      <w:r w:rsidRPr="00D11BAB">
        <w:rPr>
          <w:rFonts w:ascii="Times New Roman" w:hAnsi="Times New Roman"/>
          <w:sz w:val="28"/>
          <w:szCs w:val="28"/>
        </w:rPr>
        <w:t xml:space="preserve"> - 4×10</w:t>
      </w:r>
      <w:r w:rsidRPr="00D11BAB">
        <w:rPr>
          <w:rFonts w:ascii="Times New Roman" w:hAnsi="Times New Roman"/>
          <w:sz w:val="28"/>
          <w:szCs w:val="28"/>
          <w:vertAlign w:val="superscript"/>
        </w:rPr>
        <w:t>9</w:t>
      </w:r>
      <w:r w:rsidRPr="00D11BAB">
        <w:rPr>
          <w:rFonts w:ascii="Times New Roman" w:hAnsi="Times New Roman"/>
          <w:sz w:val="28"/>
          <w:szCs w:val="28"/>
        </w:rPr>
        <w:t xml:space="preserve"> КОЕ и фруктоолигосахаридов, </w:t>
      </w:r>
      <w:r w:rsidRPr="00D11BAB">
        <w:rPr>
          <w:rFonts w:ascii="Times New Roman" w:hAnsi="Times New Roman"/>
          <w:sz w:val="28"/>
          <w:szCs w:val="28"/>
          <w:lang w:val="kk-KZ"/>
        </w:rPr>
        <w:t xml:space="preserve">вяжущих и калоформирующих веществ </w:t>
      </w:r>
      <w:r w:rsidRPr="00D11BAB">
        <w:rPr>
          <w:rFonts w:ascii="Times New Roman" w:hAnsi="Times New Roman"/>
          <w:sz w:val="28"/>
          <w:szCs w:val="28"/>
        </w:rPr>
        <w:t>[237,</w:t>
      </w:r>
      <w:r>
        <w:rPr>
          <w:rFonts w:ascii="Times New Roman" w:hAnsi="Times New Roman"/>
          <w:sz w:val="28"/>
          <w:szCs w:val="28"/>
        </w:rPr>
        <w:t xml:space="preserve"> </w:t>
      </w:r>
      <w:r w:rsidRPr="00D11BAB">
        <w:rPr>
          <w:rFonts w:ascii="Times New Roman" w:hAnsi="Times New Roman"/>
          <w:sz w:val="28"/>
          <w:szCs w:val="28"/>
        </w:rPr>
        <w:t>238]</w:t>
      </w:r>
      <w:r w:rsidRPr="00D11BAB">
        <w:rPr>
          <w:rFonts w:ascii="Times New Roman" w:hAnsi="Times New Roman"/>
          <w:sz w:val="28"/>
          <w:szCs w:val="28"/>
          <w:lang w:val="kk-KZ"/>
        </w:rPr>
        <w:t xml:space="preserve">. После купирования синдрома диареи назначалось нутртивная поддержка в виде энтерального питания.   </w:t>
      </w:r>
    </w:p>
    <w:p w14:paraId="099098F5"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r w:rsidRPr="00D11BAB">
        <w:rPr>
          <w:rFonts w:ascii="Times New Roman" w:hAnsi="Times New Roman"/>
          <w:bCs/>
          <w:sz w:val="28"/>
          <w:szCs w:val="28"/>
        </w:rPr>
        <w:t>До и после применения комплексных реабилитационных мер по коррекции энтероколита проводился статистический расчет частоты симптомов с применением критерия McNemar</w:t>
      </w:r>
      <w:r w:rsidRPr="00D11BAB">
        <w:rPr>
          <w:rFonts w:ascii="Times New Roman" w:hAnsi="Times New Roman"/>
          <w:bCs/>
          <w:sz w:val="28"/>
          <w:szCs w:val="28"/>
          <w:lang w:eastAsia="en-US"/>
        </w:rPr>
        <w:t xml:space="preserve"> (таблица </w:t>
      </w:r>
      <w:r>
        <w:rPr>
          <w:rFonts w:ascii="Times New Roman" w:hAnsi="Times New Roman"/>
          <w:bCs/>
          <w:sz w:val="28"/>
          <w:szCs w:val="28"/>
          <w:lang w:eastAsia="en-US"/>
        </w:rPr>
        <w:t>36</w:t>
      </w:r>
      <w:r w:rsidRPr="00D11BAB">
        <w:rPr>
          <w:rFonts w:ascii="Times New Roman" w:hAnsi="Times New Roman"/>
          <w:bCs/>
          <w:sz w:val="28"/>
          <w:szCs w:val="28"/>
          <w:lang w:eastAsia="en-US"/>
        </w:rPr>
        <w:t>).</w:t>
      </w:r>
    </w:p>
    <w:p w14:paraId="0B48984B"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sectPr w:rsidR="00EF5CD6" w:rsidRPr="00D11BAB" w:rsidSect="007D0DA1">
          <w:footerReference w:type="default" r:id="rId44"/>
          <w:footerReference w:type="first" r:id="rId45"/>
          <w:pgSz w:w="11906" w:h="16838"/>
          <w:pgMar w:top="1134" w:right="567" w:bottom="1134" w:left="1701" w:header="709" w:footer="709" w:gutter="0"/>
          <w:cols w:space="708"/>
          <w:titlePg/>
          <w:docGrid w:linePitch="360"/>
        </w:sectPr>
      </w:pPr>
    </w:p>
    <w:p w14:paraId="7B072BF1" w14:textId="77777777" w:rsidR="00EF5CD6" w:rsidRPr="00D11BAB" w:rsidRDefault="00EF5CD6" w:rsidP="00EF5CD6">
      <w:pPr>
        <w:tabs>
          <w:tab w:val="left" w:pos="142"/>
        </w:tabs>
        <w:spacing w:after="0" w:line="240" w:lineRule="auto"/>
        <w:jc w:val="both"/>
        <w:rPr>
          <w:rFonts w:ascii="Times New Roman" w:hAnsi="Times New Roman"/>
          <w:bCs/>
          <w:sz w:val="28"/>
          <w:szCs w:val="28"/>
        </w:rPr>
      </w:pPr>
      <w:r w:rsidRPr="00D11BAB">
        <w:rPr>
          <w:rFonts w:ascii="Times New Roman" w:hAnsi="Times New Roman"/>
          <w:sz w:val="28"/>
          <w:szCs w:val="28"/>
        </w:rPr>
        <w:lastRenderedPageBreak/>
        <w:t xml:space="preserve">Таблица </w:t>
      </w:r>
      <w:r>
        <w:rPr>
          <w:rFonts w:ascii="Times New Roman" w:hAnsi="Times New Roman"/>
          <w:sz w:val="28"/>
          <w:szCs w:val="28"/>
        </w:rPr>
        <w:t>35</w:t>
      </w:r>
      <w:r w:rsidRPr="00D11BAB">
        <w:rPr>
          <w:rFonts w:ascii="Times New Roman" w:hAnsi="Times New Roman"/>
          <w:sz w:val="28"/>
          <w:szCs w:val="28"/>
        </w:rPr>
        <w:t xml:space="preserve"> – Результаты микробиологического исследования кала на дисбактериоз у больных с симптоматикой энтероколита после хирургического лечения </w:t>
      </w:r>
      <w:r w:rsidRPr="00D11BAB">
        <w:rPr>
          <w:rFonts w:ascii="Times New Roman" w:hAnsi="Times New Roman"/>
          <w:bCs/>
          <w:sz w:val="28"/>
          <w:szCs w:val="28"/>
        </w:rPr>
        <w:t>злокачественных новообразований ободочной кишки</w:t>
      </w:r>
    </w:p>
    <w:tbl>
      <w:tblPr>
        <w:tblW w:w="14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4"/>
        <w:gridCol w:w="1652"/>
        <w:gridCol w:w="2581"/>
        <w:gridCol w:w="2126"/>
        <w:gridCol w:w="2092"/>
        <w:gridCol w:w="2273"/>
        <w:gridCol w:w="1012"/>
      </w:tblGrid>
      <w:tr w:rsidR="00EF5CD6" w:rsidRPr="00B5466B" w14:paraId="6DF49BAC" w14:textId="77777777" w:rsidTr="00094F6F">
        <w:trPr>
          <w:trHeight w:val="283"/>
          <w:jc w:val="center"/>
        </w:trPr>
        <w:tc>
          <w:tcPr>
            <w:tcW w:w="2884" w:type="dxa"/>
            <w:vMerge w:val="restart"/>
            <w:shd w:val="clear" w:color="auto" w:fill="auto"/>
            <w:vAlign w:val="center"/>
          </w:tcPr>
          <w:p w14:paraId="5D2DAD51" w14:textId="77777777" w:rsidR="00EF5CD6" w:rsidRPr="00B5466B" w:rsidRDefault="00EF5CD6" w:rsidP="00094F6F">
            <w:pPr>
              <w:tabs>
                <w:tab w:val="left" w:pos="567"/>
              </w:tabs>
              <w:spacing w:after="0" w:line="240" w:lineRule="auto"/>
              <w:jc w:val="center"/>
              <w:rPr>
                <w:rFonts w:ascii="Times New Roman" w:hAnsi="Times New Roman"/>
                <w:sz w:val="16"/>
                <w:szCs w:val="16"/>
                <w:lang w:eastAsia="en-US"/>
              </w:rPr>
            </w:pPr>
            <w:r w:rsidRPr="00B5466B">
              <w:rPr>
                <w:rFonts w:ascii="Times New Roman" w:hAnsi="Times New Roman"/>
                <w:sz w:val="16"/>
                <w:szCs w:val="16"/>
                <w:lang w:eastAsia="en-US"/>
              </w:rPr>
              <w:t>Наименование микроорганизмов</w:t>
            </w:r>
          </w:p>
        </w:tc>
        <w:tc>
          <w:tcPr>
            <w:tcW w:w="1652" w:type="dxa"/>
            <w:vMerge w:val="restart"/>
            <w:shd w:val="clear" w:color="auto" w:fill="auto"/>
            <w:vAlign w:val="center"/>
          </w:tcPr>
          <w:p w14:paraId="3C5EE480" w14:textId="77777777" w:rsidR="00EF5CD6" w:rsidRPr="00B5466B" w:rsidRDefault="00EF5CD6" w:rsidP="00094F6F">
            <w:pPr>
              <w:tabs>
                <w:tab w:val="left" w:pos="567"/>
              </w:tabs>
              <w:spacing w:after="0" w:line="240" w:lineRule="auto"/>
              <w:jc w:val="center"/>
              <w:rPr>
                <w:rFonts w:ascii="Times New Roman" w:hAnsi="Times New Roman"/>
                <w:sz w:val="16"/>
                <w:szCs w:val="16"/>
                <w:lang w:eastAsia="en-US"/>
              </w:rPr>
            </w:pPr>
            <w:r w:rsidRPr="00B5466B">
              <w:rPr>
                <w:rFonts w:ascii="Times New Roman" w:hAnsi="Times New Roman"/>
                <w:sz w:val="16"/>
                <w:szCs w:val="16"/>
                <w:lang w:eastAsia="en-US"/>
              </w:rPr>
              <w:t>Норма</w:t>
            </w:r>
          </w:p>
        </w:tc>
        <w:tc>
          <w:tcPr>
            <w:tcW w:w="2581" w:type="dxa"/>
            <w:shd w:val="clear" w:color="auto" w:fill="auto"/>
            <w:vAlign w:val="center"/>
          </w:tcPr>
          <w:p w14:paraId="1F70E7CE"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16"/>
                <w:szCs w:val="16"/>
              </w:rPr>
            </w:pPr>
            <w:r w:rsidRPr="00B5466B">
              <w:rPr>
                <w:rFonts w:ascii="Times New Roman" w:hAnsi="Times New Roman"/>
                <w:sz w:val="16"/>
                <w:szCs w:val="16"/>
              </w:rPr>
              <w:t>Количество микроорганизмов у больных после правосторонней гемиколэктомии</w:t>
            </w:r>
          </w:p>
          <w:p w14:paraId="4979937D"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16"/>
                <w:szCs w:val="16"/>
              </w:rPr>
            </w:pPr>
            <w:r w:rsidRPr="00B5466B">
              <w:rPr>
                <w:rFonts w:ascii="Times New Roman" w:hAnsi="Times New Roman"/>
                <w:sz w:val="16"/>
                <w:szCs w:val="16"/>
              </w:rPr>
              <w:t>(</w:t>
            </w:r>
            <w:proofErr w:type="gramStart"/>
            <w:r w:rsidRPr="00B5466B">
              <w:rPr>
                <w:rFonts w:ascii="Times New Roman" w:hAnsi="Times New Roman"/>
                <w:sz w:val="16"/>
                <w:szCs w:val="16"/>
                <w:lang w:val="en-US"/>
              </w:rPr>
              <w:t>n</w:t>
            </w:r>
            <w:proofErr w:type="gramEnd"/>
            <w:r w:rsidRPr="00B5466B">
              <w:rPr>
                <w:rFonts w:ascii="Times New Roman" w:hAnsi="Times New Roman"/>
                <w:sz w:val="16"/>
                <w:szCs w:val="16"/>
              </w:rPr>
              <w:t xml:space="preserve"> =35)</w:t>
            </w:r>
          </w:p>
        </w:tc>
        <w:tc>
          <w:tcPr>
            <w:tcW w:w="2126" w:type="dxa"/>
            <w:shd w:val="clear" w:color="auto" w:fill="auto"/>
            <w:vAlign w:val="center"/>
          </w:tcPr>
          <w:p w14:paraId="581C1174"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16"/>
                <w:szCs w:val="16"/>
              </w:rPr>
            </w:pPr>
            <w:r w:rsidRPr="00B5466B">
              <w:rPr>
                <w:rFonts w:ascii="Times New Roman" w:hAnsi="Times New Roman"/>
                <w:sz w:val="16"/>
                <w:szCs w:val="16"/>
              </w:rPr>
              <w:t>Количество микроорганизмов у больных после левосторонней гемиколэктомии</w:t>
            </w:r>
          </w:p>
          <w:p w14:paraId="47D67053"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16"/>
                <w:szCs w:val="16"/>
              </w:rPr>
            </w:pPr>
            <w:r w:rsidRPr="00B5466B">
              <w:rPr>
                <w:rFonts w:ascii="Times New Roman" w:hAnsi="Times New Roman"/>
                <w:sz w:val="16"/>
                <w:szCs w:val="16"/>
              </w:rPr>
              <w:t>(</w:t>
            </w:r>
            <w:proofErr w:type="gramStart"/>
            <w:r w:rsidRPr="00B5466B">
              <w:rPr>
                <w:rFonts w:ascii="Times New Roman" w:hAnsi="Times New Roman"/>
                <w:sz w:val="16"/>
                <w:szCs w:val="16"/>
                <w:lang w:val="en-US"/>
              </w:rPr>
              <w:t>n</w:t>
            </w:r>
            <w:proofErr w:type="gramEnd"/>
            <w:r w:rsidRPr="00B5466B">
              <w:rPr>
                <w:rFonts w:ascii="Times New Roman" w:hAnsi="Times New Roman"/>
                <w:sz w:val="16"/>
                <w:szCs w:val="16"/>
              </w:rPr>
              <w:t xml:space="preserve"> =9)</w:t>
            </w:r>
          </w:p>
        </w:tc>
        <w:tc>
          <w:tcPr>
            <w:tcW w:w="2092" w:type="dxa"/>
            <w:shd w:val="clear" w:color="auto" w:fill="auto"/>
            <w:vAlign w:val="center"/>
          </w:tcPr>
          <w:p w14:paraId="089FEA2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16"/>
                <w:szCs w:val="16"/>
              </w:rPr>
            </w:pPr>
            <w:r w:rsidRPr="00B5466B">
              <w:rPr>
                <w:rFonts w:ascii="Times New Roman" w:hAnsi="Times New Roman"/>
                <w:sz w:val="16"/>
                <w:szCs w:val="16"/>
              </w:rPr>
              <w:t>Количество микроорганизмов у больных после резекции поперечно-ободочной кишки</w:t>
            </w:r>
          </w:p>
          <w:p w14:paraId="79E7D23B"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16"/>
                <w:szCs w:val="16"/>
              </w:rPr>
            </w:pPr>
            <w:r w:rsidRPr="00B5466B">
              <w:rPr>
                <w:rFonts w:ascii="Times New Roman" w:hAnsi="Times New Roman"/>
                <w:sz w:val="16"/>
                <w:szCs w:val="16"/>
              </w:rPr>
              <w:t>(</w:t>
            </w:r>
            <w:proofErr w:type="gramStart"/>
            <w:r w:rsidRPr="00B5466B">
              <w:rPr>
                <w:rFonts w:ascii="Times New Roman" w:hAnsi="Times New Roman"/>
                <w:sz w:val="16"/>
                <w:szCs w:val="16"/>
                <w:lang w:val="en-US"/>
              </w:rPr>
              <w:t>n</w:t>
            </w:r>
            <w:proofErr w:type="gramEnd"/>
            <w:r w:rsidRPr="00B5466B">
              <w:rPr>
                <w:rFonts w:ascii="Times New Roman" w:hAnsi="Times New Roman"/>
                <w:sz w:val="16"/>
                <w:szCs w:val="16"/>
              </w:rPr>
              <w:t xml:space="preserve"> =1)</w:t>
            </w:r>
          </w:p>
        </w:tc>
        <w:tc>
          <w:tcPr>
            <w:tcW w:w="2273" w:type="dxa"/>
            <w:shd w:val="clear" w:color="auto" w:fill="auto"/>
            <w:vAlign w:val="center"/>
          </w:tcPr>
          <w:p w14:paraId="4D791460"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16"/>
                <w:szCs w:val="16"/>
              </w:rPr>
            </w:pPr>
            <w:r w:rsidRPr="00B5466B">
              <w:rPr>
                <w:rFonts w:ascii="Times New Roman" w:hAnsi="Times New Roman"/>
                <w:sz w:val="16"/>
                <w:szCs w:val="16"/>
              </w:rPr>
              <w:t>Количество микроорганизмов у больных после резекции кишечника с формированием стомы</w:t>
            </w:r>
          </w:p>
          <w:p w14:paraId="390F72EE"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16"/>
                <w:szCs w:val="16"/>
              </w:rPr>
            </w:pPr>
            <w:r w:rsidRPr="00B5466B">
              <w:rPr>
                <w:rFonts w:ascii="Times New Roman" w:hAnsi="Times New Roman"/>
                <w:sz w:val="16"/>
                <w:szCs w:val="16"/>
              </w:rPr>
              <w:t>(</w:t>
            </w:r>
            <w:proofErr w:type="gramStart"/>
            <w:r w:rsidRPr="00B5466B">
              <w:rPr>
                <w:rFonts w:ascii="Times New Roman" w:hAnsi="Times New Roman"/>
                <w:sz w:val="16"/>
                <w:szCs w:val="16"/>
                <w:lang w:val="en-US"/>
              </w:rPr>
              <w:t>n</w:t>
            </w:r>
            <w:proofErr w:type="gramEnd"/>
            <w:r w:rsidRPr="00B5466B">
              <w:rPr>
                <w:rFonts w:ascii="Times New Roman" w:hAnsi="Times New Roman"/>
                <w:sz w:val="16"/>
                <w:szCs w:val="16"/>
              </w:rPr>
              <w:t xml:space="preserve"> =14)</w:t>
            </w:r>
          </w:p>
        </w:tc>
        <w:tc>
          <w:tcPr>
            <w:tcW w:w="1012" w:type="dxa"/>
            <w:shd w:val="clear" w:color="auto" w:fill="auto"/>
            <w:vAlign w:val="center"/>
          </w:tcPr>
          <w:p w14:paraId="20B8D5F3"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16"/>
                <w:szCs w:val="16"/>
                <w:lang w:val="en-US"/>
              </w:rPr>
            </w:pPr>
            <w:r w:rsidRPr="00B5466B">
              <w:rPr>
                <w:rFonts w:ascii="Times New Roman" w:hAnsi="Times New Roman"/>
                <w:sz w:val="16"/>
                <w:szCs w:val="16"/>
                <w:lang w:val="en-US"/>
              </w:rPr>
              <w:t>p</w:t>
            </w:r>
          </w:p>
        </w:tc>
      </w:tr>
      <w:tr w:rsidR="00EF5CD6" w:rsidRPr="00D11BAB" w14:paraId="0F3921F9" w14:textId="77777777" w:rsidTr="00094F6F">
        <w:trPr>
          <w:trHeight w:val="283"/>
          <w:jc w:val="center"/>
        </w:trPr>
        <w:tc>
          <w:tcPr>
            <w:tcW w:w="2884" w:type="dxa"/>
            <w:vMerge/>
            <w:shd w:val="clear" w:color="auto" w:fill="auto"/>
            <w:vAlign w:val="center"/>
          </w:tcPr>
          <w:p w14:paraId="5C0511DD" w14:textId="77777777" w:rsidR="00EF5CD6" w:rsidRPr="00B5466B" w:rsidRDefault="00EF5CD6" w:rsidP="00094F6F">
            <w:pPr>
              <w:tabs>
                <w:tab w:val="left" w:pos="567"/>
              </w:tabs>
              <w:spacing w:after="0" w:line="240" w:lineRule="auto"/>
              <w:jc w:val="center"/>
              <w:rPr>
                <w:rFonts w:ascii="Times New Roman" w:hAnsi="Times New Roman"/>
                <w:lang w:eastAsia="en-US"/>
              </w:rPr>
            </w:pPr>
          </w:p>
        </w:tc>
        <w:tc>
          <w:tcPr>
            <w:tcW w:w="1652" w:type="dxa"/>
            <w:vMerge/>
            <w:shd w:val="clear" w:color="auto" w:fill="auto"/>
            <w:vAlign w:val="center"/>
          </w:tcPr>
          <w:p w14:paraId="498B3934" w14:textId="77777777" w:rsidR="00EF5CD6" w:rsidRPr="00B5466B" w:rsidRDefault="00EF5CD6" w:rsidP="00094F6F">
            <w:pPr>
              <w:tabs>
                <w:tab w:val="left" w:pos="567"/>
              </w:tabs>
              <w:spacing w:after="0" w:line="240" w:lineRule="auto"/>
              <w:jc w:val="center"/>
              <w:rPr>
                <w:rFonts w:ascii="Times New Roman" w:hAnsi="Times New Roman"/>
                <w:lang w:eastAsia="en-US"/>
              </w:rPr>
            </w:pPr>
          </w:p>
        </w:tc>
        <w:tc>
          <w:tcPr>
            <w:tcW w:w="2581" w:type="dxa"/>
            <w:shd w:val="clear" w:color="auto" w:fill="auto"/>
            <w:vAlign w:val="center"/>
          </w:tcPr>
          <w:p w14:paraId="7D1E6BA2"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lang w:val="en-US"/>
              </w:rPr>
              <w:t>Me</w:t>
            </w:r>
            <w:r w:rsidRPr="00B5466B">
              <w:rPr>
                <w:rFonts w:ascii="Times New Roman" w:hAnsi="Times New Roman"/>
              </w:rPr>
              <w:t xml:space="preserve"> (</w:t>
            </w:r>
            <w:r w:rsidRPr="00B5466B">
              <w:rPr>
                <w:rFonts w:ascii="Times New Roman" w:hAnsi="Times New Roman"/>
                <w:lang w:val="en-US"/>
              </w:rPr>
              <w:t>Q2</w:t>
            </w:r>
            <w:r w:rsidRPr="00B5466B">
              <w:rPr>
                <w:rFonts w:ascii="Times New Roman" w:hAnsi="Times New Roman"/>
              </w:rPr>
              <w:t>;</w:t>
            </w:r>
            <w:r w:rsidRPr="00B5466B">
              <w:rPr>
                <w:rFonts w:ascii="Times New Roman" w:hAnsi="Times New Roman"/>
                <w:lang w:val="en-US"/>
              </w:rPr>
              <w:t xml:space="preserve"> Q4</w:t>
            </w:r>
            <w:r w:rsidRPr="00B5466B">
              <w:rPr>
                <w:rFonts w:ascii="Times New Roman" w:hAnsi="Times New Roman"/>
              </w:rPr>
              <w:t>)</w:t>
            </w:r>
          </w:p>
        </w:tc>
        <w:tc>
          <w:tcPr>
            <w:tcW w:w="2126" w:type="dxa"/>
            <w:shd w:val="clear" w:color="auto" w:fill="auto"/>
            <w:vAlign w:val="center"/>
          </w:tcPr>
          <w:p w14:paraId="13142DB3"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val="en-US"/>
              </w:rPr>
            </w:pPr>
            <w:r w:rsidRPr="00B5466B">
              <w:rPr>
                <w:rFonts w:ascii="Times New Roman" w:hAnsi="Times New Roman"/>
                <w:lang w:val="en-US"/>
              </w:rPr>
              <w:t>Me</w:t>
            </w:r>
            <w:r w:rsidRPr="00B5466B">
              <w:rPr>
                <w:rFonts w:ascii="Times New Roman" w:hAnsi="Times New Roman"/>
              </w:rPr>
              <w:t xml:space="preserve"> (</w:t>
            </w:r>
            <w:r w:rsidRPr="00B5466B">
              <w:rPr>
                <w:rFonts w:ascii="Times New Roman" w:hAnsi="Times New Roman"/>
                <w:lang w:val="en-US"/>
              </w:rPr>
              <w:t>Q2</w:t>
            </w:r>
            <w:r w:rsidRPr="00B5466B">
              <w:rPr>
                <w:rFonts w:ascii="Times New Roman" w:hAnsi="Times New Roman"/>
              </w:rPr>
              <w:t>;</w:t>
            </w:r>
            <w:r w:rsidRPr="00B5466B">
              <w:rPr>
                <w:rFonts w:ascii="Times New Roman" w:hAnsi="Times New Roman"/>
                <w:lang w:val="en-US"/>
              </w:rPr>
              <w:t xml:space="preserve"> Q4</w:t>
            </w:r>
            <w:r w:rsidRPr="00B5466B">
              <w:rPr>
                <w:rFonts w:ascii="Times New Roman" w:hAnsi="Times New Roman"/>
              </w:rPr>
              <w:t>)</w:t>
            </w:r>
          </w:p>
        </w:tc>
        <w:tc>
          <w:tcPr>
            <w:tcW w:w="2092" w:type="dxa"/>
            <w:shd w:val="clear" w:color="auto" w:fill="auto"/>
            <w:vAlign w:val="center"/>
          </w:tcPr>
          <w:p w14:paraId="0829EBA5"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val="en-US"/>
              </w:rPr>
            </w:pPr>
            <w:r w:rsidRPr="00B5466B">
              <w:rPr>
                <w:rFonts w:ascii="Times New Roman" w:hAnsi="Times New Roman"/>
                <w:lang w:val="en-US"/>
              </w:rPr>
              <w:t>Me</w:t>
            </w:r>
            <w:r w:rsidRPr="00B5466B">
              <w:rPr>
                <w:rFonts w:ascii="Times New Roman" w:hAnsi="Times New Roman"/>
              </w:rPr>
              <w:t xml:space="preserve"> (</w:t>
            </w:r>
            <w:r w:rsidRPr="00B5466B">
              <w:rPr>
                <w:rFonts w:ascii="Times New Roman" w:hAnsi="Times New Roman"/>
                <w:lang w:val="en-US"/>
              </w:rPr>
              <w:t>Q2</w:t>
            </w:r>
            <w:r w:rsidRPr="00B5466B">
              <w:rPr>
                <w:rFonts w:ascii="Times New Roman" w:hAnsi="Times New Roman"/>
              </w:rPr>
              <w:t>;</w:t>
            </w:r>
            <w:r w:rsidRPr="00B5466B">
              <w:rPr>
                <w:rFonts w:ascii="Times New Roman" w:hAnsi="Times New Roman"/>
                <w:lang w:val="en-US"/>
              </w:rPr>
              <w:t xml:space="preserve"> Q4</w:t>
            </w:r>
            <w:r w:rsidRPr="00B5466B">
              <w:rPr>
                <w:rFonts w:ascii="Times New Roman" w:hAnsi="Times New Roman"/>
              </w:rPr>
              <w:t>)</w:t>
            </w:r>
          </w:p>
        </w:tc>
        <w:tc>
          <w:tcPr>
            <w:tcW w:w="2273" w:type="dxa"/>
            <w:shd w:val="clear" w:color="auto" w:fill="auto"/>
            <w:vAlign w:val="center"/>
          </w:tcPr>
          <w:p w14:paraId="4B41D495"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val="en-US"/>
              </w:rPr>
            </w:pPr>
            <w:r w:rsidRPr="00B5466B">
              <w:rPr>
                <w:rFonts w:ascii="Times New Roman" w:hAnsi="Times New Roman"/>
                <w:lang w:val="en-US"/>
              </w:rPr>
              <w:t>Me</w:t>
            </w:r>
            <w:r w:rsidRPr="00B5466B">
              <w:rPr>
                <w:rFonts w:ascii="Times New Roman" w:hAnsi="Times New Roman"/>
              </w:rPr>
              <w:t xml:space="preserve"> (</w:t>
            </w:r>
            <w:r w:rsidRPr="00B5466B">
              <w:rPr>
                <w:rFonts w:ascii="Times New Roman" w:hAnsi="Times New Roman"/>
                <w:lang w:val="en-US"/>
              </w:rPr>
              <w:t>Q2</w:t>
            </w:r>
            <w:r w:rsidRPr="00B5466B">
              <w:rPr>
                <w:rFonts w:ascii="Times New Roman" w:hAnsi="Times New Roman"/>
              </w:rPr>
              <w:t>;</w:t>
            </w:r>
            <w:r w:rsidRPr="00B5466B">
              <w:rPr>
                <w:rFonts w:ascii="Times New Roman" w:hAnsi="Times New Roman"/>
                <w:lang w:val="en-US"/>
              </w:rPr>
              <w:t xml:space="preserve"> Q4</w:t>
            </w:r>
            <w:r w:rsidRPr="00B5466B">
              <w:rPr>
                <w:rFonts w:ascii="Times New Roman" w:hAnsi="Times New Roman"/>
              </w:rPr>
              <w:t>)</w:t>
            </w:r>
          </w:p>
        </w:tc>
        <w:tc>
          <w:tcPr>
            <w:tcW w:w="1012" w:type="dxa"/>
            <w:shd w:val="clear" w:color="auto" w:fill="auto"/>
            <w:vAlign w:val="center"/>
          </w:tcPr>
          <w:p w14:paraId="37854872"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val="en-US"/>
              </w:rPr>
            </w:pPr>
          </w:p>
        </w:tc>
      </w:tr>
      <w:tr w:rsidR="00EF5CD6" w:rsidRPr="00D11BAB" w14:paraId="3D0E9965" w14:textId="77777777" w:rsidTr="00094F6F">
        <w:trPr>
          <w:trHeight w:val="283"/>
          <w:jc w:val="center"/>
        </w:trPr>
        <w:tc>
          <w:tcPr>
            <w:tcW w:w="2884" w:type="dxa"/>
            <w:shd w:val="clear" w:color="auto" w:fill="auto"/>
          </w:tcPr>
          <w:p w14:paraId="1DD8F7CB"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w:t>
            </w:r>
          </w:p>
        </w:tc>
        <w:tc>
          <w:tcPr>
            <w:tcW w:w="1652" w:type="dxa"/>
            <w:shd w:val="clear" w:color="auto" w:fill="auto"/>
          </w:tcPr>
          <w:p w14:paraId="27A6F247" w14:textId="77777777" w:rsidR="00EF5CD6" w:rsidRPr="00B5466B" w:rsidRDefault="00EF5CD6" w:rsidP="00094F6F">
            <w:pPr>
              <w:tabs>
                <w:tab w:val="left" w:pos="567"/>
              </w:tabs>
              <w:spacing w:after="0" w:line="240" w:lineRule="auto"/>
              <w:jc w:val="center"/>
              <w:rPr>
                <w:rFonts w:ascii="Times New Roman" w:hAnsi="Times New Roman"/>
                <w:lang w:eastAsia="en-US"/>
              </w:rPr>
            </w:pPr>
            <w:r w:rsidRPr="00B5466B">
              <w:rPr>
                <w:rFonts w:ascii="Times New Roman" w:hAnsi="Times New Roman"/>
                <w:lang w:eastAsia="en-US"/>
              </w:rPr>
              <w:t>2</w:t>
            </w:r>
          </w:p>
        </w:tc>
        <w:tc>
          <w:tcPr>
            <w:tcW w:w="2581" w:type="dxa"/>
            <w:shd w:val="clear" w:color="auto" w:fill="auto"/>
          </w:tcPr>
          <w:p w14:paraId="4AA944DD"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3</w:t>
            </w:r>
          </w:p>
        </w:tc>
        <w:tc>
          <w:tcPr>
            <w:tcW w:w="2126" w:type="dxa"/>
            <w:shd w:val="clear" w:color="auto" w:fill="auto"/>
          </w:tcPr>
          <w:p w14:paraId="5AC3BF87"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4</w:t>
            </w:r>
          </w:p>
        </w:tc>
        <w:tc>
          <w:tcPr>
            <w:tcW w:w="2092" w:type="dxa"/>
            <w:shd w:val="clear" w:color="auto" w:fill="auto"/>
          </w:tcPr>
          <w:p w14:paraId="229797CE"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5</w:t>
            </w:r>
          </w:p>
        </w:tc>
        <w:tc>
          <w:tcPr>
            <w:tcW w:w="2273" w:type="dxa"/>
            <w:shd w:val="clear" w:color="auto" w:fill="auto"/>
          </w:tcPr>
          <w:p w14:paraId="2CA773A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6</w:t>
            </w:r>
          </w:p>
        </w:tc>
        <w:tc>
          <w:tcPr>
            <w:tcW w:w="1012" w:type="dxa"/>
            <w:shd w:val="clear" w:color="auto" w:fill="auto"/>
          </w:tcPr>
          <w:p w14:paraId="2F0DBCBE"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7</w:t>
            </w:r>
          </w:p>
        </w:tc>
      </w:tr>
      <w:tr w:rsidR="00EF5CD6" w:rsidRPr="00D11BAB" w14:paraId="59A709F1" w14:textId="77777777" w:rsidTr="00094F6F">
        <w:trPr>
          <w:trHeight w:val="283"/>
          <w:jc w:val="center"/>
        </w:trPr>
        <w:tc>
          <w:tcPr>
            <w:tcW w:w="2884" w:type="dxa"/>
            <w:shd w:val="clear" w:color="auto" w:fill="auto"/>
            <w:vAlign w:val="center"/>
          </w:tcPr>
          <w:p w14:paraId="741F7F65"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rPr>
            </w:pPr>
            <w:r w:rsidRPr="00B5466B">
              <w:rPr>
                <w:rFonts w:ascii="Times New Roman" w:hAnsi="Times New Roman"/>
              </w:rPr>
              <w:t>Бактерии рода Bifidobacterium</w:t>
            </w:r>
          </w:p>
        </w:tc>
        <w:tc>
          <w:tcPr>
            <w:tcW w:w="1652" w:type="dxa"/>
            <w:shd w:val="clear" w:color="auto" w:fill="auto"/>
            <w:vAlign w:val="center"/>
          </w:tcPr>
          <w:p w14:paraId="77673F5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rPr>
            </w:pPr>
            <w:r w:rsidRPr="00B5466B">
              <w:rPr>
                <w:rFonts w:ascii="Times New Roman" w:hAnsi="Times New Roman"/>
                <w:lang w:eastAsia="en-US"/>
              </w:rPr>
              <w:t>Не менее 10</w:t>
            </w:r>
            <w:r w:rsidRPr="00B5466B">
              <w:rPr>
                <w:rFonts w:ascii="Times New Roman" w:hAnsi="Times New Roman"/>
                <w:vertAlign w:val="superscript"/>
                <w:lang w:eastAsia="en-US"/>
              </w:rPr>
              <w:t>7</w:t>
            </w:r>
            <w:r w:rsidRPr="00B5466B">
              <w:rPr>
                <w:rFonts w:ascii="Times New Roman" w:hAnsi="Times New Roman"/>
              </w:rPr>
              <w:t xml:space="preserve"> КОЕ/г</w:t>
            </w:r>
          </w:p>
        </w:tc>
        <w:tc>
          <w:tcPr>
            <w:tcW w:w="2581" w:type="dxa"/>
            <w:shd w:val="clear" w:color="auto" w:fill="auto"/>
            <w:vAlign w:val="center"/>
          </w:tcPr>
          <w:p w14:paraId="4EF71F1D"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4</w:t>
            </w:r>
            <w:r w:rsidRPr="00B5466B">
              <w:rPr>
                <w:rFonts w:ascii="Times New Roman" w:hAnsi="Times New Roman"/>
              </w:rPr>
              <w:t>КОЕ/г</w:t>
            </w:r>
          </w:p>
          <w:p w14:paraId="79718242"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lang w:val="kk-KZ"/>
              </w:rPr>
              <w:t>3</w:t>
            </w:r>
            <w:r w:rsidRPr="00B5466B">
              <w:rPr>
                <w:rFonts w:ascii="Times New Roman" w:hAnsi="Times New Roman"/>
              </w:rPr>
              <w:t>;10</w:t>
            </w:r>
            <w:r w:rsidRPr="00B5466B">
              <w:rPr>
                <w:rFonts w:ascii="Times New Roman" w:hAnsi="Times New Roman"/>
                <w:vertAlign w:val="superscript"/>
              </w:rPr>
              <w:t>5</w:t>
            </w:r>
            <w:r w:rsidRPr="00B5466B">
              <w:rPr>
                <w:rFonts w:ascii="Times New Roman" w:hAnsi="Times New Roman"/>
              </w:rPr>
              <w:t>)</w:t>
            </w:r>
          </w:p>
        </w:tc>
        <w:tc>
          <w:tcPr>
            <w:tcW w:w="2126" w:type="dxa"/>
            <w:shd w:val="clear" w:color="auto" w:fill="auto"/>
            <w:vAlign w:val="center"/>
          </w:tcPr>
          <w:p w14:paraId="129F1F4E"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5</w:t>
            </w:r>
            <w:r w:rsidRPr="00B5466B">
              <w:rPr>
                <w:rFonts w:ascii="Times New Roman" w:hAnsi="Times New Roman"/>
              </w:rPr>
              <w:t>КОЕ/г</w:t>
            </w:r>
          </w:p>
          <w:p w14:paraId="7D80BA97"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4</w:t>
            </w:r>
            <w:r w:rsidRPr="00B5466B">
              <w:rPr>
                <w:rFonts w:ascii="Times New Roman" w:hAnsi="Times New Roman"/>
              </w:rPr>
              <w:t>;10</w:t>
            </w:r>
            <w:r w:rsidRPr="00B5466B">
              <w:rPr>
                <w:rFonts w:ascii="Times New Roman" w:hAnsi="Times New Roman"/>
                <w:vertAlign w:val="superscript"/>
              </w:rPr>
              <w:t>6</w:t>
            </w:r>
            <w:r w:rsidRPr="00B5466B">
              <w:rPr>
                <w:rFonts w:ascii="Times New Roman" w:hAnsi="Times New Roman"/>
              </w:rPr>
              <w:t>)</w:t>
            </w:r>
          </w:p>
        </w:tc>
        <w:tc>
          <w:tcPr>
            <w:tcW w:w="2092" w:type="dxa"/>
            <w:shd w:val="clear" w:color="auto" w:fill="auto"/>
            <w:vAlign w:val="center"/>
          </w:tcPr>
          <w:p w14:paraId="4E832917"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5</w:t>
            </w:r>
            <w:r w:rsidRPr="00B5466B">
              <w:rPr>
                <w:rFonts w:ascii="Times New Roman" w:hAnsi="Times New Roman"/>
              </w:rPr>
              <w:t>КОЕ/г</w:t>
            </w:r>
          </w:p>
          <w:p w14:paraId="18CC4979"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5</w:t>
            </w:r>
            <w:r w:rsidRPr="00B5466B">
              <w:rPr>
                <w:rFonts w:ascii="Times New Roman" w:hAnsi="Times New Roman"/>
              </w:rPr>
              <w:t>;10</w:t>
            </w:r>
            <w:r w:rsidRPr="00B5466B">
              <w:rPr>
                <w:rFonts w:ascii="Times New Roman" w:hAnsi="Times New Roman"/>
                <w:vertAlign w:val="superscript"/>
              </w:rPr>
              <w:t>5</w:t>
            </w:r>
            <w:r w:rsidRPr="00B5466B">
              <w:rPr>
                <w:rFonts w:ascii="Times New Roman" w:hAnsi="Times New Roman"/>
              </w:rPr>
              <w:t>)</w:t>
            </w:r>
          </w:p>
        </w:tc>
        <w:tc>
          <w:tcPr>
            <w:tcW w:w="2273" w:type="dxa"/>
            <w:shd w:val="clear" w:color="auto" w:fill="auto"/>
            <w:vAlign w:val="center"/>
          </w:tcPr>
          <w:p w14:paraId="702B72E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4</w:t>
            </w:r>
            <w:r w:rsidRPr="00B5466B">
              <w:rPr>
                <w:rFonts w:ascii="Times New Roman" w:hAnsi="Times New Roman"/>
              </w:rPr>
              <w:t>КОЕ/г</w:t>
            </w:r>
          </w:p>
          <w:p w14:paraId="4DE51BB5"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lang w:val="kk-KZ"/>
              </w:rPr>
              <w:t>3</w:t>
            </w:r>
            <w:r w:rsidRPr="00B5466B">
              <w:rPr>
                <w:rFonts w:ascii="Times New Roman" w:hAnsi="Times New Roman"/>
              </w:rPr>
              <w:t>;10</w:t>
            </w:r>
            <w:r w:rsidRPr="00B5466B">
              <w:rPr>
                <w:rFonts w:ascii="Times New Roman" w:hAnsi="Times New Roman"/>
                <w:vertAlign w:val="superscript"/>
              </w:rPr>
              <w:t>5</w:t>
            </w:r>
            <w:r w:rsidRPr="00B5466B">
              <w:rPr>
                <w:rFonts w:ascii="Times New Roman" w:hAnsi="Times New Roman"/>
              </w:rPr>
              <w:t>)</w:t>
            </w:r>
          </w:p>
        </w:tc>
        <w:tc>
          <w:tcPr>
            <w:tcW w:w="1012" w:type="dxa"/>
            <w:shd w:val="clear" w:color="auto" w:fill="auto"/>
            <w:vAlign w:val="center"/>
          </w:tcPr>
          <w:p w14:paraId="6964C359"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0,025</w:t>
            </w:r>
          </w:p>
        </w:tc>
      </w:tr>
      <w:tr w:rsidR="00EF5CD6" w:rsidRPr="00D11BAB" w14:paraId="6D28E93E" w14:textId="77777777" w:rsidTr="00094F6F">
        <w:trPr>
          <w:trHeight w:val="283"/>
          <w:jc w:val="center"/>
        </w:trPr>
        <w:tc>
          <w:tcPr>
            <w:tcW w:w="2884" w:type="dxa"/>
            <w:tcBorders>
              <w:bottom w:val="single" w:sz="4" w:space="0" w:color="auto"/>
            </w:tcBorders>
            <w:shd w:val="clear" w:color="auto" w:fill="auto"/>
            <w:vAlign w:val="center"/>
          </w:tcPr>
          <w:p w14:paraId="78354FDE"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rPr>
            </w:pPr>
            <w:r w:rsidRPr="00B5466B">
              <w:rPr>
                <w:rFonts w:ascii="Times New Roman" w:hAnsi="Times New Roman"/>
              </w:rPr>
              <w:t>Бактерии рода Lactobacterium</w:t>
            </w:r>
          </w:p>
        </w:tc>
        <w:tc>
          <w:tcPr>
            <w:tcW w:w="1652" w:type="dxa"/>
            <w:tcBorders>
              <w:bottom w:val="single" w:sz="4" w:space="0" w:color="auto"/>
            </w:tcBorders>
            <w:shd w:val="clear" w:color="auto" w:fill="auto"/>
            <w:vAlign w:val="center"/>
          </w:tcPr>
          <w:p w14:paraId="3045F860"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rPr>
            </w:pPr>
            <w:r w:rsidRPr="00B5466B">
              <w:rPr>
                <w:rFonts w:ascii="Times New Roman" w:hAnsi="Times New Roman"/>
                <w:lang w:eastAsia="en-US"/>
              </w:rPr>
              <w:t>Не менее 10</w:t>
            </w:r>
            <w:r w:rsidRPr="00B5466B">
              <w:rPr>
                <w:rFonts w:ascii="Times New Roman" w:hAnsi="Times New Roman"/>
                <w:vertAlign w:val="superscript"/>
                <w:lang w:eastAsia="en-US"/>
              </w:rPr>
              <w:t>7</w:t>
            </w:r>
            <w:r w:rsidRPr="00B5466B">
              <w:rPr>
                <w:rFonts w:ascii="Times New Roman" w:hAnsi="Times New Roman"/>
              </w:rPr>
              <w:t xml:space="preserve"> КОЕ/г</w:t>
            </w:r>
          </w:p>
        </w:tc>
        <w:tc>
          <w:tcPr>
            <w:tcW w:w="2581" w:type="dxa"/>
            <w:tcBorders>
              <w:bottom w:val="single" w:sz="4" w:space="0" w:color="auto"/>
            </w:tcBorders>
            <w:shd w:val="clear" w:color="auto" w:fill="auto"/>
            <w:vAlign w:val="center"/>
          </w:tcPr>
          <w:p w14:paraId="0756571E"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 xml:space="preserve">6 </w:t>
            </w:r>
            <w:r w:rsidRPr="00B5466B">
              <w:rPr>
                <w:rFonts w:ascii="Times New Roman" w:hAnsi="Times New Roman"/>
              </w:rPr>
              <w:t>КОЕ/г</w:t>
            </w:r>
          </w:p>
          <w:p w14:paraId="1658BE04"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 xml:space="preserve">3 </w:t>
            </w:r>
            <w:r w:rsidRPr="00B5466B">
              <w:rPr>
                <w:rFonts w:ascii="Times New Roman" w:hAnsi="Times New Roman"/>
              </w:rPr>
              <w:t>;10</w:t>
            </w:r>
            <w:r w:rsidRPr="00B5466B">
              <w:rPr>
                <w:rFonts w:ascii="Times New Roman" w:hAnsi="Times New Roman"/>
                <w:vertAlign w:val="superscript"/>
              </w:rPr>
              <w:t>7</w:t>
            </w:r>
            <w:r w:rsidRPr="00B5466B">
              <w:rPr>
                <w:rFonts w:ascii="Times New Roman" w:hAnsi="Times New Roman"/>
              </w:rPr>
              <w:t>)</w:t>
            </w:r>
          </w:p>
        </w:tc>
        <w:tc>
          <w:tcPr>
            <w:tcW w:w="2126" w:type="dxa"/>
            <w:tcBorders>
              <w:bottom w:val="single" w:sz="4" w:space="0" w:color="auto"/>
            </w:tcBorders>
            <w:shd w:val="clear" w:color="auto" w:fill="auto"/>
            <w:vAlign w:val="center"/>
          </w:tcPr>
          <w:p w14:paraId="657E680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 xml:space="preserve">6 </w:t>
            </w:r>
            <w:r w:rsidRPr="00B5466B">
              <w:rPr>
                <w:rFonts w:ascii="Times New Roman" w:hAnsi="Times New Roman"/>
              </w:rPr>
              <w:t>КОЕ/г</w:t>
            </w:r>
          </w:p>
          <w:p w14:paraId="3D6AE1AA"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 xml:space="preserve">3 </w:t>
            </w:r>
            <w:r w:rsidRPr="00B5466B">
              <w:rPr>
                <w:rFonts w:ascii="Times New Roman" w:hAnsi="Times New Roman"/>
              </w:rPr>
              <w:t>;10</w:t>
            </w:r>
            <w:r w:rsidRPr="00B5466B">
              <w:rPr>
                <w:rFonts w:ascii="Times New Roman" w:hAnsi="Times New Roman"/>
                <w:vertAlign w:val="superscript"/>
              </w:rPr>
              <w:t>7</w:t>
            </w:r>
            <w:r w:rsidRPr="00B5466B">
              <w:rPr>
                <w:rFonts w:ascii="Times New Roman" w:hAnsi="Times New Roman"/>
              </w:rPr>
              <w:t>)</w:t>
            </w:r>
          </w:p>
        </w:tc>
        <w:tc>
          <w:tcPr>
            <w:tcW w:w="2092" w:type="dxa"/>
            <w:tcBorders>
              <w:bottom w:val="single" w:sz="4" w:space="0" w:color="auto"/>
            </w:tcBorders>
            <w:shd w:val="clear" w:color="auto" w:fill="auto"/>
            <w:vAlign w:val="center"/>
          </w:tcPr>
          <w:p w14:paraId="486004E8"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 xml:space="preserve">6 </w:t>
            </w:r>
            <w:r w:rsidRPr="00B5466B">
              <w:rPr>
                <w:rFonts w:ascii="Times New Roman" w:hAnsi="Times New Roman"/>
              </w:rPr>
              <w:t>КОЕ/г</w:t>
            </w:r>
          </w:p>
          <w:p w14:paraId="26A9236E"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 xml:space="preserve">6 </w:t>
            </w:r>
            <w:r w:rsidRPr="00B5466B">
              <w:rPr>
                <w:rFonts w:ascii="Times New Roman" w:hAnsi="Times New Roman"/>
              </w:rPr>
              <w:t>;10</w:t>
            </w:r>
            <w:r w:rsidRPr="00B5466B">
              <w:rPr>
                <w:rFonts w:ascii="Times New Roman" w:hAnsi="Times New Roman"/>
                <w:vertAlign w:val="superscript"/>
              </w:rPr>
              <w:t>6</w:t>
            </w:r>
            <w:r w:rsidRPr="00B5466B">
              <w:rPr>
                <w:rFonts w:ascii="Times New Roman" w:hAnsi="Times New Roman"/>
              </w:rPr>
              <w:t>)</w:t>
            </w:r>
          </w:p>
        </w:tc>
        <w:tc>
          <w:tcPr>
            <w:tcW w:w="2273" w:type="dxa"/>
            <w:tcBorders>
              <w:bottom w:val="single" w:sz="4" w:space="0" w:color="auto"/>
            </w:tcBorders>
            <w:shd w:val="clear" w:color="auto" w:fill="auto"/>
            <w:vAlign w:val="center"/>
          </w:tcPr>
          <w:p w14:paraId="41C1030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 xml:space="preserve">6 </w:t>
            </w:r>
            <w:r w:rsidRPr="00B5466B">
              <w:rPr>
                <w:rFonts w:ascii="Times New Roman" w:hAnsi="Times New Roman"/>
              </w:rPr>
              <w:t>КОЕ/г</w:t>
            </w:r>
          </w:p>
          <w:p w14:paraId="249F36F5"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 xml:space="preserve">3 </w:t>
            </w:r>
            <w:r w:rsidRPr="00B5466B">
              <w:rPr>
                <w:rFonts w:ascii="Times New Roman" w:hAnsi="Times New Roman"/>
              </w:rPr>
              <w:t>;10</w:t>
            </w:r>
            <w:r w:rsidRPr="00B5466B">
              <w:rPr>
                <w:rFonts w:ascii="Times New Roman" w:hAnsi="Times New Roman"/>
                <w:vertAlign w:val="superscript"/>
              </w:rPr>
              <w:t>7</w:t>
            </w:r>
            <w:r w:rsidRPr="00B5466B">
              <w:rPr>
                <w:rFonts w:ascii="Times New Roman" w:hAnsi="Times New Roman"/>
              </w:rPr>
              <w:t>)</w:t>
            </w:r>
          </w:p>
        </w:tc>
        <w:tc>
          <w:tcPr>
            <w:tcW w:w="1012" w:type="dxa"/>
            <w:tcBorders>
              <w:bottom w:val="single" w:sz="4" w:space="0" w:color="auto"/>
            </w:tcBorders>
            <w:shd w:val="clear" w:color="auto" w:fill="auto"/>
            <w:vAlign w:val="center"/>
          </w:tcPr>
          <w:p w14:paraId="0B0C2D0C"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0,234</w:t>
            </w:r>
          </w:p>
        </w:tc>
      </w:tr>
      <w:tr w:rsidR="00EF5CD6" w:rsidRPr="00D11BAB" w14:paraId="2C87A8BB" w14:textId="77777777" w:rsidTr="00094F6F">
        <w:trPr>
          <w:trHeight w:val="283"/>
          <w:jc w:val="center"/>
        </w:trPr>
        <w:tc>
          <w:tcPr>
            <w:tcW w:w="2884" w:type="dxa"/>
            <w:tcBorders>
              <w:bottom w:val="nil"/>
            </w:tcBorders>
            <w:shd w:val="clear" w:color="auto" w:fill="auto"/>
          </w:tcPr>
          <w:p w14:paraId="5588DF17"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rPr>
              <w:t>Условно-патогенная микрофлора кишечника</w:t>
            </w:r>
          </w:p>
        </w:tc>
        <w:tc>
          <w:tcPr>
            <w:tcW w:w="1652" w:type="dxa"/>
            <w:tcBorders>
              <w:bottom w:val="nil"/>
            </w:tcBorders>
            <w:shd w:val="clear" w:color="auto" w:fill="auto"/>
          </w:tcPr>
          <w:p w14:paraId="7EE36106"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lang w:eastAsia="en-US"/>
              </w:rPr>
            </w:pPr>
          </w:p>
        </w:tc>
        <w:tc>
          <w:tcPr>
            <w:tcW w:w="2581" w:type="dxa"/>
            <w:tcBorders>
              <w:bottom w:val="nil"/>
            </w:tcBorders>
            <w:shd w:val="clear" w:color="auto" w:fill="auto"/>
          </w:tcPr>
          <w:p w14:paraId="740E240E"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rPr>
              <w:t>Кол</w:t>
            </w:r>
            <w:r>
              <w:rPr>
                <w:rFonts w:ascii="Times New Roman" w:hAnsi="Times New Roman"/>
              </w:rPr>
              <w:t>-</w:t>
            </w:r>
            <w:r w:rsidRPr="00B5466B">
              <w:rPr>
                <w:rFonts w:ascii="Times New Roman" w:hAnsi="Times New Roman"/>
              </w:rPr>
              <w:t xml:space="preserve">во </w:t>
            </w:r>
            <w:proofErr w:type="spellStart"/>
            <w:r w:rsidRPr="00B5466B">
              <w:rPr>
                <w:rFonts w:ascii="Times New Roman" w:hAnsi="Times New Roman"/>
              </w:rPr>
              <w:t>микроорга</w:t>
            </w:r>
            <w:proofErr w:type="spellEnd"/>
            <w:r w:rsidRPr="00B5466B">
              <w:rPr>
                <w:rFonts w:ascii="Times New Roman" w:hAnsi="Times New Roman"/>
              </w:rPr>
              <w:t xml:space="preserve"> </w:t>
            </w:r>
            <w:proofErr w:type="spellStart"/>
            <w:r w:rsidRPr="00B5466B">
              <w:rPr>
                <w:rFonts w:ascii="Times New Roman" w:hAnsi="Times New Roman"/>
              </w:rPr>
              <w:t>низмов</w:t>
            </w:r>
            <w:proofErr w:type="spellEnd"/>
            <w:r w:rsidRPr="00B5466B">
              <w:rPr>
                <w:rFonts w:ascii="Times New Roman" w:hAnsi="Times New Roman"/>
              </w:rPr>
              <w:t xml:space="preserve"> у больных после правосторонней гемиколэктомии </w:t>
            </w:r>
          </w:p>
          <w:p w14:paraId="5D8A171C"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rPr>
              <w:t xml:space="preserve"> (</w:t>
            </w:r>
            <w:proofErr w:type="gramStart"/>
            <w:r w:rsidRPr="00B5466B">
              <w:rPr>
                <w:rFonts w:ascii="Times New Roman" w:hAnsi="Times New Roman"/>
                <w:lang w:val="en-US"/>
              </w:rPr>
              <w:t>n</w:t>
            </w:r>
            <w:proofErr w:type="gramEnd"/>
            <w:r w:rsidRPr="00B5466B">
              <w:rPr>
                <w:rFonts w:ascii="Times New Roman" w:hAnsi="Times New Roman"/>
              </w:rPr>
              <w:t xml:space="preserve"> =28)</w:t>
            </w:r>
          </w:p>
        </w:tc>
        <w:tc>
          <w:tcPr>
            <w:tcW w:w="2126" w:type="dxa"/>
            <w:tcBorders>
              <w:bottom w:val="nil"/>
            </w:tcBorders>
            <w:shd w:val="clear" w:color="auto" w:fill="auto"/>
          </w:tcPr>
          <w:p w14:paraId="15A567EA"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rPr>
              <w:t>Кол</w:t>
            </w:r>
            <w:r>
              <w:rPr>
                <w:rFonts w:ascii="Times New Roman" w:hAnsi="Times New Roman"/>
              </w:rPr>
              <w:t>-</w:t>
            </w:r>
            <w:r w:rsidRPr="00B5466B">
              <w:rPr>
                <w:rFonts w:ascii="Times New Roman" w:hAnsi="Times New Roman"/>
              </w:rPr>
              <w:t xml:space="preserve">во </w:t>
            </w:r>
            <w:proofErr w:type="spellStart"/>
            <w:r w:rsidRPr="00B5466B">
              <w:rPr>
                <w:rFonts w:ascii="Times New Roman" w:hAnsi="Times New Roman"/>
              </w:rPr>
              <w:t>микроорган</w:t>
            </w:r>
            <w:proofErr w:type="spellEnd"/>
            <w:proofErr w:type="gramStart"/>
            <w:r>
              <w:rPr>
                <w:rFonts w:ascii="Times New Roman" w:hAnsi="Times New Roman"/>
              </w:rPr>
              <w:t>.</w:t>
            </w:r>
            <w:r w:rsidRPr="00B5466B">
              <w:rPr>
                <w:rFonts w:ascii="Times New Roman" w:hAnsi="Times New Roman"/>
              </w:rPr>
              <w:t xml:space="preserve"> у</w:t>
            </w:r>
            <w:proofErr w:type="gramEnd"/>
            <w:r w:rsidRPr="00B5466B">
              <w:rPr>
                <w:rFonts w:ascii="Times New Roman" w:hAnsi="Times New Roman"/>
              </w:rPr>
              <w:t xml:space="preserve"> больных после </w:t>
            </w:r>
            <w:proofErr w:type="spellStart"/>
            <w:r w:rsidRPr="00B5466B">
              <w:rPr>
                <w:rFonts w:ascii="Times New Roman" w:hAnsi="Times New Roman"/>
              </w:rPr>
              <w:t>левосто</w:t>
            </w:r>
            <w:proofErr w:type="spellEnd"/>
            <w:r w:rsidRPr="00B5466B">
              <w:rPr>
                <w:rFonts w:ascii="Times New Roman" w:hAnsi="Times New Roman"/>
              </w:rPr>
              <w:t xml:space="preserve"> </w:t>
            </w:r>
            <w:proofErr w:type="spellStart"/>
            <w:r w:rsidRPr="00B5466B">
              <w:rPr>
                <w:rFonts w:ascii="Times New Roman" w:hAnsi="Times New Roman"/>
              </w:rPr>
              <w:t>ронней</w:t>
            </w:r>
            <w:proofErr w:type="spellEnd"/>
            <w:r w:rsidRPr="00B5466B">
              <w:rPr>
                <w:rFonts w:ascii="Times New Roman" w:hAnsi="Times New Roman"/>
              </w:rPr>
              <w:t xml:space="preserve"> </w:t>
            </w:r>
            <w:proofErr w:type="spellStart"/>
            <w:r w:rsidRPr="00B5466B">
              <w:rPr>
                <w:rFonts w:ascii="Times New Roman" w:hAnsi="Times New Roman"/>
              </w:rPr>
              <w:t>гемикол</w:t>
            </w:r>
            <w:proofErr w:type="spellEnd"/>
            <w:r w:rsidRPr="00B5466B">
              <w:rPr>
                <w:rFonts w:ascii="Times New Roman" w:hAnsi="Times New Roman"/>
              </w:rPr>
              <w:t xml:space="preserve"> </w:t>
            </w:r>
            <w:proofErr w:type="spellStart"/>
            <w:r w:rsidRPr="00B5466B">
              <w:rPr>
                <w:rFonts w:ascii="Times New Roman" w:hAnsi="Times New Roman"/>
              </w:rPr>
              <w:t>эктомии</w:t>
            </w:r>
            <w:proofErr w:type="spellEnd"/>
          </w:p>
          <w:p w14:paraId="05902E37"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rPr>
              <w:t xml:space="preserve"> (</w:t>
            </w:r>
            <w:proofErr w:type="gramStart"/>
            <w:r w:rsidRPr="00B5466B">
              <w:rPr>
                <w:rFonts w:ascii="Times New Roman" w:hAnsi="Times New Roman"/>
                <w:lang w:val="en-US"/>
              </w:rPr>
              <w:t>n</w:t>
            </w:r>
            <w:proofErr w:type="gramEnd"/>
            <w:r w:rsidRPr="00B5466B">
              <w:rPr>
                <w:rFonts w:ascii="Times New Roman" w:hAnsi="Times New Roman"/>
              </w:rPr>
              <w:t xml:space="preserve"> =4)</w:t>
            </w:r>
          </w:p>
        </w:tc>
        <w:tc>
          <w:tcPr>
            <w:tcW w:w="2092" w:type="dxa"/>
            <w:tcBorders>
              <w:bottom w:val="nil"/>
            </w:tcBorders>
            <w:shd w:val="clear" w:color="auto" w:fill="auto"/>
          </w:tcPr>
          <w:p w14:paraId="07499BEC"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rPr>
              <w:t>Кол</w:t>
            </w:r>
            <w:r>
              <w:rPr>
                <w:rFonts w:ascii="Times New Roman" w:hAnsi="Times New Roman"/>
              </w:rPr>
              <w:t>-</w:t>
            </w:r>
            <w:r w:rsidRPr="00B5466B">
              <w:rPr>
                <w:rFonts w:ascii="Times New Roman" w:hAnsi="Times New Roman"/>
              </w:rPr>
              <w:t xml:space="preserve">во </w:t>
            </w:r>
            <w:proofErr w:type="spellStart"/>
            <w:r w:rsidRPr="00B5466B">
              <w:rPr>
                <w:rFonts w:ascii="Times New Roman" w:hAnsi="Times New Roman"/>
              </w:rPr>
              <w:t>микроорган</w:t>
            </w:r>
            <w:proofErr w:type="spellEnd"/>
            <w:proofErr w:type="gramStart"/>
            <w:r>
              <w:rPr>
                <w:rFonts w:ascii="Times New Roman" w:hAnsi="Times New Roman"/>
              </w:rPr>
              <w:t>.</w:t>
            </w:r>
            <w:r w:rsidRPr="00B5466B">
              <w:rPr>
                <w:rFonts w:ascii="Times New Roman" w:hAnsi="Times New Roman"/>
              </w:rPr>
              <w:t xml:space="preserve"> у</w:t>
            </w:r>
            <w:proofErr w:type="gramEnd"/>
            <w:r w:rsidRPr="00B5466B">
              <w:rPr>
                <w:rFonts w:ascii="Times New Roman" w:hAnsi="Times New Roman"/>
              </w:rPr>
              <w:t xml:space="preserve"> больных после резекции попе речно-ободочной кишки</w:t>
            </w:r>
          </w:p>
          <w:p w14:paraId="2DEF5918"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rPr>
              <w:t xml:space="preserve"> (</w:t>
            </w:r>
            <w:proofErr w:type="gramStart"/>
            <w:r w:rsidRPr="00B5466B">
              <w:rPr>
                <w:rFonts w:ascii="Times New Roman" w:hAnsi="Times New Roman"/>
                <w:lang w:val="en-US"/>
              </w:rPr>
              <w:t>n</w:t>
            </w:r>
            <w:proofErr w:type="gramEnd"/>
            <w:r w:rsidRPr="00B5466B">
              <w:rPr>
                <w:rFonts w:ascii="Times New Roman" w:hAnsi="Times New Roman"/>
              </w:rPr>
              <w:t xml:space="preserve"> =0)</w:t>
            </w:r>
          </w:p>
        </w:tc>
        <w:tc>
          <w:tcPr>
            <w:tcW w:w="2273" w:type="dxa"/>
            <w:tcBorders>
              <w:bottom w:val="nil"/>
            </w:tcBorders>
            <w:shd w:val="clear" w:color="auto" w:fill="auto"/>
          </w:tcPr>
          <w:p w14:paraId="5239B593"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rPr>
              <w:t>Кол</w:t>
            </w:r>
            <w:r>
              <w:rPr>
                <w:rFonts w:ascii="Times New Roman" w:hAnsi="Times New Roman"/>
              </w:rPr>
              <w:t>-</w:t>
            </w:r>
            <w:r w:rsidRPr="00B5466B">
              <w:rPr>
                <w:rFonts w:ascii="Times New Roman" w:hAnsi="Times New Roman"/>
              </w:rPr>
              <w:t xml:space="preserve">во </w:t>
            </w:r>
            <w:proofErr w:type="spellStart"/>
            <w:r w:rsidRPr="00B5466B">
              <w:rPr>
                <w:rFonts w:ascii="Times New Roman" w:hAnsi="Times New Roman"/>
              </w:rPr>
              <w:t>микроорган</w:t>
            </w:r>
            <w:proofErr w:type="spellEnd"/>
            <w:proofErr w:type="gramStart"/>
            <w:r>
              <w:rPr>
                <w:rFonts w:ascii="Times New Roman" w:hAnsi="Times New Roman"/>
              </w:rPr>
              <w:t>.</w:t>
            </w:r>
            <w:r w:rsidRPr="00B5466B">
              <w:rPr>
                <w:rFonts w:ascii="Times New Roman" w:hAnsi="Times New Roman"/>
              </w:rPr>
              <w:t xml:space="preserve"> у</w:t>
            </w:r>
            <w:proofErr w:type="gramEnd"/>
            <w:r w:rsidRPr="00B5466B">
              <w:rPr>
                <w:rFonts w:ascii="Times New Roman" w:hAnsi="Times New Roman"/>
              </w:rPr>
              <w:t xml:space="preserve"> больных после </w:t>
            </w:r>
            <w:proofErr w:type="spellStart"/>
            <w:r w:rsidRPr="00B5466B">
              <w:rPr>
                <w:rFonts w:ascii="Times New Roman" w:hAnsi="Times New Roman"/>
              </w:rPr>
              <w:t>резек</w:t>
            </w:r>
            <w:proofErr w:type="spellEnd"/>
            <w:r w:rsidRPr="00B5466B">
              <w:rPr>
                <w:rFonts w:ascii="Times New Roman" w:hAnsi="Times New Roman"/>
              </w:rPr>
              <w:t xml:space="preserve"> </w:t>
            </w:r>
            <w:proofErr w:type="spellStart"/>
            <w:r w:rsidRPr="00B5466B">
              <w:rPr>
                <w:rFonts w:ascii="Times New Roman" w:hAnsi="Times New Roman"/>
              </w:rPr>
              <w:t>ции</w:t>
            </w:r>
            <w:proofErr w:type="spellEnd"/>
            <w:r w:rsidRPr="00B5466B">
              <w:rPr>
                <w:rFonts w:ascii="Times New Roman" w:hAnsi="Times New Roman"/>
              </w:rPr>
              <w:t xml:space="preserve"> кишечника с формированием стомы</w:t>
            </w:r>
          </w:p>
          <w:p w14:paraId="0AF7A9AA"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rPr>
              <w:t xml:space="preserve"> (</w:t>
            </w:r>
            <w:proofErr w:type="gramStart"/>
            <w:r w:rsidRPr="00B5466B">
              <w:rPr>
                <w:rFonts w:ascii="Times New Roman" w:hAnsi="Times New Roman"/>
                <w:lang w:val="en-US"/>
              </w:rPr>
              <w:t>n</w:t>
            </w:r>
            <w:proofErr w:type="gramEnd"/>
            <w:r w:rsidRPr="00B5466B">
              <w:rPr>
                <w:rFonts w:ascii="Times New Roman" w:hAnsi="Times New Roman"/>
              </w:rPr>
              <w:t xml:space="preserve"> =12)</w:t>
            </w:r>
          </w:p>
        </w:tc>
        <w:tc>
          <w:tcPr>
            <w:tcW w:w="1012" w:type="dxa"/>
            <w:tcBorders>
              <w:bottom w:val="nil"/>
            </w:tcBorders>
            <w:shd w:val="clear" w:color="auto" w:fill="auto"/>
          </w:tcPr>
          <w:p w14:paraId="5A348964"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val="en-US"/>
              </w:rPr>
            </w:pPr>
            <w:r w:rsidRPr="00B5466B">
              <w:rPr>
                <w:rFonts w:ascii="Times New Roman" w:hAnsi="Times New Roman"/>
                <w:lang w:val="en-US"/>
              </w:rPr>
              <w:t>p</w:t>
            </w:r>
          </w:p>
        </w:tc>
      </w:tr>
      <w:tr w:rsidR="00EF5CD6" w:rsidRPr="00D11BAB" w14:paraId="524E790E" w14:textId="77777777" w:rsidTr="00094F6F">
        <w:trPr>
          <w:trHeight w:val="283"/>
          <w:jc w:val="center"/>
        </w:trPr>
        <w:tc>
          <w:tcPr>
            <w:tcW w:w="2884" w:type="dxa"/>
            <w:vMerge w:val="restart"/>
            <w:tcBorders>
              <w:top w:val="single" w:sz="4" w:space="0" w:color="auto"/>
              <w:left w:val="single" w:sz="4" w:space="0" w:color="auto"/>
              <w:bottom w:val="single" w:sz="4" w:space="0" w:color="auto"/>
              <w:right w:val="single" w:sz="4" w:space="0" w:color="auto"/>
            </w:tcBorders>
            <w:shd w:val="clear" w:color="auto" w:fill="auto"/>
          </w:tcPr>
          <w:p w14:paraId="6B60DAE2"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FF0000"/>
              </w:rPr>
            </w:pPr>
            <w:r w:rsidRPr="00B5466B">
              <w:rPr>
                <w:rFonts w:ascii="Times New Roman" w:hAnsi="Times New Roman"/>
                <w:lang w:eastAsia="en-US"/>
              </w:rPr>
              <w:t>Наименование микроорганизмов</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tcPr>
          <w:p w14:paraId="7DB9FED8"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rPr>
              <w:t xml:space="preserve">Норма </w:t>
            </w:r>
          </w:p>
        </w:tc>
        <w:tc>
          <w:tcPr>
            <w:tcW w:w="2581" w:type="dxa"/>
            <w:tcBorders>
              <w:top w:val="single" w:sz="4" w:space="0" w:color="auto"/>
              <w:left w:val="single" w:sz="4" w:space="0" w:color="auto"/>
              <w:bottom w:val="single" w:sz="4" w:space="0" w:color="auto"/>
              <w:right w:val="single" w:sz="4" w:space="0" w:color="auto"/>
            </w:tcBorders>
            <w:shd w:val="clear" w:color="auto" w:fill="auto"/>
          </w:tcPr>
          <w:p w14:paraId="6372904A"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КОЕ/г</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D164F69"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КОЕ/г</w:t>
            </w:r>
          </w:p>
        </w:tc>
        <w:tc>
          <w:tcPr>
            <w:tcW w:w="2092" w:type="dxa"/>
            <w:tcBorders>
              <w:top w:val="single" w:sz="4" w:space="0" w:color="auto"/>
              <w:left w:val="single" w:sz="4" w:space="0" w:color="auto"/>
              <w:bottom w:val="single" w:sz="4" w:space="0" w:color="auto"/>
              <w:right w:val="single" w:sz="4" w:space="0" w:color="auto"/>
            </w:tcBorders>
            <w:shd w:val="clear" w:color="auto" w:fill="auto"/>
          </w:tcPr>
          <w:p w14:paraId="1BF13189"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КОЕ/г</w:t>
            </w:r>
          </w:p>
        </w:tc>
        <w:tc>
          <w:tcPr>
            <w:tcW w:w="2273" w:type="dxa"/>
            <w:tcBorders>
              <w:top w:val="single" w:sz="4" w:space="0" w:color="auto"/>
              <w:left w:val="single" w:sz="4" w:space="0" w:color="auto"/>
              <w:bottom w:val="single" w:sz="4" w:space="0" w:color="auto"/>
              <w:right w:val="single" w:sz="4" w:space="0" w:color="auto"/>
            </w:tcBorders>
            <w:shd w:val="clear" w:color="auto" w:fill="auto"/>
          </w:tcPr>
          <w:p w14:paraId="0F0605B3"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КОЕ/г</w:t>
            </w:r>
          </w:p>
        </w:tc>
        <w:tc>
          <w:tcPr>
            <w:tcW w:w="1012" w:type="dxa"/>
            <w:tcBorders>
              <w:top w:val="single" w:sz="4" w:space="0" w:color="auto"/>
              <w:left w:val="single" w:sz="4" w:space="0" w:color="auto"/>
              <w:bottom w:val="single" w:sz="4" w:space="0" w:color="auto"/>
              <w:right w:val="single" w:sz="4" w:space="0" w:color="auto"/>
            </w:tcBorders>
            <w:shd w:val="clear" w:color="auto" w:fill="auto"/>
          </w:tcPr>
          <w:p w14:paraId="75156EF4"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p>
        </w:tc>
      </w:tr>
      <w:tr w:rsidR="00EF5CD6" w:rsidRPr="00D11BAB" w14:paraId="4B372BE9" w14:textId="77777777" w:rsidTr="00094F6F">
        <w:trPr>
          <w:trHeight w:val="283"/>
          <w:jc w:val="center"/>
        </w:trPr>
        <w:tc>
          <w:tcPr>
            <w:tcW w:w="2884" w:type="dxa"/>
            <w:vMerge/>
            <w:tcBorders>
              <w:top w:val="single" w:sz="4" w:space="0" w:color="auto"/>
              <w:left w:val="single" w:sz="4" w:space="0" w:color="auto"/>
              <w:bottom w:val="nil"/>
              <w:right w:val="single" w:sz="4" w:space="0" w:color="auto"/>
            </w:tcBorders>
            <w:shd w:val="clear" w:color="auto" w:fill="auto"/>
          </w:tcPr>
          <w:p w14:paraId="2786F603"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p>
        </w:tc>
        <w:tc>
          <w:tcPr>
            <w:tcW w:w="1652" w:type="dxa"/>
            <w:vMerge/>
            <w:tcBorders>
              <w:top w:val="single" w:sz="4" w:space="0" w:color="auto"/>
              <w:left w:val="single" w:sz="4" w:space="0" w:color="auto"/>
              <w:bottom w:val="nil"/>
              <w:right w:val="single" w:sz="4" w:space="0" w:color="auto"/>
            </w:tcBorders>
            <w:shd w:val="clear" w:color="auto" w:fill="auto"/>
          </w:tcPr>
          <w:p w14:paraId="7F98A874"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p>
        </w:tc>
        <w:tc>
          <w:tcPr>
            <w:tcW w:w="2581" w:type="dxa"/>
            <w:tcBorders>
              <w:top w:val="single" w:sz="4" w:space="0" w:color="auto"/>
              <w:left w:val="single" w:sz="4" w:space="0" w:color="auto"/>
              <w:bottom w:val="nil"/>
              <w:right w:val="single" w:sz="4" w:space="0" w:color="auto"/>
            </w:tcBorders>
            <w:shd w:val="clear" w:color="auto" w:fill="auto"/>
          </w:tcPr>
          <w:p w14:paraId="1E836267"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lang w:val="en-US"/>
              </w:rPr>
              <w:t>Me</w:t>
            </w:r>
            <w:r w:rsidRPr="00B5466B">
              <w:rPr>
                <w:rFonts w:ascii="Times New Roman" w:hAnsi="Times New Roman"/>
              </w:rPr>
              <w:t xml:space="preserve"> (</w:t>
            </w:r>
            <w:r w:rsidRPr="00B5466B">
              <w:rPr>
                <w:rFonts w:ascii="Times New Roman" w:hAnsi="Times New Roman"/>
                <w:lang w:val="en-US"/>
              </w:rPr>
              <w:t>Q2</w:t>
            </w:r>
            <w:r w:rsidRPr="00B5466B">
              <w:rPr>
                <w:rFonts w:ascii="Times New Roman" w:hAnsi="Times New Roman"/>
              </w:rPr>
              <w:t>;</w:t>
            </w:r>
            <w:r w:rsidRPr="00B5466B">
              <w:rPr>
                <w:rFonts w:ascii="Times New Roman" w:hAnsi="Times New Roman"/>
                <w:lang w:val="en-US"/>
              </w:rPr>
              <w:t xml:space="preserve"> Q4</w:t>
            </w:r>
            <w:r w:rsidRPr="00B5466B">
              <w:rPr>
                <w:rFonts w:ascii="Times New Roman" w:hAnsi="Times New Roman"/>
              </w:rPr>
              <w:t>)</w:t>
            </w:r>
          </w:p>
        </w:tc>
        <w:tc>
          <w:tcPr>
            <w:tcW w:w="2126" w:type="dxa"/>
            <w:tcBorders>
              <w:top w:val="single" w:sz="4" w:space="0" w:color="auto"/>
              <w:left w:val="single" w:sz="4" w:space="0" w:color="auto"/>
              <w:bottom w:val="nil"/>
              <w:right w:val="single" w:sz="4" w:space="0" w:color="auto"/>
            </w:tcBorders>
            <w:shd w:val="clear" w:color="auto" w:fill="auto"/>
          </w:tcPr>
          <w:p w14:paraId="3162D16D"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val="en-US"/>
              </w:rPr>
            </w:pPr>
            <w:r w:rsidRPr="00B5466B">
              <w:rPr>
                <w:rFonts w:ascii="Times New Roman" w:hAnsi="Times New Roman"/>
                <w:lang w:val="en-US"/>
              </w:rPr>
              <w:t>Me</w:t>
            </w:r>
            <w:r w:rsidRPr="00B5466B">
              <w:rPr>
                <w:rFonts w:ascii="Times New Roman" w:hAnsi="Times New Roman"/>
              </w:rPr>
              <w:t xml:space="preserve"> (</w:t>
            </w:r>
            <w:r w:rsidRPr="00B5466B">
              <w:rPr>
                <w:rFonts w:ascii="Times New Roman" w:hAnsi="Times New Roman"/>
                <w:lang w:val="en-US"/>
              </w:rPr>
              <w:t>Q2</w:t>
            </w:r>
            <w:r w:rsidRPr="00B5466B">
              <w:rPr>
                <w:rFonts w:ascii="Times New Roman" w:hAnsi="Times New Roman"/>
              </w:rPr>
              <w:t>;</w:t>
            </w:r>
            <w:r w:rsidRPr="00B5466B">
              <w:rPr>
                <w:rFonts w:ascii="Times New Roman" w:hAnsi="Times New Roman"/>
                <w:lang w:val="en-US"/>
              </w:rPr>
              <w:t xml:space="preserve"> Q4</w:t>
            </w:r>
            <w:r w:rsidRPr="00B5466B">
              <w:rPr>
                <w:rFonts w:ascii="Times New Roman" w:hAnsi="Times New Roman"/>
              </w:rPr>
              <w:t>)</w:t>
            </w:r>
          </w:p>
        </w:tc>
        <w:tc>
          <w:tcPr>
            <w:tcW w:w="2092" w:type="dxa"/>
            <w:tcBorders>
              <w:top w:val="single" w:sz="4" w:space="0" w:color="auto"/>
              <w:left w:val="single" w:sz="4" w:space="0" w:color="auto"/>
              <w:bottom w:val="nil"/>
              <w:right w:val="single" w:sz="4" w:space="0" w:color="auto"/>
            </w:tcBorders>
            <w:shd w:val="clear" w:color="auto" w:fill="auto"/>
          </w:tcPr>
          <w:p w14:paraId="37090B6E"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val="en-US"/>
              </w:rPr>
            </w:pPr>
            <w:r w:rsidRPr="00B5466B">
              <w:rPr>
                <w:rFonts w:ascii="Times New Roman" w:hAnsi="Times New Roman"/>
                <w:lang w:val="en-US"/>
              </w:rPr>
              <w:t>Me</w:t>
            </w:r>
            <w:r w:rsidRPr="00B5466B">
              <w:rPr>
                <w:rFonts w:ascii="Times New Roman" w:hAnsi="Times New Roman"/>
              </w:rPr>
              <w:t xml:space="preserve"> (</w:t>
            </w:r>
            <w:r w:rsidRPr="00B5466B">
              <w:rPr>
                <w:rFonts w:ascii="Times New Roman" w:hAnsi="Times New Roman"/>
                <w:lang w:val="en-US"/>
              </w:rPr>
              <w:t>Q2</w:t>
            </w:r>
            <w:r w:rsidRPr="00B5466B">
              <w:rPr>
                <w:rFonts w:ascii="Times New Roman" w:hAnsi="Times New Roman"/>
              </w:rPr>
              <w:t>;</w:t>
            </w:r>
            <w:r w:rsidRPr="00B5466B">
              <w:rPr>
                <w:rFonts w:ascii="Times New Roman" w:hAnsi="Times New Roman"/>
                <w:lang w:val="en-US"/>
              </w:rPr>
              <w:t xml:space="preserve"> Q4</w:t>
            </w:r>
            <w:r w:rsidRPr="00B5466B">
              <w:rPr>
                <w:rFonts w:ascii="Times New Roman" w:hAnsi="Times New Roman"/>
              </w:rPr>
              <w:t>)</w:t>
            </w:r>
          </w:p>
        </w:tc>
        <w:tc>
          <w:tcPr>
            <w:tcW w:w="2273" w:type="dxa"/>
            <w:tcBorders>
              <w:top w:val="single" w:sz="4" w:space="0" w:color="auto"/>
              <w:left w:val="single" w:sz="4" w:space="0" w:color="auto"/>
              <w:bottom w:val="nil"/>
              <w:right w:val="single" w:sz="4" w:space="0" w:color="auto"/>
            </w:tcBorders>
            <w:shd w:val="clear" w:color="auto" w:fill="auto"/>
          </w:tcPr>
          <w:p w14:paraId="710843B7"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val="en-US"/>
              </w:rPr>
            </w:pPr>
            <w:r w:rsidRPr="00B5466B">
              <w:rPr>
                <w:rFonts w:ascii="Times New Roman" w:hAnsi="Times New Roman"/>
                <w:lang w:val="en-US"/>
              </w:rPr>
              <w:t>Me</w:t>
            </w:r>
            <w:r w:rsidRPr="00B5466B">
              <w:rPr>
                <w:rFonts w:ascii="Times New Roman" w:hAnsi="Times New Roman"/>
              </w:rPr>
              <w:t xml:space="preserve"> (</w:t>
            </w:r>
            <w:r w:rsidRPr="00B5466B">
              <w:rPr>
                <w:rFonts w:ascii="Times New Roman" w:hAnsi="Times New Roman"/>
                <w:lang w:val="en-US"/>
              </w:rPr>
              <w:t>Q2</w:t>
            </w:r>
            <w:r w:rsidRPr="00B5466B">
              <w:rPr>
                <w:rFonts w:ascii="Times New Roman" w:hAnsi="Times New Roman"/>
              </w:rPr>
              <w:t>;</w:t>
            </w:r>
            <w:r w:rsidRPr="00B5466B">
              <w:rPr>
                <w:rFonts w:ascii="Times New Roman" w:hAnsi="Times New Roman"/>
                <w:lang w:val="en-US"/>
              </w:rPr>
              <w:t xml:space="preserve"> Q4</w:t>
            </w:r>
            <w:r w:rsidRPr="00B5466B">
              <w:rPr>
                <w:rFonts w:ascii="Times New Roman" w:hAnsi="Times New Roman"/>
              </w:rPr>
              <w:t>)</w:t>
            </w:r>
          </w:p>
        </w:tc>
        <w:tc>
          <w:tcPr>
            <w:tcW w:w="1012" w:type="dxa"/>
            <w:tcBorders>
              <w:top w:val="single" w:sz="4" w:space="0" w:color="auto"/>
              <w:left w:val="single" w:sz="4" w:space="0" w:color="auto"/>
              <w:bottom w:val="nil"/>
              <w:right w:val="single" w:sz="4" w:space="0" w:color="auto"/>
            </w:tcBorders>
            <w:shd w:val="clear" w:color="auto" w:fill="auto"/>
          </w:tcPr>
          <w:p w14:paraId="651AABA1"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val="en-US"/>
              </w:rPr>
            </w:pPr>
          </w:p>
        </w:tc>
      </w:tr>
      <w:tr w:rsidR="00EF5CD6" w:rsidRPr="00D11BAB" w14:paraId="7FE6684D" w14:textId="77777777" w:rsidTr="00094F6F">
        <w:trPr>
          <w:trHeight w:val="283"/>
          <w:jc w:val="center"/>
        </w:trPr>
        <w:tc>
          <w:tcPr>
            <w:tcW w:w="2884" w:type="dxa"/>
            <w:tcBorders>
              <w:top w:val="single" w:sz="4" w:space="0" w:color="auto"/>
              <w:bottom w:val="single" w:sz="4" w:space="0" w:color="auto"/>
            </w:tcBorders>
            <w:shd w:val="clear" w:color="auto" w:fill="auto"/>
          </w:tcPr>
          <w:p w14:paraId="1E9C5D1E"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lang w:val="en-US"/>
              </w:rPr>
            </w:pPr>
            <w:r w:rsidRPr="00B5466B">
              <w:rPr>
                <w:rFonts w:ascii="Times New Roman" w:hAnsi="Times New Roman"/>
                <w:bCs/>
                <w:lang w:eastAsia="en-US"/>
              </w:rPr>
              <w:t xml:space="preserve">Бактерии рода </w:t>
            </w:r>
            <w:proofErr w:type="spellStart"/>
            <w:r w:rsidRPr="00B5466B">
              <w:rPr>
                <w:rFonts w:ascii="Times New Roman" w:hAnsi="Times New Roman"/>
                <w:bCs/>
                <w:lang w:eastAsia="en-US"/>
              </w:rPr>
              <w:t>Enterococcu</w:t>
            </w:r>
            <w:proofErr w:type="spellEnd"/>
            <w:r w:rsidRPr="00B5466B">
              <w:rPr>
                <w:rFonts w:ascii="Times New Roman" w:hAnsi="Times New Roman"/>
                <w:bCs/>
                <w:lang w:val="en-US" w:eastAsia="en-US"/>
              </w:rPr>
              <w:t>s</w:t>
            </w:r>
          </w:p>
        </w:tc>
        <w:tc>
          <w:tcPr>
            <w:tcW w:w="1652" w:type="dxa"/>
            <w:tcBorders>
              <w:top w:val="single" w:sz="4" w:space="0" w:color="auto"/>
              <w:bottom w:val="single" w:sz="4" w:space="0" w:color="auto"/>
            </w:tcBorders>
            <w:shd w:val="clear" w:color="auto" w:fill="auto"/>
          </w:tcPr>
          <w:p w14:paraId="6FAD08B5"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lang w:eastAsia="en-US"/>
              </w:rPr>
              <w:t>10</w:t>
            </w:r>
            <w:r w:rsidRPr="00B5466B">
              <w:rPr>
                <w:rFonts w:ascii="Times New Roman" w:hAnsi="Times New Roman"/>
                <w:vertAlign w:val="superscript"/>
                <w:lang w:eastAsia="en-US"/>
              </w:rPr>
              <w:t>5</w:t>
            </w:r>
            <w:r w:rsidRPr="00B5466B">
              <w:rPr>
                <w:rFonts w:ascii="Times New Roman" w:hAnsi="Times New Roman"/>
                <w:lang w:eastAsia="en-US"/>
              </w:rPr>
              <w:t>-10</w:t>
            </w:r>
            <w:r w:rsidRPr="00B5466B">
              <w:rPr>
                <w:rFonts w:ascii="Times New Roman" w:hAnsi="Times New Roman"/>
                <w:vertAlign w:val="superscript"/>
                <w:lang w:eastAsia="en-US"/>
              </w:rPr>
              <w:t>8</w:t>
            </w:r>
            <w:r w:rsidRPr="00B5466B">
              <w:rPr>
                <w:rFonts w:ascii="Times New Roman" w:hAnsi="Times New Roman"/>
              </w:rPr>
              <w:t xml:space="preserve"> КОЕ/г</w:t>
            </w:r>
          </w:p>
          <w:p w14:paraId="5C340C87"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p>
        </w:tc>
        <w:tc>
          <w:tcPr>
            <w:tcW w:w="2581" w:type="dxa"/>
            <w:tcBorders>
              <w:top w:val="single" w:sz="4" w:space="0" w:color="auto"/>
              <w:bottom w:val="single" w:sz="4" w:space="0" w:color="auto"/>
            </w:tcBorders>
            <w:shd w:val="clear" w:color="auto" w:fill="auto"/>
          </w:tcPr>
          <w:p w14:paraId="53D16BC9"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rPr>
            </w:pPr>
            <w:r w:rsidRPr="00B5466B">
              <w:rPr>
                <w:rFonts w:ascii="Times New Roman" w:hAnsi="Times New Roman"/>
              </w:rPr>
              <w:t>10</w:t>
            </w:r>
            <w:r w:rsidRPr="00B5466B">
              <w:rPr>
                <w:rFonts w:ascii="Times New Roman" w:hAnsi="Times New Roman"/>
                <w:vertAlign w:val="superscript"/>
              </w:rPr>
              <w:t>9</w:t>
            </w:r>
          </w:p>
          <w:p w14:paraId="2420E892"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5</w:t>
            </w:r>
            <w:r w:rsidRPr="00B5466B">
              <w:rPr>
                <w:rFonts w:ascii="Times New Roman" w:hAnsi="Times New Roman"/>
              </w:rPr>
              <w:t>;10</w:t>
            </w:r>
            <w:r w:rsidRPr="00B5466B">
              <w:rPr>
                <w:rFonts w:ascii="Times New Roman" w:hAnsi="Times New Roman"/>
                <w:vertAlign w:val="superscript"/>
              </w:rPr>
              <w:t>10</w:t>
            </w:r>
            <w:r w:rsidRPr="00B5466B">
              <w:rPr>
                <w:rFonts w:ascii="Times New Roman" w:hAnsi="Times New Roman"/>
              </w:rPr>
              <w:t>)</w:t>
            </w:r>
          </w:p>
        </w:tc>
        <w:tc>
          <w:tcPr>
            <w:tcW w:w="2126" w:type="dxa"/>
            <w:tcBorders>
              <w:top w:val="single" w:sz="4" w:space="0" w:color="auto"/>
              <w:bottom w:val="single" w:sz="4" w:space="0" w:color="auto"/>
            </w:tcBorders>
            <w:shd w:val="clear" w:color="auto" w:fill="auto"/>
          </w:tcPr>
          <w:p w14:paraId="1D86E7C2"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rPr>
            </w:pPr>
            <w:r w:rsidRPr="00B5466B">
              <w:rPr>
                <w:rFonts w:ascii="Times New Roman" w:hAnsi="Times New Roman"/>
              </w:rPr>
              <w:t>10</w:t>
            </w:r>
            <w:r w:rsidRPr="00B5466B">
              <w:rPr>
                <w:rFonts w:ascii="Times New Roman" w:hAnsi="Times New Roman"/>
                <w:vertAlign w:val="superscript"/>
              </w:rPr>
              <w:t>9</w:t>
            </w:r>
          </w:p>
          <w:p w14:paraId="5B75B23A"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5</w:t>
            </w:r>
            <w:r w:rsidRPr="00B5466B">
              <w:rPr>
                <w:rFonts w:ascii="Times New Roman" w:hAnsi="Times New Roman"/>
              </w:rPr>
              <w:t>;10</w:t>
            </w:r>
            <w:r w:rsidRPr="00B5466B">
              <w:rPr>
                <w:rFonts w:ascii="Times New Roman" w:hAnsi="Times New Roman"/>
                <w:vertAlign w:val="superscript"/>
              </w:rPr>
              <w:t>10</w:t>
            </w:r>
            <w:r w:rsidRPr="00B5466B">
              <w:rPr>
                <w:rFonts w:ascii="Times New Roman" w:hAnsi="Times New Roman"/>
              </w:rPr>
              <w:t>)</w:t>
            </w:r>
          </w:p>
        </w:tc>
        <w:tc>
          <w:tcPr>
            <w:tcW w:w="2092" w:type="dxa"/>
            <w:tcBorders>
              <w:top w:val="single" w:sz="4" w:space="0" w:color="auto"/>
              <w:bottom w:val="single" w:sz="4" w:space="0" w:color="auto"/>
            </w:tcBorders>
            <w:shd w:val="clear" w:color="auto" w:fill="auto"/>
          </w:tcPr>
          <w:p w14:paraId="4D43301D"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w:t>
            </w:r>
          </w:p>
        </w:tc>
        <w:tc>
          <w:tcPr>
            <w:tcW w:w="2273" w:type="dxa"/>
            <w:tcBorders>
              <w:top w:val="single" w:sz="4" w:space="0" w:color="auto"/>
              <w:bottom w:val="single" w:sz="4" w:space="0" w:color="auto"/>
            </w:tcBorders>
            <w:shd w:val="clear" w:color="auto" w:fill="auto"/>
          </w:tcPr>
          <w:p w14:paraId="2599A898"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rPr>
            </w:pPr>
            <w:r w:rsidRPr="00B5466B">
              <w:rPr>
                <w:rFonts w:ascii="Times New Roman" w:hAnsi="Times New Roman"/>
              </w:rPr>
              <w:t>10</w:t>
            </w:r>
            <w:r w:rsidRPr="00B5466B">
              <w:rPr>
                <w:rFonts w:ascii="Times New Roman" w:hAnsi="Times New Roman"/>
                <w:vertAlign w:val="superscript"/>
              </w:rPr>
              <w:t>9</w:t>
            </w:r>
          </w:p>
          <w:p w14:paraId="12E5A3D1"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(10</w:t>
            </w:r>
            <w:r w:rsidRPr="00B5466B">
              <w:rPr>
                <w:rFonts w:ascii="Times New Roman" w:hAnsi="Times New Roman"/>
                <w:vertAlign w:val="superscript"/>
              </w:rPr>
              <w:t>5</w:t>
            </w:r>
            <w:r w:rsidRPr="00B5466B">
              <w:rPr>
                <w:rFonts w:ascii="Times New Roman" w:hAnsi="Times New Roman"/>
              </w:rPr>
              <w:t>;10</w:t>
            </w:r>
            <w:r w:rsidRPr="00B5466B">
              <w:rPr>
                <w:rFonts w:ascii="Times New Roman" w:hAnsi="Times New Roman"/>
                <w:vertAlign w:val="superscript"/>
              </w:rPr>
              <w:t>10</w:t>
            </w:r>
            <w:r w:rsidRPr="00B5466B">
              <w:rPr>
                <w:rFonts w:ascii="Times New Roman" w:hAnsi="Times New Roman"/>
              </w:rPr>
              <w:t>)</w:t>
            </w:r>
          </w:p>
        </w:tc>
        <w:tc>
          <w:tcPr>
            <w:tcW w:w="1012" w:type="dxa"/>
            <w:tcBorders>
              <w:top w:val="single" w:sz="4" w:space="0" w:color="auto"/>
              <w:bottom w:val="single" w:sz="4" w:space="0" w:color="auto"/>
            </w:tcBorders>
            <w:shd w:val="clear" w:color="auto" w:fill="auto"/>
          </w:tcPr>
          <w:p w14:paraId="0ECA3F2D"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0,125</w:t>
            </w:r>
          </w:p>
        </w:tc>
      </w:tr>
      <w:tr w:rsidR="00EF5CD6" w:rsidRPr="00D11BAB" w14:paraId="4F505E50" w14:textId="77777777" w:rsidTr="00094F6F">
        <w:trPr>
          <w:trHeight w:val="283"/>
          <w:jc w:val="center"/>
        </w:trPr>
        <w:tc>
          <w:tcPr>
            <w:tcW w:w="2884" w:type="dxa"/>
            <w:tcBorders>
              <w:bottom w:val="nil"/>
            </w:tcBorders>
            <w:shd w:val="clear" w:color="auto" w:fill="auto"/>
          </w:tcPr>
          <w:p w14:paraId="453C52B3"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bCs/>
                <w:lang w:eastAsia="en-US"/>
              </w:rPr>
              <w:t>E.coli с гемолитической активностью</w:t>
            </w:r>
          </w:p>
        </w:tc>
        <w:tc>
          <w:tcPr>
            <w:tcW w:w="1652" w:type="dxa"/>
            <w:tcBorders>
              <w:bottom w:val="nil"/>
            </w:tcBorders>
            <w:shd w:val="clear" w:color="auto" w:fill="auto"/>
          </w:tcPr>
          <w:p w14:paraId="363D7944"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lang w:eastAsia="en-US"/>
              </w:rPr>
              <w:t>Отсутствие</w:t>
            </w:r>
          </w:p>
        </w:tc>
        <w:tc>
          <w:tcPr>
            <w:tcW w:w="2581" w:type="dxa"/>
            <w:tcBorders>
              <w:bottom w:val="nil"/>
            </w:tcBorders>
            <w:shd w:val="clear" w:color="auto" w:fill="auto"/>
          </w:tcPr>
          <w:p w14:paraId="6F61F02E"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rPr>
            </w:pPr>
            <w:r w:rsidRPr="00B5466B">
              <w:rPr>
                <w:rFonts w:ascii="Times New Roman" w:hAnsi="Times New Roman"/>
              </w:rPr>
              <w:t>8˖10</w:t>
            </w:r>
            <w:r w:rsidRPr="00B5466B">
              <w:rPr>
                <w:rFonts w:ascii="Times New Roman" w:hAnsi="Times New Roman"/>
                <w:vertAlign w:val="superscript"/>
              </w:rPr>
              <w:t>6</w:t>
            </w:r>
          </w:p>
          <w:p w14:paraId="1B4803A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rPr>
            </w:pPr>
            <w:r w:rsidRPr="00B5466B">
              <w:rPr>
                <w:rFonts w:ascii="Times New Roman" w:hAnsi="Times New Roman"/>
              </w:rPr>
              <w:t>(0;0)</w:t>
            </w:r>
          </w:p>
        </w:tc>
        <w:tc>
          <w:tcPr>
            <w:tcW w:w="2126" w:type="dxa"/>
            <w:tcBorders>
              <w:bottom w:val="nil"/>
            </w:tcBorders>
            <w:shd w:val="clear" w:color="auto" w:fill="auto"/>
          </w:tcPr>
          <w:p w14:paraId="34C20480"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rPr>
            </w:pPr>
            <w:r w:rsidRPr="00B5466B">
              <w:rPr>
                <w:rFonts w:ascii="Times New Roman" w:hAnsi="Times New Roman"/>
              </w:rPr>
              <w:t>5,23˖10</w:t>
            </w:r>
            <w:r w:rsidRPr="00B5466B">
              <w:rPr>
                <w:rFonts w:ascii="Times New Roman" w:hAnsi="Times New Roman"/>
                <w:vertAlign w:val="superscript"/>
              </w:rPr>
              <w:t>6</w:t>
            </w:r>
          </w:p>
          <w:p w14:paraId="1233779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(0;0)</w:t>
            </w:r>
          </w:p>
        </w:tc>
        <w:tc>
          <w:tcPr>
            <w:tcW w:w="2092" w:type="dxa"/>
            <w:tcBorders>
              <w:bottom w:val="nil"/>
            </w:tcBorders>
            <w:shd w:val="clear" w:color="auto" w:fill="auto"/>
          </w:tcPr>
          <w:p w14:paraId="5B80CF6C"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w:t>
            </w:r>
          </w:p>
        </w:tc>
        <w:tc>
          <w:tcPr>
            <w:tcW w:w="2273" w:type="dxa"/>
            <w:tcBorders>
              <w:bottom w:val="nil"/>
            </w:tcBorders>
            <w:shd w:val="clear" w:color="auto" w:fill="auto"/>
          </w:tcPr>
          <w:p w14:paraId="77A25911"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rPr>
            </w:pPr>
            <w:r w:rsidRPr="00B5466B">
              <w:rPr>
                <w:rFonts w:ascii="Times New Roman" w:hAnsi="Times New Roman"/>
              </w:rPr>
              <w:t>6˖10</w:t>
            </w:r>
            <w:r w:rsidRPr="00B5466B">
              <w:rPr>
                <w:rFonts w:ascii="Times New Roman" w:hAnsi="Times New Roman"/>
                <w:vertAlign w:val="superscript"/>
              </w:rPr>
              <w:t>6</w:t>
            </w:r>
          </w:p>
          <w:p w14:paraId="2A3FE487"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(0;0)</w:t>
            </w:r>
          </w:p>
        </w:tc>
        <w:tc>
          <w:tcPr>
            <w:tcW w:w="1012" w:type="dxa"/>
            <w:tcBorders>
              <w:bottom w:val="nil"/>
            </w:tcBorders>
            <w:shd w:val="clear" w:color="auto" w:fill="auto"/>
          </w:tcPr>
          <w:p w14:paraId="702ED28D"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0,023</w:t>
            </w:r>
          </w:p>
        </w:tc>
      </w:tr>
      <w:tr w:rsidR="00EF5CD6" w:rsidRPr="00D11BAB" w14:paraId="0EA6355C" w14:textId="77777777" w:rsidTr="00094F6F">
        <w:trPr>
          <w:trHeight w:val="283"/>
          <w:jc w:val="center"/>
        </w:trPr>
        <w:tc>
          <w:tcPr>
            <w:tcW w:w="2884" w:type="dxa"/>
            <w:tcBorders>
              <w:top w:val="single" w:sz="4" w:space="0" w:color="auto"/>
              <w:bottom w:val="single" w:sz="4" w:space="0" w:color="auto"/>
            </w:tcBorders>
            <w:shd w:val="clear" w:color="auto" w:fill="auto"/>
          </w:tcPr>
          <w:p w14:paraId="593EFCE6"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1</w:t>
            </w:r>
          </w:p>
        </w:tc>
        <w:tc>
          <w:tcPr>
            <w:tcW w:w="1652" w:type="dxa"/>
            <w:tcBorders>
              <w:top w:val="single" w:sz="4" w:space="0" w:color="auto"/>
              <w:bottom w:val="single" w:sz="4" w:space="0" w:color="auto"/>
            </w:tcBorders>
            <w:shd w:val="clear" w:color="auto" w:fill="auto"/>
          </w:tcPr>
          <w:p w14:paraId="6078FB97" w14:textId="77777777" w:rsidR="00EF5CD6" w:rsidRPr="00B5466B" w:rsidRDefault="00EF5CD6" w:rsidP="00094F6F">
            <w:pPr>
              <w:tabs>
                <w:tab w:val="left" w:pos="567"/>
              </w:tabs>
              <w:spacing w:after="0" w:line="240" w:lineRule="auto"/>
              <w:jc w:val="center"/>
              <w:rPr>
                <w:rFonts w:ascii="Times New Roman" w:hAnsi="Times New Roman"/>
                <w:lang w:eastAsia="en-US"/>
              </w:rPr>
            </w:pPr>
            <w:r w:rsidRPr="00B5466B">
              <w:rPr>
                <w:rFonts w:ascii="Times New Roman" w:hAnsi="Times New Roman"/>
                <w:lang w:eastAsia="en-US"/>
              </w:rPr>
              <w:t>2</w:t>
            </w:r>
          </w:p>
        </w:tc>
        <w:tc>
          <w:tcPr>
            <w:tcW w:w="2581" w:type="dxa"/>
            <w:tcBorders>
              <w:top w:val="single" w:sz="4" w:space="0" w:color="auto"/>
              <w:bottom w:val="single" w:sz="4" w:space="0" w:color="auto"/>
            </w:tcBorders>
            <w:shd w:val="clear" w:color="auto" w:fill="auto"/>
          </w:tcPr>
          <w:p w14:paraId="1C58A93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3</w:t>
            </w:r>
          </w:p>
        </w:tc>
        <w:tc>
          <w:tcPr>
            <w:tcW w:w="2126" w:type="dxa"/>
            <w:tcBorders>
              <w:top w:val="single" w:sz="4" w:space="0" w:color="auto"/>
              <w:bottom w:val="single" w:sz="4" w:space="0" w:color="auto"/>
            </w:tcBorders>
            <w:shd w:val="clear" w:color="auto" w:fill="auto"/>
          </w:tcPr>
          <w:p w14:paraId="1061A41D"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4</w:t>
            </w:r>
          </w:p>
        </w:tc>
        <w:tc>
          <w:tcPr>
            <w:tcW w:w="2092" w:type="dxa"/>
            <w:tcBorders>
              <w:top w:val="single" w:sz="4" w:space="0" w:color="auto"/>
              <w:bottom w:val="single" w:sz="4" w:space="0" w:color="auto"/>
            </w:tcBorders>
            <w:shd w:val="clear" w:color="auto" w:fill="auto"/>
          </w:tcPr>
          <w:p w14:paraId="0CE1B84B"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5</w:t>
            </w:r>
          </w:p>
        </w:tc>
        <w:tc>
          <w:tcPr>
            <w:tcW w:w="2273" w:type="dxa"/>
            <w:tcBorders>
              <w:top w:val="single" w:sz="4" w:space="0" w:color="auto"/>
              <w:bottom w:val="single" w:sz="4" w:space="0" w:color="auto"/>
            </w:tcBorders>
            <w:shd w:val="clear" w:color="auto" w:fill="auto"/>
          </w:tcPr>
          <w:p w14:paraId="4A67BADC"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6</w:t>
            </w:r>
          </w:p>
        </w:tc>
        <w:tc>
          <w:tcPr>
            <w:tcW w:w="1012" w:type="dxa"/>
            <w:tcBorders>
              <w:top w:val="single" w:sz="4" w:space="0" w:color="auto"/>
              <w:bottom w:val="single" w:sz="4" w:space="0" w:color="auto"/>
            </w:tcBorders>
            <w:shd w:val="clear" w:color="auto" w:fill="auto"/>
          </w:tcPr>
          <w:p w14:paraId="08786AC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7</w:t>
            </w:r>
          </w:p>
        </w:tc>
      </w:tr>
      <w:tr w:rsidR="00EF5CD6" w:rsidRPr="00D11BAB" w14:paraId="7C5EDC65" w14:textId="77777777" w:rsidTr="00094F6F">
        <w:trPr>
          <w:trHeight w:val="283"/>
          <w:jc w:val="center"/>
        </w:trPr>
        <w:tc>
          <w:tcPr>
            <w:tcW w:w="2884" w:type="dxa"/>
            <w:shd w:val="clear" w:color="auto" w:fill="auto"/>
            <w:vAlign w:val="center"/>
          </w:tcPr>
          <w:p w14:paraId="1959B9B4"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rPr>
            </w:pPr>
            <w:r w:rsidRPr="00B5466B">
              <w:rPr>
                <w:rFonts w:ascii="Times New Roman" w:hAnsi="Times New Roman"/>
                <w:bCs/>
                <w:lang w:eastAsia="en-US"/>
              </w:rPr>
              <w:t xml:space="preserve">Удельный вес </w:t>
            </w:r>
            <w:proofErr w:type="spellStart"/>
            <w:r w:rsidRPr="00B5466B">
              <w:rPr>
                <w:rFonts w:ascii="Times New Roman" w:hAnsi="Times New Roman"/>
                <w:bCs/>
                <w:lang w:eastAsia="en-US"/>
              </w:rPr>
              <w:t>лактозоне</w:t>
            </w:r>
            <w:proofErr w:type="spellEnd"/>
            <w:r w:rsidRPr="00B5466B">
              <w:rPr>
                <w:rFonts w:ascii="Times New Roman" w:hAnsi="Times New Roman"/>
                <w:bCs/>
                <w:lang w:eastAsia="en-US"/>
              </w:rPr>
              <w:t xml:space="preserve"> </w:t>
            </w:r>
            <w:proofErr w:type="spellStart"/>
            <w:r w:rsidRPr="00B5466B">
              <w:rPr>
                <w:rFonts w:ascii="Times New Roman" w:hAnsi="Times New Roman"/>
                <w:bCs/>
                <w:lang w:eastAsia="en-US"/>
              </w:rPr>
              <w:t>гативных</w:t>
            </w:r>
            <w:proofErr w:type="spellEnd"/>
            <w:r w:rsidRPr="00B5466B">
              <w:rPr>
                <w:rFonts w:ascii="Times New Roman" w:hAnsi="Times New Roman"/>
                <w:bCs/>
                <w:lang w:eastAsia="en-US"/>
              </w:rPr>
              <w:t xml:space="preserve"> E.coli от об </w:t>
            </w:r>
            <w:proofErr w:type="spellStart"/>
            <w:r w:rsidRPr="00B5466B">
              <w:rPr>
                <w:rFonts w:ascii="Times New Roman" w:hAnsi="Times New Roman"/>
                <w:bCs/>
                <w:lang w:eastAsia="en-US"/>
              </w:rPr>
              <w:t>щего</w:t>
            </w:r>
            <w:proofErr w:type="spellEnd"/>
            <w:r w:rsidRPr="00B5466B">
              <w:rPr>
                <w:rFonts w:ascii="Times New Roman" w:hAnsi="Times New Roman"/>
                <w:bCs/>
                <w:lang w:eastAsia="en-US"/>
              </w:rPr>
              <w:t xml:space="preserve"> количества E.coli %</w:t>
            </w:r>
          </w:p>
        </w:tc>
        <w:tc>
          <w:tcPr>
            <w:tcW w:w="1652" w:type="dxa"/>
            <w:shd w:val="clear" w:color="auto" w:fill="auto"/>
          </w:tcPr>
          <w:p w14:paraId="2235F979"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vertAlign w:val="superscript"/>
              </w:rPr>
            </w:pPr>
            <w:r w:rsidRPr="00B5466B">
              <w:rPr>
                <w:rFonts w:ascii="Times New Roman" w:hAnsi="Times New Roman"/>
                <w:lang w:eastAsia="en-US"/>
              </w:rPr>
              <w:t>Менее 10</w:t>
            </w:r>
            <w:r w:rsidRPr="00B5466B">
              <w:rPr>
                <w:rFonts w:ascii="Times New Roman" w:hAnsi="Times New Roman"/>
                <w:vertAlign w:val="superscript"/>
                <w:lang w:eastAsia="en-US"/>
              </w:rPr>
              <w:t>5</w:t>
            </w:r>
          </w:p>
        </w:tc>
        <w:tc>
          <w:tcPr>
            <w:tcW w:w="2581" w:type="dxa"/>
            <w:shd w:val="clear" w:color="auto" w:fill="auto"/>
          </w:tcPr>
          <w:p w14:paraId="0BB04A96"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lang w:eastAsia="en-US"/>
              </w:rPr>
            </w:pPr>
            <w:r w:rsidRPr="00B5466B">
              <w:rPr>
                <w:rFonts w:ascii="Times New Roman" w:hAnsi="Times New Roman"/>
                <w:lang w:eastAsia="en-US"/>
              </w:rPr>
              <w:t>3</w:t>
            </w:r>
            <w:r w:rsidRPr="00B5466B">
              <w:rPr>
                <w:rFonts w:ascii="Times New Roman" w:hAnsi="Times New Roman"/>
              </w:rPr>
              <w:t>˖</w:t>
            </w:r>
            <w:r w:rsidRPr="00B5466B">
              <w:rPr>
                <w:rFonts w:ascii="Times New Roman" w:hAnsi="Times New Roman"/>
                <w:lang w:eastAsia="en-US"/>
              </w:rPr>
              <w:t>10</w:t>
            </w:r>
            <w:r w:rsidRPr="00B5466B">
              <w:rPr>
                <w:rFonts w:ascii="Times New Roman" w:hAnsi="Times New Roman"/>
                <w:vertAlign w:val="superscript"/>
                <w:lang w:eastAsia="en-US"/>
              </w:rPr>
              <w:t>5</w:t>
            </w:r>
          </w:p>
          <w:p w14:paraId="052A15BE"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(0;0)</w:t>
            </w:r>
          </w:p>
          <w:p w14:paraId="3A90C4C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p>
        </w:tc>
        <w:tc>
          <w:tcPr>
            <w:tcW w:w="2126" w:type="dxa"/>
            <w:shd w:val="clear" w:color="auto" w:fill="auto"/>
          </w:tcPr>
          <w:p w14:paraId="5EDB082C"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lang w:eastAsia="en-US"/>
              </w:rPr>
            </w:pPr>
            <w:r w:rsidRPr="00B5466B">
              <w:rPr>
                <w:rFonts w:ascii="Times New Roman" w:hAnsi="Times New Roman"/>
                <w:lang w:eastAsia="en-US"/>
              </w:rPr>
              <w:t>2,2</w:t>
            </w:r>
            <w:r w:rsidRPr="00B5466B">
              <w:rPr>
                <w:rFonts w:ascii="Times New Roman" w:hAnsi="Times New Roman"/>
              </w:rPr>
              <w:t>˖</w:t>
            </w:r>
            <w:r w:rsidRPr="00B5466B">
              <w:rPr>
                <w:rFonts w:ascii="Times New Roman" w:hAnsi="Times New Roman"/>
                <w:lang w:eastAsia="en-US"/>
              </w:rPr>
              <w:t>10</w:t>
            </w:r>
            <w:r w:rsidRPr="00B5466B">
              <w:rPr>
                <w:rFonts w:ascii="Times New Roman" w:hAnsi="Times New Roman"/>
                <w:vertAlign w:val="superscript"/>
                <w:lang w:eastAsia="en-US"/>
              </w:rPr>
              <w:t>5</w:t>
            </w:r>
          </w:p>
          <w:p w14:paraId="13D56B0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(0;0)</w:t>
            </w:r>
          </w:p>
          <w:p w14:paraId="7D78E793"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eastAsia="en-US"/>
              </w:rPr>
            </w:pPr>
          </w:p>
        </w:tc>
        <w:tc>
          <w:tcPr>
            <w:tcW w:w="2092" w:type="dxa"/>
            <w:shd w:val="clear" w:color="auto" w:fill="auto"/>
          </w:tcPr>
          <w:p w14:paraId="2258FD65"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eastAsia="en-US"/>
              </w:rPr>
            </w:pPr>
            <w:r w:rsidRPr="00B5466B">
              <w:rPr>
                <w:rFonts w:ascii="Times New Roman" w:hAnsi="Times New Roman"/>
                <w:lang w:eastAsia="en-US"/>
              </w:rPr>
              <w:t>0</w:t>
            </w:r>
          </w:p>
        </w:tc>
        <w:tc>
          <w:tcPr>
            <w:tcW w:w="2273" w:type="dxa"/>
            <w:shd w:val="clear" w:color="auto" w:fill="auto"/>
          </w:tcPr>
          <w:p w14:paraId="4AFDE36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lang w:eastAsia="en-US"/>
              </w:rPr>
            </w:pPr>
            <w:r w:rsidRPr="00B5466B">
              <w:rPr>
                <w:rFonts w:ascii="Times New Roman" w:hAnsi="Times New Roman"/>
              </w:rPr>
              <w:t>3,2˖</w:t>
            </w:r>
            <w:r w:rsidRPr="00B5466B">
              <w:rPr>
                <w:rFonts w:ascii="Times New Roman" w:hAnsi="Times New Roman"/>
                <w:lang w:eastAsia="en-US"/>
              </w:rPr>
              <w:t>10</w:t>
            </w:r>
            <w:r w:rsidRPr="00B5466B">
              <w:rPr>
                <w:rFonts w:ascii="Times New Roman" w:hAnsi="Times New Roman"/>
                <w:vertAlign w:val="superscript"/>
                <w:lang w:eastAsia="en-US"/>
              </w:rPr>
              <w:t>5</w:t>
            </w:r>
          </w:p>
          <w:p w14:paraId="090AE7B4"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(0;0)</w:t>
            </w:r>
          </w:p>
          <w:p w14:paraId="026797B8"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eastAsia="en-US"/>
              </w:rPr>
            </w:pPr>
          </w:p>
        </w:tc>
        <w:tc>
          <w:tcPr>
            <w:tcW w:w="1012" w:type="dxa"/>
            <w:shd w:val="clear" w:color="auto" w:fill="auto"/>
          </w:tcPr>
          <w:p w14:paraId="5B343194"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0,001</w:t>
            </w:r>
          </w:p>
        </w:tc>
      </w:tr>
      <w:tr w:rsidR="00EF5CD6" w:rsidRPr="00D11BAB" w14:paraId="6AF45606" w14:textId="77777777" w:rsidTr="00094F6F">
        <w:trPr>
          <w:trHeight w:val="283"/>
          <w:jc w:val="center"/>
        </w:trPr>
        <w:tc>
          <w:tcPr>
            <w:tcW w:w="2884" w:type="dxa"/>
            <w:shd w:val="clear" w:color="auto" w:fill="auto"/>
            <w:vAlign w:val="center"/>
          </w:tcPr>
          <w:p w14:paraId="5E3A1988"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rPr>
            </w:pPr>
            <w:r w:rsidRPr="00B5466B">
              <w:rPr>
                <w:rFonts w:ascii="Times New Roman" w:hAnsi="Times New Roman"/>
                <w:bCs/>
                <w:lang w:eastAsia="en-US"/>
              </w:rPr>
              <w:t>Staphylococcus aureus</w:t>
            </w:r>
          </w:p>
        </w:tc>
        <w:tc>
          <w:tcPr>
            <w:tcW w:w="1652" w:type="dxa"/>
            <w:shd w:val="clear" w:color="auto" w:fill="auto"/>
          </w:tcPr>
          <w:p w14:paraId="75F26692"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lang w:eastAsia="en-US"/>
              </w:rPr>
              <w:t>Отсутствие</w:t>
            </w:r>
          </w:p>
        </w:tc>
        <w:tc>
          <w:tcPr>
            <w:tcW w:w="2581" w:type="dxa"/>
            <w:shd w:val="clear" w:color="auto" w:fill="auto"/>
          </w:tcPr>
          <w:p w14:paraId="6F55EC04"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lang w:eastAsia="en-US"/>
              </w:rPr>
            </w:pPr>
            <w:r w:rsidRPr="00B5466B">
              <w:rPr>
                <w:rFonts w:ascii="Times New Roman" w:hAnsi="Times New Roman"/>
                <w:lang w:eastAsia="en-US"/>
              </w:rPr>
              <w:t>8</w:t>
            </w:r>
            <w:r w:rsidRPr="00B5466B">
              <w:rPr>
                <w:rFonts w:ascii="Times New Roman" w:hAnsi="Times New Roman"/>
              </w:rPr>
              <w:t>˖</w:t>
            </w:r>
            <w:r w:rsidRPr="00B5466B">
              <w:rPr>
                <w:rFonts w:ascii="Times New Roman" w:hAnsi="Times New Roman"/>
                <w:lang w:eastAsia="en-US"/>
              </w:rPr>
              <w:t>10</w:t>
            </w:r>
            <w:r w:rsidRPr="00B5466B">
              <w:rPr>
                <w:rFonts w:ascii="Times New Roman" w:hAnsi="Times New Roman"/>
                <w:vertAlign w:val="superscript"/>
                <w:lang w:eastAsia="en-US"/>
              </w:rPr>
              <w:t>4</w:t>
            </w:r>
          </w:p>
          <w:p w14:paraId="4E4C54C1"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(0;0)</w:t>
            </w:r>
          </w:p>
        </w:tc>
        <w:tc>
          <w:tcPr>
            <w:tcW w:w="2126" w:type="dxa"/>
            <w:shd w:val="clear" w:color="auto" w:fill="auto"/>
          </w:tcPr>
          <w:p w14:paraId="615C6154"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eastAsia="en-US"/>
              </w:rPr>
            </w:pPr>
            <w:r w:rsidRPr="00B5466B">
              <w:rPr>
                <w:rFonts w:ascii="Times New Roman" w:hAnsi="Times New Roman"/>
                <w:lang w:eastAsia="en-US"/>
              </w:rPr>
              <w:t>0</w:t>
            </w:r>
          </w:p>
        </w:tc>
        <w:tc>
          <w:tcPr>
            <w:tcW w:w="2092" w:type="dxa"/>
            <w:shd w:val="clear" w:color="auto" w:fill="auto"/>
          </w:tcPr>
          <w:p w14:paraId="300EBEF7"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eastAsia="en-US"/>
              </w:rPr>
            </w:pPr>
            <w:r w:rsidRPr="00B5466B">
              <w:rPr>
                <w:rFonts w:ascii="Times New Roman" w:hAnsi="Times New Roman"/>
                <w:lang w:eastAsia="en-US"/>
              </w:rPr>
              <w:t>0</w:t>
            </w:r>
          </w:p>
        </w:tc>
        <w:tc>
          <w:tcPr>
            <w:tcW w:w="2273" w:type="dxa"/>
            <w:shd w:val="clear" w:color="auto" w:fill="auto"/>
          </w:tcPr>
          <w:p w14:paraId="40C0CF57"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eastAsia="en-US"/>
              </w:rPr>
            </w:pPr>
            <w:r w:rsidRPr="00B5466B">
              <w:rPr>
                <w:rFonts w:ascii="Times New Roman" w:hAnsi="Times New Roman"/>
                <w:lang w:eastAsia="en-US"/>
              </w:rPr>
              <w:t>0</w:t>
            </w:r>
          </w:p>
        </w:tc>
        <w:tc>
          <w:tcPr>
            <w:tcW w:w="1012" w:type="dxa"/>
            <w:shd w:val="clear" w:color="auto" w:fill="auto"/>
          </w:tcPr>
          <w:p w14:paraId="3FDF0CA1"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lang w:eastAsia="en-US"/>
              </w:rPr>
            </w:pPr>
            <w:r w:rsidRPr="00B5466B">
              <w:rPr>
                <w:rFonts w:ascii="Times New Roman" w:hAnsi="Times New Roman"/>
                <w:lang w:eastAsia="en-US"/>
              </w:rPr>
              <w:t>0,023</w:t>
            </w:r>
          </w:p>
        </w:tc>
      </w:tr>
      <w:tr w:rsidR="00EF5CD6" w:rsidRPr="00D11BAB" w14:paraId="24779D2D" w14:textId="77777777" w:rsidTr="00094F6F">
        <w:trPr>
          <w:trHeight w:val="283"/>
          <w:jc w:val="center"/>
        </w:trPr>
        <w:tc>
          <w:tcPr>
            <w:tcW w:w="2884" w:type="dxa"/>
            <w:shd w:val="clear" w:color="auto" w:fill="auto"/>
            <w:vAlign w:val="center"/>
          </w:tcPr>
          <w:p w14:paraId="3A9526B5"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rPr>
            </w:pPr>
            <w:r w:rsidRPr="00B5466B">
              <w:rPr>
                <w:rFonts w:ascii="Times New Roman" w:hAnsi="Times New Roman"/>
                <w:bCs/>
                <w:lang w:eastAsia="en-US"/>
              </w:rPr>
              <w:t>Грибы рода Candida</w:t>
            </w:r>
          </w:p>
        </w:tc>
        <w:tc>
          <w:tcPr>
            <w:tcW w:w="1652" w:type="dxa"/>
            <w:shd w:val="clear" w:color="auto" w:fill="auto"/>
          </w:tcPr>
          <w:p w14:paraId="06FAB16B"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rPr>
            </w:pPr>
            <w:r w:rsidRPr="00B5466B">
              <w:rPr>
                <w:rFonts w:ascii="Times New Roman" w:hAnsi="Times New Roman"/>
                <w:lang w:eastAsia="en-US"/>
              </w:rPr>
              <w:t>10</w:t>
            </w:r>
            <w:r w:rsidRPr="00B5466B">
              <w:rPr>
                <w:rFonts w:ascii="Times New Roman" w:hAnsi="Times New Roman"/>
                <w:vertAlign w:val="superscript"/>
                <w:lang w:eastAsia="en-US"/>
              </w:rPr>
              <w:t>5</w:t>
            </w:r>
            <w:r w:rsidRPr="00B5466B">
              <w:rPr>
                <w:rFonts w:ascii="Times New Roman" w:hAnsi="Times New Roman"/>
              </w:rPr>
              <w:t xml:space="preserve"> КОЕ/г</w:t>
            </w:r>
          </w:p>
        </w:tc>
        <w:tc>
          <w:tcPr>
            <w:tcW w:w="2581" w:type="dxa"/>
            <w:shd w:val="clear" w:color="auto" w:fill="auto"/>
          </w:tcPr>
          <w:p w14:paraId="5A750A2B"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lang w:eastAsia="en-US"/>
              </w:rPr>
            </w:pPr>
            <w:r w:rsidRPr="00B5466B">
              <w:rPr>
                <w:rFonts w:ascii="Times New Roman" w:hAnsi="Times New Roman"/>
              </w:rPr>
              <w:t>3˖</w:t>
            </w:r>
            <w:r w:rsidRPr="00B5466B">
              <w:rPr>
                <w:rFonts w:ascii="Times New Roman" w:hAnsi="Times New Roman"/>
                <w:lang w:eastAsia="en-US"/>
              </w:rPr>
              <w:t>10</w:t>
            </w:r>
            <w:r w:rsidRPr="00B5466B">
              <w:rPr>
                <w:rFonts w:ascii="Times New Roman" w:hAnsi="Times New Roman"/>
                <w:vertAlign w:val="superscript"/>
                <w:lang w:eastAsia="en-US"/>
              </w:rPr>
              <w:t>5</w:t>
            </w:r>
          </w:p>
          <w:p w14:paraId="57140B95"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(0;0)</w:t>
            </w:r>
          </w:p>
        </w:tc>
        <w:tc>
          <w:tcPr>
            <w:tcW w:w="2126" w:type="dxa"/>
            <w:shd w:val="clear" w:color="auto" w:fill="auto"/>
          </w:tcPr>
          <w:p w14:paraId="370D258D"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lang w:eastAsia="en-US"/>
              </w:rPr>
            </w:pPr>
            <w:r w:rsidRPr="00B5466B">
              <w:rPr>
                <w:rFonts w:ascii="Times New Roman" w:hAnsi="Times New Roman"/>
              </w:rPr>
              <w:t>2,2˖</w:t>
            </w:r>
            <w:r w:rsidRPr="00B5466B">
              <w:rPr>
                <w:rFonts w:ascii="Times New Roman" w:hAnsi="Times New Roman"/>
                <w:lang w:eastAsia="en-US"/>
              </w:rPr>
              <w:t>10</w:t>
            </w:r>
            <w:r w:rsidRPr="00B5466B">
              <w:rPr>
                <w:rFonts w:ascii="Times New Roman" w:hAnsi="Times New Roman"/>
                <w:vertAlign w:val="superscript"/>
                <w:lang w:eastAsia="en-US"/>
              </w:rPr>
              <w:t>5</w:t>
            </w:r>
          </w:p>
          <w:p w14:paraId="0E666492"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(0;0)</w:t>
            </w:r>
          </w:p>
        </w:tc>
        <w:tc>
          <w:tcPr>
            <w:tcW w:w="2092" w:type="dxa"/>
            <w:shd w:val="clear" w:color="auto" w:fill="auto"/>
          </w:tcPr>
          <w:p w14:paraId="092D006C"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w:t>
            </w:r>
          </w:p>
        </w:tc>
        <w:tc>
          <w:tcPr>
            <w:tcW w:w="2273" w:type="dxa"/>
            <w:shd w:val="clear" w:color="auto" w:fill="auto"/>
          </w:tcPr>
          <w:p w14:paraId="1E75D85F"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vertAlign w:val="superscript"/>
                <w:lang w:eastAsia="en-US"/>
              </w:rPr>
            </w:pPr>
            <w:r w:rsidRPr="00B5466B">
              <w:rPr>
                <w:rFonts w:ascii="Times New Roman" w:hAnsi="Times New Roman"/>
              </w:rPr>
              <w:t>3˖</w:t>
            </w:r>
            <w:r w:rsidRPr="00B5466B">
              <w:rPr>
                <w:rFonts w:ascii="Times New Roman" w:hAnsi="Times New Roman"/>
                <w:lang w:eastAsia="en-US"/>
              </w:rPr>
              <w:t>10</w:t>
            </w:r>
            <w:r w:rsidRPr="00B5466B">
              <w:rPr>
                <w:rFonts w:ascii="Times New Roman" w:hAnsi="Times New Roman"/>
                <w:vertAlign w:val="superscript"/>
                <w:lang w:eastAsia="en-US"/>
              </w:rPr>
              <w:t>5</w:t>
            </w:r>
          </w:p>
          <w:p w14:paraId="29FA83A3"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(0;0)</w:t>
            </w:r>
          </w:p>
        </w:tc>
        <w:tc>
          <w:tcPr>
            <w:tcW w:w="1012" w:type="dxa"/>
            <w:shd w:val="clear" w:color="auto" w:fill="auto"/>
          </w:tcPr>
          <w:p w14:paraId="0A98D6DD"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sidRPr="00B5466B">
              <w:rPr>
                <w:rFonts w:ascii="Times New Roman" w:hAnsi="Times New Roman"/>
              </w:rPr>
              <w:t>0,012</w:t>
            </w:r>
          </w:p>
        </w:tc>
      </w:tr>
      <w:tr w:rsidR="00EF5CD6" w:rsidRPr="00D11BAB" w14:paraId="64E876B4" w14:textId="77777777" w:rsidTr="00094F6F">
        <w:trPr>
          <w:trHeight w:val="283"/>
          <w:jc w:val="center"/>
        </w:trPr>
        <w:tc>
          <w:tcPr>
            <w:tcW w:w="14620" w:type="dxa"/>
            <w:gridSpan w:val="7"/>
            <w:shd w:val="clear" w:color="auto" w:fill="auto"/>
          </w:tcPr>
          <w:p w14:paraId="1BD5865D"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lang w:val="en-US" w:eastAsia="en-US"/>
              </w:rPr>
            </w:pPr>
            <w:r w:rsidRPr="00B5466B">
              <w:rPr>
                <w:rFonts w:ascii="Times New Roman" w:hAnsi="Times New Roman"/>
                <w:bCs/>
                <w:lang w:val="en-US" w:eastAsia="en-US"/>
              </w:rPr>
              <w:t>p</w:t>
            </w:r>
            <w:r w:rsidRPr="00B5466B">
              <w:rPr>
                <w:rFonts w:ascii="Times New Roman" w:hAnsi="Times New Roman"/>
                <w:bCs/>
                <w:lang w:eastAsia="en-US"/>
              </w:rPr>
              <w:t xml:space="preserve"> ˂0,05</w:t>
            </w:r>
          </w:p>
          <w:p w14:paraId="69906E68" w14:textId="77777777" w:rsidR="00EF5CD6" w:rsidRPr="00B5466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lang w:val="en-US"/>
              </w:rPr>
            </w:pPr>
            <w:r w:rsidRPr="00B5466B">
              <w:rPr>
                <w:rFonts w:ascii="Times New Roman" w:hAnsi="Times New Roman"/>
                <w:lang w:val="en-US" w:eastAsia="en-US"/>
              </w:rPr>
              <w:t>Chi</w:t>
            </w:r>
            <w:r w:rsidRPr="00B5466B">
              <w:rPr>
                <w:rFonts w:ascii="Times New Roman" w:hAnsi="Times New Roman"/>
                <w:vertAlign w:val="superscript"/>
                <w:lang w:eastAsia="en-US"/>
              </w:rPr>
              <w:t>2</w:t>
            </w:r>
            <w:r w:rsidRPr="00B5466B">
              <w:rPr>
                <w:rFonts w:ascii="Times New Roman" w:hAnsi="Times New Roman"/>
                <w:lang w:eastAsia="en-US"/>
              </w:rPr>
              <w:t xml:space="preserve"> </w:t>
            </w:r>
            <w:r w:rsidRPr="00B5466B">
              <w:rPr>
                <w:rFonts w:ascii="Times New Roman" w:hAnsi="Times New Roman"/>
                <w:lang w:val="en-US" w:eastAsia="en-US"/>
              </w:rPr>
              <w:t>test</w:t>
            </w:r>
          </w:p>
        </w:tc>
      </w:tr>
    </w:tbl>
    <w:p w14:paraId="451EB8F3" w14:textId="77777777" w:rsidR="00EF5CD6" w:rsidRPr="001D35C4"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4"/>
          <w:szCs w:val="4"/>
        </w:rPr>
      </w:pPr>
    </w:p>
    <w:p w14:paraId="46AA08C9" w14:textId="77777777" w:rsidR="00EF5CD6" w:rsidRPr="001D35C4"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4"/>
          <w:szCs w:val="4"/>
        </w:rPr>
        <w:sectPr w:rsidR="00EF5CD6" w:rsidRPr="001D35C4" w:rsidSect="00094F6F">
          <w:pgSz w:w="16838" w:h="11906" w:orient="landscape" w:code="9"/>
          <w:pgMar w:top="1701" w:right="1134" w:bottom="567" w:left="1134" w:header="510" w:footer="510" w:gutter="0"/>
          <w:cols w:space="708"/>
          <w:docGrid w:linePitch="360"/>
        </w:sectPr>
      </w:pPr>
    </w:p>
    <w:p w14:paraId="041FDDF1" w14:textId="77777777" w:rsidR="00EF5CD6" w:rsidRPr="00D11BAB" w:rsidRDefault="00EF5CD6" w:rsidP="00EF5CD6">
      <w:pPr>
        <w:tabs>
          <w:tab w:val="left" w:pos="0"/>
        </w:tabs>
        <w:spacing w:after="0" w:line="240" w:lineRule="auto"/>
        <w:ind w:firstLine="708"/>
        <w:jc w:val="both"/>
        <w:rPr>
          <w:rFonts w:ascii="Times New Roman" w:hAnsi="Times New Roman"/>
          <w:bCs/>
          <w:sz w:val="28"/>
          <w:szCs w:val="28"/>
          <w:lang w:eastAsia="en-US"/>
        </w:rPr>
      </w:pPr>
    </w:p>
    <w:p w14:paraId="55920EA3" w14:textId="77777777" w:rsidR="00EF5CD6" w:rsidRPr="00D11BAB" w:rsidRDefault="00EF5CD6" w:rsidP="00EF5CD6">
      <w:pPr>
        <w:tabs>
          <w:tab w:val="left" w:pos="0"/>
        </w:tabs>
        <w:spacing w:after="0" w:line="240" w:lineRule="auto"/>
        <w:jc w:val="both"/>
        <w:rPr>
          <w:rFonts w:ascii="Times New Roman" w:hAnsi="Times New Roman"/>
          <w:bCs/>
          <w:sz w:val="28"/>
          <w:szCs w:val="28"/>
          <w:lang w:val="kk-KZ"/>
        </w:rPr>
      </w:pPr>
      <w:r w:rsidRPr="00D11BAB">
        <w:rPr>
          <w:rFonts w:ascii="Times New Roman" w:hAnsi="Times New Roman"/>
          <w:bCs/>
          <w:sz w:val="28"/>
          <w:szCs w:val="28"/>
        </w:rPr>
        <w:t xml:space="preserve">Таблица </w:t>
      </w:r>
      <w:r>
        <w:rPr>
          <w:rFonts w:ascii="Times New Roman" w:hAnsi="Times New Roman"/>
          <w:bCs/>
          <w:sz w:val="28"/>
          <w:szCs w:val="28"/>
        </w:rPr>
        <w:t>36</w:t>
      </w:r>
      <w:r w:rsidRPr="00D11BAB">
        <w:rPr>
          <w:rFonts w:ascii="Times New Roman" w:hAnsi="Times New Roman"/>
          <w:bCs/>
          <w:sz w:val="28"/>
          <w:szCs w:val="28"/>
        </w:rPr>
        <w:t xml:space="preserve"> – Оценка симптомов до и после лечения </w:t>
      </w:r>
      <w:r w:rsidRPr="00D11BAB">
        <w:rPr>
          <w:rFonts w:ascii="Times New Roman" w:hAnsi="Times New Roman"/>
          <w:bCs/>
          <w:sz w:val="28"/>
          <w:szCs w:val="28"/>
          <w:lang w:val="kk-KZ"/>
        </w:rPr>
        <w:t>энетроколита</w:t>
      </w:r>
    </w:p>
    <w:p w14:paraId="5F4863DF" w14:textId="77777777" w:rsidR="00EF5CD6" w:rsidRPr="00D11BAB" w:rsidRDefault="00EF5CD6" w:rsidP="00EF5CD6">
      <w:pPr>
        <w:tabs>
          <w:tab w:val="left" w:pos="0"/>
        </w:tabs>
        <w:spacing w:after="0" w:line="240" w:lineRule="auto"/>
        <w:jc w:val="both"/>
        <w:rPr>
          <w:rFonts w:ascii="Times New Roman" w:hAnsi="Times New Roman"/>
          <w:bCs/>
          <w:sz w:val="16"/>
          <w:szCs w:val="16"/>
        </w:rPr>
      </w:pPr>
    </w:p>
    <w:tbl>
      <w:tblPr>
        <w:tblW w:w="11072" w:type="dxa"/>
        <w:tblInd w:w="108" w:type="dxa"/>
        <w:tblLayout w:type="fixed"/>
        <w:tblLook w:val="04A0" w:firstRow="1" w:lastRow="0" w:firstColumn="1" w:lastColumn="0" w:noHBand="0" w:noVBand="1"/>
      </w:tblPr>
      <w:tblGrid>
        <w:gridCol w:w="2702"/>
        <w:gridCol w:w="2828"/>
        <w:gridCol w:w="2869"/>
        <w:gridCol w:w="1218"/>
        <w:gridCol w:w="1455"/>
      </w:tblGrid>
      <w:tr w:rsidR="00EF5CD6" w:rsidRPr="00D11BAB" w14:paraId="41910B53" w14:textId="77777777" w:rsidTr="00094F6F">
        <w:trPr>
          <w:gridAfter w:val="1"/>
          <w:wAfter w:w="1455" w:type="dxa"/>
          <w:trHeight w:val="340"/>
        </w:trPr>
        <w:tc>
          <w:tcPr>
            <w:tcW w:w="2702" w:type="dxa"/>
            <w:tcBorders>
              <w:top w:val="single" w:sz="4" w:space="0" w:color="auto"/>
              <w:left w:val="single" w:sz="4" w:space="0" w:color="auto"/>
              <w:bottom w:val="single" w:sz="4" w:space="0" w:color="auto"/>
              <w:right w:val="single" w:sz="4" w:space="0" w:color="auto"/>
            </w:tcBorders>
            <w:vAlign w:val="center"/>
            <w:hideMark/>
          </w:tcPr>
          <w:p w14:paraId="772C47FC"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eastAsia="en-US"/>
              </w:rPr>
            </w:pPr>
            <w:r w:rsidRPr="00D11BAB">
              <w:rPr>
                <w:rFonts w:ascii="Times New Roman" w:hAnsi="Times New Roman"/>
                <w:bCs/>
                <w:sz w:val="24"/>
                <w:szCs w:val="24"/>
                <w:lang w:val="kk-KZ" w:eastAsia="en-US"/>
              </w:rPr>
              <w:t>Симптомы</w:t>
            </w:r>
          </w:p>
        </w:tc>
        <w:tc>
          <w:tcPr>
            <w:tcW w:w="2828" w:type="dxa"/>
            <w:tcBorders>
              <w:top w:val="single" w:sz="4" w:space="0" w:color="auto"/>
              <w:left w:val="single" w:sz="4" w:space="0" w:color="auto"/>
              <w:bottom w:val="single" w:sz="4" w:space="0" w:color="auto"/>
              <w:right w:val="single" w:sz="4" w:space="0" w:color="auto"/>
            </w:tcBorders>
            <w:vAlign w:val="center"/>
            <w:hideMark/>
          </w:tcPr>
          <w:p w14:paraId="78D296EA" w14:textId="77777777" w:rsidR="00EF5CD6" w:rsidRPr="00D11BAB" w:rsidRDefault="00EF5CD6" w:rsidP="00094F6F">
            <w:pPr>
              <w:tabs>
                <w:tab w:val="left" w:pos="0"/>
              </w:tabs>
              <w:spacing w:after="0" w:line="240" w:lineRule="auto"/>
              <w:jc w:val="center"/>
              <w:rPr>
                <w:rFonts w:ascii="Times New Roman" w:hAnsi="Times New Roman"/>
                <w:bCs/>
                <w:sz w:val="24"/>
                <w:szCs w:val="24"/>
                <w:lang w:eastAsia="en-US"/>
              </w:rPr>
            </w:pPr>
            <w:r w:rsidRPr="00D11BAB">
              <w:rPr>
                <w:rFonts w:ascii="Times New Roman" w:hAnsi="Times New Roman"/>
                <w:bCs/>
                <w:sz w:val="24"/>
                <w:szCs w:val="24"/>
                <w:lang w:eastAsia="en-US"/>
              </w:rPr>
              <w:t xml:space="preserve">Первичная оценка </w:t>
            </w:r>
            <w:r w:rsidRPr="00D11BAB">
              <w:rPr>
                <w:rFonts w:ascii="Times New Roman" w:hAnsi="Times New Roman"/>
                <w:bCs/>
                <w:sz w:val="24"/>
                <w:szCs w:val="24"/>
                <w:lang w:val="en-US" w:eastAsia="en-US"/>
              </w:rPr>
              <w:t>n</w:t>
            </w:r>
          </w:p>
        </w:tc>
        <w:tc>
          <w:tcPr>
            <w:tcW w:w="2869" w:type="dxa"/>
            <w:tcBorders>
              <w:top w:val="single" w:sz="4" w:space="0" w:color="auto"/>
              <w:left w:val="single" w:sz="4" w:space="0" w:color="auto"/>
              <w:bottom w:val="single" w:sz="4" w:space="0" w:color="auto"/>
              <w:right w:val="single" w:sz="4" w:space="0" w:color="auto"/>
            </w:tcBorders>
            <w:vAlign w:val="center"/>
            <w:hideMark/>
          </w:tcPr>
          <w:p w14:paraId="41F47F53" w14:textId="77777777" w:rsidR="00EF5CD6" w:rsidRPr="00D11BAB" w:rsidRDefault="00EF5CD6" w:rsidP="00094F6F">
            <w:pPr>
              <w:tabs>
                <w:tab w:val="left" w:pos="0"/>
              </w:tabs>
              <w:spacing w:after="0" w:line="240" w:lineRule="auto"/>
              <w:jc w:val="center"/>
              <w:rPr>
                <w:rFonts w:ascii="Times New Roman" w:hAnsi="Times New Roman"/>
                <w:bCs/>
                <w:sz w:val="24"/>
                <w:szCs w:val="24"/>
                <w:lang w:eastAsia="en-US"/>
              </w:rPr>
            </w:pPr>
            <w:r w:rsidRPr="00D11BAB">
              <w:rPr>
                <w:rFonts w:ascii="Times New Roman" w:hAnsi="Times New Roman"/>
                <w:bCs/>
                <w:sz w:val="24"/>
                <w:szCs w:val="24"/>
                <w:lang w:val="kk-KZ" w:eastAsia="en-US"/>
              </w:rPr>
              <w:t xml:space="preserve">Оценка в динамике </w:t>
            </w:r>
            <w:r w:rsidRPr="00D11BAB">
              <w:rPr>
                <w:rFonts w:ascii="Times New Roman" w:hAnsi="Times New Roman"/>
                <w:bCs/>
                <w:sz w:val="24"/>
                <w:szCs w:val="24"/>
                <w:lang w:val="en-US" w:eastAsia="en-US"/>
              </w:rPr>
              <w:t>n</w:t>
            </w:r>
          </w:p>
        </w:tc>
        <w:tc>
          <w:tcPr>
            <w:tcW w:w="1218" w:type="dxa"/>
            <w:tcBorders>
              <w:top w:val="single" w:sz="4" w:space="0" w:color="auto"/>
              <w:left w:val="single" w:sz="4" w:space="0" w:color="auto"/>
              <w:bottom w:val="single" w:sz="4" w:space="0" w:color="auto"/>
              <w:right w:val="single" w:sz="4" w:space="0" w:color="auto"/>
            </w:tcBorders>
            <w:vAlign w:val="center"/>
          </w:tcPr>
          <w:p w14:paraId="5BC577C8" w14:textId="77777777" w:rsidR="00EF5CD6" w:rsidRPr="00D11BAB" w:rsidRDefault="00EF5CD6" w:rsidP="00094F6F">
            <w:pPr>
              <w:tabs>
                <w:tab w:val="left" w:pos="0"/>
              </w:tabs>
              <w:spacing w:after="0" w:line="240" w:lineRule="auto"/>
              <w:jc w:val="center"/>
              <w:rPr>
                <w:rFonts w:ascii="Times New Roman" w:hAnsi="Times New Roman"/>
                <w:bCs/>
                <w:sz w:val="24"/>
                <w:szCs w:val="24"/>
                <w:lang w:eastAsia="en-US"/>
              </w:rPr>
            </w:pPr>
            <w:proofErr w:type="gramStart"/>
            <w:r w:rsidRPr="00D11BAB">
              <w:rPr>
                <w:rFonts w:ascii="Times New Roman" w:hAnsi="Times New Roman"/>
                <w:bCs/>
                <w:sz w:val="24"/>
                <w:szCs w:val="24"/>
                <w:lang w:eastAsia="en-US"/>
              </w:rPr>
              <w:t>p</w:t>
            </w:r>
            <w:proofErr w:type="gramEnd"/>
          </w:p>
        </w:tc>
      </w:tr>
      <w:tr w:rsidR="00EF5CD6" w:rsidRPr="00D11BAB" w14:paraId="21DC2F10" w14:textId="77777777" w:rsidTr="00094F6F">
        <w:trPr>
          <w:trHeight w:val="340"/>
        </w:trPr>
        <w:tc>
          <w:tcPr>
            <w:tcW w:w="2702" w:type="dxa"/>
            <w:tcBorders>
              <w:top w:val="single" w:sz="4" w:space="0" w:color="auto"/>
              <w:left w:val="single" w:sz="4" w:space="0" w:color="auto"/>
              <w:bottom w:val="single" w:sz="4" w:space="0" w:color="auto"/>
              <w:right w:val="single" w:sz="4" w:space="0" w:color="auto"/>
            </w:tcBorders>
            <w:vAlign w:val="center"/>
          </w:tcPr>
          <w:p w14:paraId="746C368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sz w:val="24"/>
                <w:szCs w:val="24"/>
              </w:rPr>
            </w:pPr>
            <w:r w:rsidRPr="00D11BAB">
              <w:rPr>
                <w:rFonts w:ascii="Times New Roman" w:hAnsi="Times New Roman"/>
                <w:bCs/>
                <w:sz w:val="24"/>
                <w:szCs w:val="24"/>
                <w:lang w:val="kk-KZ" w:eastAsia="en-US"/>
              </w:rPr>
              <w:t>Диарея</w:t>
            </w:r>
          </w:p>
        </w:tc>
        <w:tc>
          <w:tcPr>
            <w:tcW w:w="2828" w:type="dxa"/>
            <w:tcBorders>
              <w:top w:val="single" w:sz="4" w:space="0" w:color="auto"/>
              <w:left w:val="single" w:sz="4" w:space="0" w:color="auto"/>
              <w:bottom w:val="single" w:sz="4" w:space="0" w:color="auto"/>
              <w:right w:val="single" w:sz="4" w:space="0" w:color="auto"/>
            </w:tcBorders>
            <w:vAlign w:val="center"/>
          </w:tcPr>
          <w:p w14:paraId="7675E9C2"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rPr>
            </w:pPr>
            <w:r w:rsidRPr="00D11BAB">
              <w:rPr>
                <w:rFonts w:ascii="Times New Roman" w:hAnsi="Times New Roman"/>
                <w:bCs/>
                <w:sz w:val="24"/>
                <w:szCs w:val="24"/>
                <w:lang w:val="kk-KZ"/>
              </w:rPr>
              <w:t>58</w:t>
            </w:r>
          </w:p>
        </w:tc>
        <w:tc>
          <w:tcPr>
            <w:tcW w:w="2869" w:type="dxa"/>
            <w:tcBorders>
              <w:top w:val="single" w:sz="4" w:space="0" w:color="auto"/>
              <w:left w:val="single" w:sz="4" w:space="0" w:color="auto"/>
              <w:bottom w:val="single" w:sz="4" w:space="0" w:color="auto"/>
              <w:right w:val="single" w:sz="4" w:space="0" w:color="auto"/>
            </w:tcBorders>
            <w:vAlign w:val="center"/>
          </w:tcPr>
          <w:p w14:paraId="2495A134"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4</w:t>
            </w:r>
          </w:p>
        </w:tc>
        <w:tc>
          <w:tcPr>
            <w:tcW w:w="1218" w:type="dxa"/>
            <w:tcBorders>
              <w:top w:val="single" w:sz="4" w:space="0" w:color="auto"/>
              <w:left w:val="single" w:sz="4" w:space="0" w:color="auto"/>
              <w:bottom w:val="single" w:sz="4" w:space="0" w:color="auto"/>
              <w:right w:val="single" w:sz="4" w:space="0" w:color="auto"/>
            </w:tcBorders>
            <w:vAlign w:val="center"/>
          </w:tcPr>
          <w:p w14:paraId="1B5606C2" w14:textId="77777777" w:rsidR="00EF5CD6" w:rsidRPr="00D11BAB" w:rsidRDefault="00EF5CD6" w:rsidP="00094F6F">
            <w:pPr>
              <w:tabs>
                <w:tab w:val="left" w:pos="0"/>
              </w:tabs>
              <w:spacing w:after="0" w:line="240" w:lineRule="auto"/>
              <w:jc w:val="center"/>
              <w:rPr>
                <w:rFonts w:ascii="Times New Roman" w:hAnsi="Times New Roman"/>
                <w:bCs/>
                <w:sz w:val="24"/>
                <w:szCs w:val="24"/>
                <w:lang w:eastAsia="en-US"/>
              </w:rPr>
            </w:pPr>
            <w:r w:rsidRPr="00D11BAB">
              <w:rPr>
                <w:rFonts w:ascii="Times New Roman" w:hAnsi="Times New Roman"/>
                <w:bCs/>
                <w:sz w:val="24"/>
                <w:szCs w:val="24"/>
                <w:lang w:eastAsia="en-US"/>
              </w:rPr>
              <w:t>0,003</w:t>
            </w:r>
          </w:p>
        </w:tc>
        <w:tc>
          <w:tcPr>
            <w:tcW w:w="1455" w:type="dxa"/>
          </w:tcPr>
          <w:p w14:paraId="4E4E032A" w14:textId="77777777" w:rsidR="00EF5CD6" w:rsidRPr="00D11BAB" w:rsidRDefault="00EF5CD6" w:rsidP="00094F6F">
            <w:pPr>
              <w:tabs>
                <w:tab w:val="left" w:pos="0"/>
              </w:tabs>
              <w:spacing w:after="0" w:line="240" w:lineRule="auto"/>
              <w:jc w:val="both"/>
              <w:rPr>
                <w:rFonts w:ascii="Times New Roman" w:hAnsi="Times New Roman"/>
                <w:bCs/>
                <w:sz w:val="24"/>
                <w:szCs w:val="24"/>
                <w:lang w:val="kk-KZ" w:eastAsia="en-US"/>
              </w:rPr>
            </w:pPr>
          </w:p>
        </w:tc>
      </w:tr>
      <w:tr w:rsidR="00EF5CD6" w:rsidRPr="00D11BAB" w14:paraId="6EDE7A6D" w14:textId="77777777" w:rsidTr="00094F6F">
        <w:trPr>
          <w:gridAfter w:val="1"/>
          <w:wAfter w:w="1455" w:type="dxa"/>
          <w:trHeight w:val="340"/>
        </w:trPr>
        <w:tc>
          <w:tcPr>
            <w:tcW w:w="2702" w:type="dxa"/>
            <w:tcBorders>
              <w:top w:val="single" w:sz="4" w:space="0" w:color="auto"/>
              <w:left w:val="single" w:sz="4" w:space="0" w:color="auto"/>
              <w:bottom w:val="single" w:sz="4" w:space="0" w:color="auto"/>
              <w:right w:val="single" w:sz="4" w:space="0" w:color="auto"/>
            </w:tcBorders>
            <w:vAlign w:val="center"/>
          </w:tcPr>
          <w:p w14:paraId="17063342"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Метеоризм</w:t>
            </w:r>
          </w:p>
        </w:tc>
        <w:tc>
          <w:tcPr>
            <w:tcW w:w="2828" w:type="dxa"/>
            <w:tcBorders>
              <w:top w:val="single" w:sz="4" w:space="0" w:color="auto"/>
              <w:left w:val="single" w:sz="4" w:space="0" w:color="auto"/>
              <w:bottom w:val="single" w:sz="4" w:space="0" w:color="auto"/>
              <w:right w:val="single" w:sz="4" w:space="0" w:color="auto"/>
            </w:tcBorders>
            <w:vAlign w:val="center"/>
          </w:tcPr>
          <w:p w14:paraId="63E93887"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rPr>
            </w:pPr>
            <w:r w:rsidRPr="00D11BAB">
              <w:rPr>
                <w:rFonts w:ascii="Times New Roman" w:hAnsi="Times New Roman"/>
                <w:bCs/>
                <w:sz w:val="24"/>
                <w:szCs w:val="24"/>
                <w:lang w:val="kk-KZ"/>
              </w:rPr>
              <w:t>34</w:t>
            </w:r>
          </w:p>
        </w:tc>
        <w:tc>
          <w:tcPr>
            <w:tcW w:w="2869" w:type="dxa"/>
            <w:tcBorders>
              <w:top w:val="single" w:sz="4" w:space="0" w:color="auto"/>
              <w:left w:val="single" w:sz="4" w:space="0" w:color="auto"/>
              <w:bottom w:val="single" w:sz="4" w:space="0" w:color="auto"/>
              <w:right w:val="single" w:sz="4" w:space="0" w:color="auto"/>
            </w:tcBorders>
            <w:vAlign w:val="center"/>
          </w:tcPr>
          <w:p w14:paraId="052A6CD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7</w:t>
            </w:r>
          </w:p>
        </w:tc>
        <w:tc>
          <w:tcPr>
            <w:tcW w:w="1218" w:type="dxa"/>
            <w:tcBorders>
              <w:top w:val="single" w:sz="4" w:space="0" w:color="auto"/>
              <w:left w:val="single" w:sz="4" w:space="0" w:color="auto"/>
              <w:bottom w:val="single" w:sz="4" w:space="0" w:color="auto"/>
              <w:right w:val="single" w:sz="4" w:space="0" w:color="auto"/>
            </w:tcBorders>
            <w:vAlign w:val="center"/>
          </w:tcPr>
          <w:p w14:paraId="479D0BE7"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eastAsia="en-US"/>
              </w:rPr>
            </w:pPr>
            <w:r w:rsidRPr="00D11BAB">
              <w:rPr>
                <w:rFonts w:ascii="Times New Roman" w:hAnsi="Times New Roman"/>
                <w:bCs/>
                <w:sz w:val="24"/>
                <w:szCs w:val="24"/>
                <w:lang w:val="kk-KZ" w:eastAsia="en-US"/>
              </w:rPr>
              <w:t>0,001</w:t>
            </w:r>
          </w:p>
        </w:tc>
      </w:tr>
      <w:tr w:rsidR="00EF5CD6" w:rsidRPr="00D11BAB" w14:paraId="39417D3A" w14:textId="77777777" w:rsidTr="00094F6F">
        <w:trPr>
          <w:gridAfter w:val="1"/>
          <w:wAfter w:w="1455" w:type="dxa"/>
          <w:trHeight w:val="340"/>
        </w:trPr>
        <w:tc>
          <w:tcPr>
            <w:tcW w:w="2702" w:type="dxa"/>
            <w:tcBorders>
              <w:top w:val="single" w:sz="4" w:space="0" w:color="auto"/>
              <w:left w:val="single" w:sz="4" w:space="0" w:color="auto"/>
              <w:bottom w:val="single" w:sz="4" w:space="0" w:color="auto"/>
              <w:right w:val="single" w:sz="4" w:space="0" w:color="auto"/>
            </w:tcBorders>
            <w:vAlign w:val="center"/>
          </w:tcPr>
          <w:p w14:paraId="680B9BCF"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Абдоминальная боль</w:t>
            </w:r>
          </w:p>
        </w:tc>
        <w:tc>
          <w:tcPr>
            <w:tcW w:w="2828" w:type="dxa"/>
            <w:tcBorders>
              <w:top w:val="single" w:sz="4" w:space="0" w:color="auto"/>
              <w:left w:val="single" w:sz="4" w:space="0" w:color="auto"/>
              <w:bottom w:val="single" w:sz="4" w:space="0" w:color="auto"/>
              <w:right w:val="single" w:sz="4" w:space="0" w:color="auto"/>
            </w:tcBorders>
            <w:vAlign w:val="center"/>
          </w:tcPr>
          <w:p w14:paraId="206549EA"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rPr>
            </w:pPr>
            <w:r w:rsidRPr="00D11BAB">
              <w:rPr>
                <w:rFonts w:ascii="Times New Roman" w:hAnsi="Times New Roman"/>
                <w:bCs/>
                <w:sz w:val="24"/>
                <w:szCs w:val="24"/>
                <w:lang w:val="kk-KZ"/>
              </w:rPr>
              <w:t>18</w:t>
            </w:r>
          </w:p>
        </w:tc>
        <w:tc>
          <w:tcPr>
            <w:tcW w:w="2869" w:type="dxa"/>
            <w:tcBorders>
              <w:top w:val="single" w:sz="4" w:space="0" w:color="auto"/>
              <w:left w:val="single" w:sz="4" w:space="0" w:color="auto"/>
              <w:bottom w:val="single" w:sz="4" w:space="0" w:color="auto"/>
              <w:right w:val="single" w:sz="4" w:space="0" w:color="auto"/>
            </w:tcBorders>
            <w:vAlign w:val="center"/>
          </w:tcPr>
          <w:p w14:paraId="68D1573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9</w:t>
            </w:r>
          </w:p>
        </w:tc>
        <w:tc>
          <w:tcPr>
            <w:tcW w:w="1218" w:type="dxa"/>
            <w:tcBorders>
              <w:top w:val="single" w:sz="4" w:space="0" w:color="auto"/>
              <w:left w:val="single" w:sz="4" w:space="0" w:color="auto"/>
              <w:bottom w:val="single" w:sz="4" w:space="0" w:color="auto"/>
              <w:right w:val="single" w:sz="4" w:space="0" w:color="auto"/>
            </w:tcBorders>
            <w:vAlign w:val="center"/>
          </w:tcPr>
          <w:p w14:paraId="420AF40D" w14:textId="77777777" w:rsidR="00EF5CD6" w:rsidRPr="00D11BAB" w:rsidRDefault="00EF5CD6" w:rsidP="00094F6F">
            <w:pPr>
              <w:tabs>
                <w:tab w:val="left" w:pos="0"/>
              </w:tabs>
              <w:spacing w:after="0" w:line="240" w:lineRule="auto"/>
              <w:jc w:val="center"/>
              <w:rPr>
                <w:rFonts w:ascii="Times New Roman" w:hAnsi="Times New Roman"/>
                <w:bCs/>
                <w:sz w:val="24"/>
                <w:szCs w:val="24"/>
                <w:lang w:eastAsia="en-US"/>
              </w:rPr>
            </w:pPr>
            <w:r w:rsidRPr="00D11BAB">
              <w:rPr>
                <w:rFonts w:ascii="Times New Roman" w:hAnsi="Times New Roman"/>
                <w:bCs/>
                <w:sz w:val="24"/>
                <w:szCs w:val="24"/>
                <w:lang w:eastAsia="en-US"/>
              </w:rPr>
              <w:t>0,004</w:t>
            </w:r>
          </w:p>
        </w:tc>
      </w:tr>
      <w:tr w:rsidR="00EF5CD6" w:rsidRPr="00D11BAB" w14:paraId="4AFD1581" w14:textId="77777777" w:rsidTr="00094F6F">
        <w:trPr>
          <w:gridAfter w:val="1"/>
          <w:wAfter w:w="1455" w:type="dxa"/>
          <w:trHeight w:val="340"/>
        </w:trPr>
        <w:tc>
          <w:tcPr>
            <w:tcW w:w="2702" w:type="dxa"/>
            <w:tcBorders>
              <w:top w:val="single" w:sz="4" w:space="0" w:color="auto"/>
              <w:left w:val="single" w:sz="4" w:space="0" w:color="auto"/>
              <w:bottom w:val="single" w:sz="4" w:space="0" w:color="auto"/>
              <w:right w:val="single" w:sz="4" w:space="0" w:color="auto"/>
            </w:tcBorders>
            <w:vAlign w:val="center"/>
          </w:tcPr>
          <w:p w14:paraId="206DE02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Констипация</w:t>
            </w:r>
          </w:p>
        </w:tc>
        <w:tc>
          <w:tcPr>
            <w:tcW w:w="2828" w:type="dxa"/>
            <w:tcBorders>
              <w:top w:val="single" w:sz="4" w:space="0" w:color="auto"/>
              <w:left w:val="single" w:sz="4" w:space="0" w:color="auto"/>
              <w:bottom w:val="single" w:sz="4" w:space="0" w:color="auto"/>
              <w:right w:val="single" w:sz="4" w:space="0" w:color="auto"/>
            </w:tcBorders>
            <w:vAlign w:val="center"/>
          </w:tcPr>
          <w:p w14:paraId="323C2576"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rPr>
            </w:pPr>
            <w:r w:rsidRPr="00D11BAB">
              <w:rPr>
                <w:rFonts w:ascii="Times New Roman" w:hAnsi="Times New Roman"/>
                <w:bCs/>
                <w:sz w:val="24"/>
                <w:szCs w:val="24"/>
                <w:lang w:val="kk-KZ"/>
              </w:rPr>
              <w:t>14</w:t>
            </w:r>
          </w:p>
        </w:tc>
        <w:tc>
          <w:tcPr>
            <w:tcW w:w="2869" w:type="dxa"/>
            <w:tcBorders>
              <w:top w:val="single" w:sz="4" w:space="0" w:color="auto"/>
              <w:left w:val="single" w:sz="4" w:space="0" w:color="auto"/>
              <w:bottom w:val="single" w:sz="4" w:space="0" w:color="auto"/>
              <w:right w:val="single" w:sz="4" w:space="0" w:color="auto"/>
            </w:tcBorders>
            <w:vAlign w:val="center"/>
          </w:tcPr>
          <w:p w14:paraId="4875E0A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1</w:t>
            </w:r>
          </w:p>
        </w:tc>
        <w:tc>
          <w:tcPr>
            <w:tcW w:w="1218" w:type="dxa"/>
            <w:tcBorders>
              <w:top w:val="single" w:sz="4" w:space="0" w:color="auto"/>
              <w:left w:val="single" w:sz="4" w:space="0" w:color="auto"/>
              <w:bottom w:val="single" w:sz="4" w:space="0" w:color="auto"/>
              <w:right w:val="single" w:sz="4" w:space="0" w:color="auto"/>
            </w:tcBorders>
            <w:vAlign w:val="center"/>
          </w:tcPr>
          <w:p w14:paraId="6D39519E" w14:textId="77777777" w:rsidR="00EF5CD6" w:rsidRPr="00D11BAB" w:rsidRDefault="00EF5CD6" w:rsidP="00094F6F">
            <w:pPr>
              <w:tabs>
                <w:tab w:val="left" w:pos="0"/>
              </w:tabs>
              <w:spacing w:after="0" w:line="240" w:lineRule="auto"/>
              <w:jc w:val="center"/>
              <w:rPr>
                <w:rFonts w:ascii="Times New Roman" w:hAnsi="Times New Roman"/>
                <w:bCs/>
                <w:sz w:val="24"/>
                <w:szCs w:val="24"/>
                <w:lang w:eastAsia="en-US"/>
              </w:rPr>
            </w:pPr>
            <w:r w:rsidRPr="00D11BAB">
              <w:rPr>
                <w:rFonts w:ascii="Times New Roman" w:hAnsi="Times New Roman"/>
                <w:bCs/>
                <w:sz w:val="24"/>
                <w:szCs w:val="24"/>
                <w:lang w:eastAsia="en-US"/>
              </w:rPr>
              <w:t>0,001</w:t>
            </w:r>
          </w:p>
        </w:tc>
      </w:tr>
      <w:tr w:rsidR="00EF5CD6" w:rsidRPr="00D11BAB" w14:paraId="2359BF4F" w14:textId="77777777" w:rsidTr="00094F6F">
        <w:trPr>
          <w:gridAfter w:val="1"/>
          <w:wAfter w:w="1455" w:type="dxa"/>
          <w:trHeight w:val="340"/>
        </w:trPr>
        <w:tc>
          <w:tcPr>
            <w:tcW w:w="2702" w:type="dxa"/>
            <w:tcBorders>
              <w:top w:val="single" w:sz="4" w:space="0" w:color="auto"/>
              <w:left w:val="single" w:sz="4" w:space="0" w:color="auto"/>
              <w:bottom w:val="single" w:sz="4" w:space="0" w:color="auto"/>
              <w:right w:val="single" w:sz="4" w:space="0" w:color="auto"/>
            </w:tcBorders>
            <w:vAlign w:val="center"/>
          </w:tcPr>
          <w:p w14:paraId="6A2EE07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Недержание кала</w:t>
            </w:r>
          </w:p>
        </w:tc>
        <w:tc>
          <w:tcPr>
            <w:tcW w:w="2828" w:type="dxa"/>
            <w:tcBorders>
              <w:top w:val="single" w:sz="4" w:space="0" w:color="auto"/>
              <w:left w:val="single" w:sz="4" w:space="0" w:color="auto"/>
              <w:bottom w:val="single" w:sz="4" w:space="0" w:color="auto"/>
              <w:right w:val="single" w:sz="4" w:space="0" w:color="auto"/>
            </w:tcBorders>
            <w:vAlign w:val="center"/>
          </w:tcPr>
          <w:p w14:paraId="2366E118"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rPr>
            </w:pPr>
            <w:r w:rsidRPr="00D11BAB">
              <w:rPr>
                <w:rFonts w:ascii="Times New Roman" w:hAnsi="Times New Roman"/>
                <w:bCs/>
                <w:sz w:val="24"/>
                <w:szCs w:val="24"/>
                <w:lang w:val="kk-KZ"/>
              </w:rPr>
              <w:t>10</w:t>
            </w:r>
          </w:p>
        </w:tc>
        <w:tc>
          <w:tcPr>
            <w:tcW w:w="2869" w:type="dxa"/>
            <w:tcBorders>
              <w:top w:val="single" w:sz="4" w:space="0" w:color="auto"/>
              <w:left w:val="single" w:sz="4" w:space="0" w:color="auto"/>
              <w:bottom w:val="single" w:sz="4" w:space="0" w:color="auto"/>
              <w:right w:val="single" w:sz="4" w:space="0" w:color="auto"/>
            </w:tcBorders>
            <w:vAlign w:val="center"/>
          </w:tcPr>
          <w:p w14:paraId="3CD62CB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w:t>
            </w:r>
          </w:p>
        </w:tc>
        <w:tc>
          <w:tcPr>
            <w:tcW w:w="1218" w:type="dxa"/>
            <w:tcBorders>
              <w:top w:val="single" w:sz="4" w:space="0" w:color="auto"/>
              <w:left w:val="single" w:sz="4" w:space="0" w:color="auto"/>
              <w:bottom w:val="single" w:sz="4" w:space="0" w:color="auto"/>
              <w:right w:val="single" w:sz="4" w:space="0" w:color="auto"/>
            </w:tcBorders>
            <w:vAlign w:val="center"/>
          </w:tcPr>
          <w:p w14:paraId="7F7E1788" w14:textId="77777777" w:rsidR="00EF5CD6" w:rsidRPr="00D11BAB" w:rsidRDefault="00EF5CD6" w:rsidP="00094F6F">
            <w:pPr>
              <w:tabs>
                <w:tab w:val="left" w:pos="0"/>
              </w:tabs>
              <w:spacing w:after="0" w:line="240" w:lineRule="auto"/>
              <w:jc w:val="center"/>
              <w:rPr>
                <w:rFonts w:ascii="Times New Roman" w:hAnsi="Times New Roman"/>
                <w:bCs/>
                <w:sz w:val="24"/>
                <w:szCs w:val="24"/>
                <w:lang w:eastAsia="en-US"/>
              </w:rPr>
            </w:pPr>
            <w:r w:rsidRPr="00D11BAB">
              <w:rPr>
                <w:rFonts w:ascii="Times New Roman" w:hAnsi="Times New Roman"/>
                <w:bCs/>
                <w:sz w:val="24"/>
                <w:szCs w:val="24"/>
                <w:lang w:eastAsia="en-US"/>
              </w:rPr>
              <w:t>0,003</w:t>
            </w:r>
          </w:p>
        </w:tc>
      </w:tr>
      <w:tr w:rsidR="00EF5CD6" w:rsidRPr="00D11BAB" w14:paraId="00FC616E" w14:textId="77777777" w:rsidTr="00094F6F">
        <w:trPr>
          <w:gridAfter w:val="1"/>
          <w:wAfter w:w="1455" w:type="dxa"/>
          <w:trHeight w:val="340"/>
        </w:trPr>
        <w:tc>
          <w:tcPr>
            <w:tcW w:w="2702" w:type="dxa"/>
            <w:tcBorders>
              <w:top w:val="single" w:sz="4" w:space="0" w:color="auto"/>
              <w:left w:val="single" w:sz="4" w:space="0" w:color="auto"/>
              <w:bottom w:val="single" w:sz="4" w:space="0" w:color="auto"/>
              <w:right w:val="single" w:sz="4" w:space="0" w:color="auto"/>
            </w:tcBorders>
            <w:vAlign w:val="center"/>
          </w:tcPr>
          <w:p w14:paraId="450CF9C3"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Тенезмы</w:t>
            </w:r>
          </w:p>
        </w:tc>
        <w:tc>
          <w:tcPr>
            <w:tcW w:w="2828" w:type="dxa"/>
            <w:tcBorders>
              <w:top w:val="single" w:sz="4" w:space="0" w:color="auto"/>
              <w:left w:val="single" w:sz="4" w:space="0" w:color="auto"/>
              <w:bottom w:val="single" w:sz="4" w:space="0" w:color="auto"/>
              <w:right w:val="single" w:sz="4" w:space="0" w:color="auto"/>
            </w:tcBorders>
            <w:vAlign w:val="center"/>
          </w:tcPr>
          <w:p w14:paraId="1DD6934C"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rPr>
            </w:pPr>
            <w:r w:rsidRPr="00D11BAB">
              <w:rPr>
                <w:rFonts w:ascii="Times New Roman" w:hAnsi="Times New Roman"/>
                <w:bCs/>
                <w:sz w:val="24"/>
                <w:szCs w:val="24"/>
                <w:lang w:val="kk-KZ"/>
              </w:rPr>
              <w:t>9</w:t>
            </w:r>
          </w:p>
        </w:tc>
        <w:tc>
          <w:tcPr>
            <w:tcW w:w="2869" w:type="dxa"/>
            <w:tcBorders>
              <w:top w:val="single" w:sz="4" w:space="0" w:color="auto"/>
              <w:left w:val="single" w:sz="4" w:space="0" w:color="auto"/>
              <w:bottom w:val="single" w:sz="4" w:space="0" w:color="auto"/>
              <w:right w:val="single" w:sz="4" w:space="0" w:color="auto"/>
            </w:tcBorders>
            <w:vAlign w:val="center"/>
          </w:tcPr>
          <w:p w14:paraId="4BDD7BD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w:t>
            </w:r>
          </w:p>
        </w:tc>
        <w:tc>
          <w:tcPr>
            <w:tcW w:w="1218" w:type="dxa"/>
            <w:tcBorders>
              <w:top w:val="single" w:sz="4" w:space="0" w:color="auto"/>
              <w:left w:val="single" w:sz="4" w:space="0" w:color="auto"/>
              <w:bottom w:val="single" w:sz="4" w:space="0" w:color="auto"/>
              <w:right w:val="single" w:sz="4" w:space="0" w:color="auto"/>
            </w:tcBorders>
            <w:vAlign w:val="center"/>
          </w:tcPr>
          <w:p w14:paraId="0AE4A78C"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eastAsia="en-US"/>
              </w:rPr>
            </w:pPr>
            <w:r w:rsidRPr="00D11BAB">
              <w:rPr>
                <w:rFonts w:ascii="Times New Roman" w:hAnsi="Times New Roman"/>
                <w:bCs/>
                <w:sz w:val="24"/>
                <w:szCs w:val="24"/>
                <w:lang w:val="kk-KZ" w:eastAsia="en-US"/>
              </w:rPr>
              <w:t>0,002</w:t>
            </w:r>
          </w:p>
        </w:tc>
      </w:tr>
      <w:tr w:rsidR="00EF5CD6" w:rsidRPr="00D11BAB" w14:paraId="76D02891" w14:textId="77777777" w:rsidTr="00094F6F">
        <w:trPr>
          <w:gridAfter w:val="1"/>
          <w:wAfter w:w="1455" w:type="dxa"/>
          <w:trHeight w:val="340"/>
        </w:trPr>
        <w:tc>
          <w:tcPr>
            <w:tcW w:w="2702" w:type="dxa"/>
            <w:tcBorders>
              <w:top w:val="single" w:sz="4" w:space="0" w:color="auto"/>
              <w:left w:val="single" w:sz="4" w:space="0" w:color="auto"/>
              <w:bottom w:val="single" w:sz="4" w:space="0" w:color="auto"/>
              <w:right w:val="single" w:sz="4" w:space="0" w:color="auto"/>
            </w:tcBorders>
            <w:vAlign w:val="center"/>
          </w:tcPr>
          <w:p w14:paraId="6D327BF2"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rPr>
              <w:t>Ночная дефекация (при сохранениии анальной дефекации)</w:t>
            </w:r>
          </w:p>
        </w:tc>
        <w:tc>
          <w:tcPr>
            <w:tcW w:w="2828" w:type="dxa"/>
            <w:tcBorders>
              <w:top w:val="single" w:sz="4" w:space="0" w:color="auto"/>
              <w:left w:val="single" w:sz="4" w:space="0" w:color="auto"/>
              <w:bottom w:val="single" w:sz="4" w:space="0" w:color="auto"/>
              <w:right w:val="single" w:sz="4" w:space="0" w:color="auto"/>
            </w:tcBorders>
            <w:vAlign w:val="center"/>
          </w:tcPr>
          <w:p w14:paraId="44C9DB97"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rPr>
            </w:pPr>
            <w:r w:rsidRPr="00D11BAB">
              <w:rPr>
                <w:rFonts w:ascii="Times New Roman" w:hAnsi="Times New Roman"/>
                <w:bCs/>
                <w:sz w:val="24"/>
                <w:szCs w:val="24"/>
                <w:lang w:val="kk-KZ"/>
              </w:rPr>
              <w:t>7</w:t>
            </w:r>
          </w:p>
        </w:tc>
        <w:tc>
          <w:tcPr>
            <w:tcW w:w="2869" w:type="dxa"/>
            <w:tcBorders>
              <w:top w:val="single" w:sz="4" w:space="0" w:color="auto"/>
              <w:left w:val="single" w:sz="4" w:space="0" w:color="auto"/>
              <w:bottom w:val="single" w:sz="4" w:space="0" w:color="auto"/>
              <w:right w:val="single" w:sz="4" w:space="0" w:color="auto"/>
            </w:tcBorders>
            <w:vAlign w:val="center"/>
          </w:tcPr>
          <w:p w14:paraId="0EFA0BC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2</w:t>
            </w:r>
          </w:p>
        </w:tc>
        <w:tc>
          <w:tcPr>
            <w:tcW w:w="1218" w:type="dxa"/>
            <w:tcBorders>
              <w:top w:val="single" w:sz="4" w:space="0" w:color="auto"/>
              <w:left w:val="single" w:sz="4" w:space="0" w:color="auto"/>
              <w:bottom w:val="single" w:sz="4" w:space="0" w:color="auto"/>
              <w:right w:val="single" w:sz="4" w:space="0" w:color="auto"/>
            </w:tcBorders>
            <w:vAlign w:val="center"/>
          </w:tcPr>
          <w:p w14:paraId="29A33FB7"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eastAsia="en-US"/>
              </w:rPr>
            </w:pPr>
            <w:r w:rsidRPr="00D11BAB">
              <w:rPr>
                <w:rFonts w:ascii="Times New Roman" w:hAnsi="Times New Roman"/>
                <w:bCs/>
                <w:sz w:val="24"/>
                <w:szCs w:val="24"/>
                <w:lang w:val="kk-KZ" w:eastAsia="en-US"/>
              </w:rPr>
              <w:t>0,063</w:t>
            </w:r>
          </w:p>
        </w:tc>
      </w:tr>
      <w:tr w:rsidR="00EF5CD6" w:rsidRPr="00D11BAB" w14:paraId="4E2D9098" w14:textId="77777777" w:rsidTr="00094F6F">
        <w:trPr>
          <w:gridAfter w:val="1"/>
          <w:wAfter w:w="1455" w:type="dxa"/>
          <w:trHeight w:val="340"/>
        </w:trPr>
        <w:tc>
          <w:tcPr>
            <w:tcW w:w="2702" w:type="dxa"/>
            <w:tcBorders>
              <w:top w:val="single" w:sz="4" w:space="0" w:color="auto"/>
              <w:left w:val="single" w:sz="4" w:space="0" w:color="auto"/>
              <w:bottom w:val="single" w:sz="4" w:space="0" w:color="auto"/>
              <w:right w:val="single" w:sz="4" w:space="0" w:color="auto"/>
            </w:tcBorders>
            <w:vAlign w:val="center"/>
          </w:tcPr>
          <w:p w14:paraId="2AB141C1"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val="kk-KZ" w:eastAsia="en-US"/>
              </w:rPr>
              <w:t>Тошнота</w:t>
            </w:r>
          </w:p>
        </w:tc>
        <w:tc>
          <w:tcPr>
            <w:tcW w:w="2828" w:type="dxa"/>
            <w:tcBorders>
              <w:top w:val="single" w:sz="4" w:space="0" w:color="auto"/>
              <w:left w:val="single" w:sz="4" w:space="0" w:color="auto"/>
              <w:bottom w:val="single" w:sz="4" w:space="0" w:color="auto"/>
              <w:right w:val="single" w:sz="4" w:space="0" w:color="auto"/>
            </w:tcBorders>
            <w:vAlign w:val="center"/>
          </w:tcPr>
          <w:p w14:paraId="6D346559"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rPr>
            </w:pPr>
            <w:r w:rsidRPr="00D11BAB">
              <w:rPr>
                <w:rFonts w:ascii="Times New Roman" w:hAnsi="Times New Roman"/>
                <w:bCs/>
                <w:sz w:val="24"/>
                <w:szCs w:val="24"/>
                <w:lang w:val="kk-KZ"/>
              </w:rPr>
              <w:t>6</w:t>
            </w:r>
          </w:p>
        </w:tc>
        <w:tc>
          <w:tcPr>
            <w:tcW w:w="2869" w:type="dxa"/>
            <w:tcBorders>
              <w:top w:val="single" w:sz="4" w:space="0" w:color="auto"/>
              <w:left w:val="single" w:sz="4" w:space="0" w:color="auto"/>
              <w:bottom w:val="single" w:sz="4" w:space="0" w:color="auto"/>
              <w:right w:val="single" w:sz="4" w:space="0" w:color="auto"/>
            </w:tcBorders>
            <w:vAlign w:val="center"/>
          </w:tcPr>
          <w:p w14:paraId="0E20F82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1</w:t>
            </w:r>
          </w:p>
        </w:tc>
        <w:tc>
          <w:tcPr>
            <w:tcW w:w="1218" w:type="dxa"/>
            <w:tcBorders>
              <w:top w:val="single" w:sz="4" w:space="0" w:color="auto"/>
              <w:left w:val="single" w:sz="4" w:space="0" w:color="auto"/>
              <w:bottom w:val="single" w:sz="4" w:space="0" w:color="auto"/>
              <w:right w:val="single" w:sz="4" w:space="0" w:color="auto"/>
            </w:tcBorders>
            <w:vAlign w:val="center"/>
          </w:tcPr>
          <w:p w14:paraId="21DD9F1B" w14:textId="77777777" w:rsidR="00EF5CD6" w:rsidRPr="00D11BAB" w:rsidRDefault="00EF5CD6" w:rsidP="00094F6F">
            <w:pPr>
              <w:tabs>
                <w:tab w:val="left" w:pos="0"/>
              </w:tabs>
              <w:spacing w:after="0" w:line="240" w:lineRule="auto"/>
              <w:jc w:val="center"/>
              <w:rPr>
                <w:rFonts w:ascii="Times New Roman" w:hAnsi="Times New Roman"/>
                <w:bCs/>
                <w:sz w:val="24"/>
                <w:szCs w:val="24"/>
                <w:lang w:val="kk-KZ" w:eastAsia="en-US"/>
              </w:rPr>
            </w:pPr>
            <w:r w:rsidRPr="00D11BAB">
              <w:rPr>
                <w:rFonts w:ascii="Times New Roman" w:hAnsi="Times New Roman"/>
                <w:bCs/>
                <w:sz w:val="24"/>
                <w:szCs w:val="24"/>
                <w:lang w:val="kk-KZ" w:eastAsia="en-US"/>
              </w:rPr>
              <w:t>0,063</w:t>
            </w:r>
          </w:p>
        </w:tc>
      </w:tr>
      <w:tr w:rsidR="00EF5CD6" w:rsidRPr="00D11BAB" w14:paraId="7A87BAC5" w14:textId="77777777" w:rsidTr="00094F6F">
        <w:trPr>
          <w:gridAfter w:val="1"/>
          <w:wAfter w:w="1455" w:type="dxa"/>
          <w:trHeight w:val="340"/>
        </w:trPr>
        <w:tc>
          <w:tcPr>
            <w:tcW w:w="9617" w:type="dxa"/>
            <w:gridSpan w:val="4"/>
            <w:tcBorders>
              <w:top w:val="single" w:sz="4" w:space="0" w:color="auto"/>
              <w:left w:val="single" w:sz="4" w:space="0" w:color="auto"/>
              <w:bottom w:val="single" w:sz="4" w:space="0" w:color="auto"/>
              <w:right w:val="single" w:sz="4" w:space="0" w:color="auto"/>
            </w:tcBorders>
            <w:vAlign w:val="center"/>
            <w:hideMark/>
          </w:tcPr>
          <w:p w14:paraId="4511037D" w14:textId="77777777" w:rsidR="00EF5CD6" w:rsidRPr="00D11BAB" w:rsidRDefault="00EF5CD6" w:rsidP="00094F6F">
            <w:pPr>
              <w:tabs>
                <w:tab w:val="left" w:pos="0"/>
              </w:tabs>
              <w:spacing w:after="0" w:line="240" w:lineRule="auto"/>
              <w:ind w:firstLine="592"/>
              <w:rPr>
                <w:rFonts w:ascii="Times New Roman" w:hAnsi="Times New Roman"/>
                <w:bCs/>
                <w:sz w:val="24"/>
                <w:szCs w:val="24"/>
                <w:lang w:eastAsia="en-US"/>
              </w:rPr>
            </w:pPr>
            <w:r w:rsidRPr="00D11BAB">
              <w:rPr>
                <w:rFonts w:ascii="Times New Roman" w:hAnsi="Times New Roman"/>
                <w:bCs/>
                <w:sz w:val="24"/>
                <w:szCs w:val="24"/>
                <w:lang w:eastAsia="en-US"/>
              </w:rPr>
              <w:t>Примечания:</w:t>
            </w:r>
          </w:p>
          <w:p w14:paraId="38BFBE4F"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eastAsia="en-US"/>
              </w:rPr>
              <w:t xml:space="preserve">1. </w:t>
            </w:r>
            <w:r w:rsidRPr="00D11BAB">
              <w:rPr>
                <w:rFonts w:ascii="Times New Roman" w:hAnsi="Times New Roman"/>
                <w:bCs/>
                <w:sz w:val="24"/>
                <w:szCs w:val="24"/>
                <w:lang w:val="en-US" w:eastAsia="en-US"/>
              </w:rPr>
              <w:t>n</w:t>
            </w:r>
            <w:r w:rsidRPr="00D11BAB">
              <w:rPr>
                <w:rFonts w:ascii="Times New Roman" w:hAnsi="Times New Roman"/>
                <w:bCs/>
                <w:sz w:val="24"/>
                <w:szCs w:val="24"/>
                <w:lang w:val="kk-KZ" w:eastAsia="en-US"/>
              </w:rPr>
              <w:t xml:space="preserve"> – количество больных с симптомами</w:t>
            </w:r>
          </w:p>
          <w:p w14:paraId="2EF4A5C1" w14:textId="77777777" w:rsidR="00EF5CD6" w:rsidRPr="00D11BAB" w:rsidRDefault="00EF5CD6" w:rsidP="00094F6F">
            <w:pPr>
              <w:tabs>
                <w:tab w:val="left" w:pos="0"/>
              </w:tabs>
              <w:spacing w:after="0" w:line="240" w:lineRule="auto"/>
              <w:rPr>
                <w:rFonts w:ascii="Times New Roman" w:hAnsi="Times New Roman"/>
                <w:bCs/>
                <w:sz w:val="24"/>
                <w:szCs w:val="24"/>
                <w:lang w:val="kk-KZ" w:eastAsia="en-US"/>
              </w:rPr>
            </w:pPr>
            <w:r w:rsidRPr="00D11BAB">
              <w:rPr>
                <w:rFonts w:ascii="Times New Roman" w:hAnsi="Times New Roman"/>
                <w:bCs/>
                <w:sz w:val="24"/>
                <w:szCs w:val="24"/>
                <w:lang w:eastAsia="en-US"/>
              </w:rPr>
              <w:t xml:space="preserve">2. </w:t>
            </w:r>
            <w:r w:rsidRPr="00D11BAB">
              <w:rPr>
                <w:rFonts w:ascii="Times New Roman" w:hAnsi="Times New Roman"/>
                <w:bCs/>
                <w:sz w:val="24"/>
                <w:szCs w:val="24"/>
                <w:lang w:val="en-US" w:eastAsia="en-US"/>
              </w:rPr>
              <w:t>p</w:t>
            </w:r>
            <w:r w:rsidRPr="00D11BAB">
              <w:rPr>
                <w:rFonts w:ascii="Times New Roman" w:hAnsi="Times New Roman"/>
                <w:bCs/>
                <w:sz w:val="24"/>
                <w:szCs w:val="24"/>
                <w:lang w:eastAsia="en-US"/>
              </w:rPr>
              <w:t xml:space="preserve"> ˂0,05 уровень значимости для критерия McNemar</w:t>
            </w:r>
          </w:p>
        </w:tc>
      </w:tr>
    </w:tbl>
    <w:p w14:paraId="441519B8"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78886EF3"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25154894" w14:textId="77777777" w:rsidR="00EF5CD6" w:rsidRPr="00D11BAB" w:rsidRDefault="00EF5CD6" w:rsidP="00EF5CD6">
      <w:pPr>
        <w:tabs>
          <w:tab w:val="left" w:pos="0"/>
        </w:tabs>
        <w:spacing w:after="0" w:line="240" w:lineRule="auto"/>
        <w:ind w:firstLine="708"/>
        <w:jc w:val="both"/>
        <w:rPr>
          <w:rFonts w:ascii="Times New Roman" w:hAnsi="Times New Roman"/>
          <w:bCs/>
          <w:sz w:val="28"/>
          <w:szCs w:val="28"/>
          <w:lang w:eastAsia="en-US"/>
        </w:rPr>
      </w:pPr>
      <w:r w:rsidRPr="00D11BAB">
        <w:rPr>
          <w:rFonts w:ascii="Times New Roman" w:hAnsi="Times New Roman"/>
          <w:bCs/>
          <w:sz w:val="28"/>
          <w:szCs w:val="28"/>
          <w:lang w:eastAsia="en-US"/>
        </w:rPr>
        <w:t>Статическое значимое изменение показали такие симптомы, как частота стула более 3 раз в день (</w:t>
      </w:r>
      <w:r w:rsidRPr="00D11BAB">
        <w:rPr>
          <w:rFonts w:ascii="Times New Roman" w:hAnsi="Times New Roman"/>
          <w:bCs/>
          <w:sz w:val="28"/>
          <w:szCs w:val="28"/>
          <w:lang w:val="en-US" w:eastAsia="en-US"/>
        </w:rPr>
        <w:t>p</w:t>
      </w:r>
      <w:r w:rsidRPr="00D11BAB">
        <w:rPr>
          <w:rFonts w:ascii="Times New Roman" w:hAnsi="Times New Roman"/>
          <w:bCs/>
          <w:sz w:val="28"/>
          <w:szCs w:val="28"/>
          <w:lang w:eastAsia="en-US"/>
        </w:rPr>
        <w:t xml:space="preserve">=0,003), </w:t>
      </w:r>
      <w:r w:rsidRPr="00D11BAB">
        <w:rPr>
          <w:rFonts w:ascii="Times New Roman" w:hAnsi="Times New Roman"/>
          <w:bCs/>
          <w:sz w:val="28"/>
          <w:szCs w:val="28"/>
          <w:lang w:val="kk-KZ" w:eastAsia="en-US"/>
        </w:rPr>
        <w:t xml:space="preserve">консистенция стула </w:t>
      </w:r>
      <w:r w:rsidRPr="00D11BAB">
        <w:rPr>
          <w:rFonts w:ascii="Times New Roman" w:hAnsi="Times New Roman"/>
          <w:bCs/>
          <w:sz w:val="28"/>
          <w:szCs w:val="28"/>
          <w:lang w:val="en-US" w:eastAsia="en-US"/>
        </w:rPr>
        <w:t>BSF</w:t>
      </w:r>
      <w:r w:rsidRPr="00D11BAB">
        <w:rPr>
          <w:rFonts w:ascii="Times New Roman" w:hAnsi="Times New Roman"/>
          <w:bCs/>
          <w:sz w:val="28"/>
          <w:szCs w:val="28"/>
          <w:lang w:eastAsia="en-US"/>
        </w:rPr>
        <w:t xml:space="preserve"> 6-7 (</w:t>
      </w:r>
      <w:r w:rsidRPr="00D11BAB">
        <w:rPr>
          <w:rFonts w:ascii="Times New Roman" w:hAnsi="Times New Roman"/>
          <w:bCs/>
          <w:sz w:val="28"/>
          <w:szCs w:val="28"/>
          <w:lang w:val="en-US" w:eastAsia="en-US"/>
        </w:rPr>
        <w:t>p</w:t>
      </w:r>
      <w:r w:rsidRPr="00D11BAB">
        <w:rPr>
          <w:rFonts w:ascii="Times New Roman" w:hAnsi="Times New Roman"/>
          <w:bCs/>
          <w:sz w:val="28"/>
          <w:szCs w:val="28"/>
          <w:lang w:eastAsia="en-US"/>
        </w:rPr>
        <w:t>=0,002), недержание кала (</w:t>
      </w:r>
      <w:r w:rsidRPr="00D11BAB">
        <w:rPr>
          <w:rFonts w:ascii="Times New Roman" w:hAnsi="Times New Roman"/>
          <w:bCs/>
          <w:sz w:val="28"/>
          <w:szCs w:val="28"/>
          <w:lang w:val="en-US" w:eastAsia="en-US"/>
        </w:rPr>
        <w:t>p</w:t>
      </w:r>
      <w:r w:rsidRPr="00D11BAB">
        <w:rPr>
          <w:rFonts w:ascii="Times New Roman" w:hAnsi="Times New Roman"/>
          <w:bCs/>
          <w:sz w:val="28"/>
          <w:szCs w:val="28"/>
          <w:lang w:eastAsia="en-US"/>
        </w:rPr>
        <w:t>=0,003), метеоризм (</w:t>
      </w:r>
      <w:r w:rsidRPr="00D11BAB">
        <w:rPr>
          <w:rFonts w:ascii="Times New Roman" w:hAnsi="Times New Roman"/>
          <w:bCs/>
          <w:sz w:val="28"/>
          <w:szCs w:val="28"/>
          <w:lang w:val="en-US" w:eastAsia="en-US"/>
        </w:rPr>
        <w:t>p</w:t>
      </w:r>
      <w:r w:rsidRPr="00D11BAB">
        <w:rPr>
          <w:rFonts w:ascii="Times New Roman" w:hAnsi="Times New Roman"/>
          <w:bCs/>
          <w:sz w:val="28"/>
          <w:szCs w:val="28"/>
          <w:lang w:eastAsia="en-US"/>
        </w:rPr>
        <w:t>=0,001), тенезмы (</w:t>
      </w:r>
      <w:r w:rsidRPr="00D11BAB">
        <w:rPr>
          <w:rFonts w:ascii="Times New Roman" w:hAnsi="Times New Roman"/>
          <w:bCs/>
          <w:sz w:val="28"/>
          <w:szCs w:val="28"/>
          <w:lang w:val="en-US" w:eastAsia="en-US"/>
        </w:rPr>
        <w:t>p</w:t>
      </w:r>
      <w:r w:rsidRPr="00D11BAB">
        <w:rPr>
          <w:rFonts w:ascii="Times New Roman" w:hAnsi="Times New Roman"/>
          <w:bCs/>
          <w:sz w:val="28"/>
          <w:szCs w:val="28"/>
          <w:lang w:eastAsia="en-US"/>
        </w:rPr>
        <w:t xml:space="preserve">=0,002) Также наблюдалась тенденция к улучшению симптома как абдоминальная боль (p=0,004). </w:t>
      </w:r>
      <w:r w:rsidRPr="00D11BAB">
        <w:rPr>
          <w:rFonts w:ascii="Times New Roman" w:hAnsi="Times New Roman"/>
          <w:bCs/>
          <w:sz w:val="28"/>
          <w:szCs w:val="28"/>
          <w:lang w:val="kk-KZ" w:eastAsia="en-US"/>
        </w:rPr>
        <w:t>Ночные дефекации</w:t>
      </w:r>
      <w:r w:rsidRPr="00D11BAB">
        <w:rPr>
          <w:rFonts w:ascii="Times New Roman" w:hAnsi="Times New Roman"/>
          <w:bCs/>
          <w:sz w:val="28"/>
          <w:szCs w:val="28"/>
          <w:lang w:eastAsia="en-US"/>
        </w:rPr>
        <w:t xml:space="preserve"> (</w:t>
      </w:r>
      <w:r w:rsidRPr="00D11BAB">
        <w:rPr>
          <w:rFonts w:ascii="Times New Roman" w:hAnsi="Times New Roman"/>
          <w:bCs/>
          <w:sz w:val="28"/>
          <w:szCs w:val="28"/>
          <w:lang w:val="en-US" w:eastAsia="en-US"/>
        </w:rPr>
        <w:t>p</w:t>
      </w:r>
      <w:r w:rsidRPr="00D11BAB">
        <w:rPr>
          <w:rFonts w:ascii="Times New Roman" w:hAnsi="Times New Roman"/>
          <w:bCs/>
          <w:sz w:val="28"/>
          <w:szCs w:val="28"/>
          <w:lang w:eastAsia="en-US"/>
        </w:rPr>
        <w:t>=0,063) и тошнота (</w:t>
      </w:r>
      <w:r w:rsidRPr="00D11BAB">
        <w:rPr>
          <w:rFonts w:ascii="Times New Roman" w:hAnsi="Times New Roman"/>
          <w:bCs/>
          <w:sz w:val="28"/>
          <w:szCs w:val="28"/>
          <w:lang w:val="en-US" w:eastAsia="en-US"/>
        </w:rPr>
        <w:t>p</w:t>
      </w:r>
      <w:r w:rsidRPr="00D11BAB">
        <w:rPr>
          <w:rFonts w:ascii="Times New Roman" w:hAnsi="Times New Roman"/>
          <w:bCs/>
          <w:sz w:val="28"/>
          <w:szCs w:val="28"/>
          <w:lang w:eastAsia="en-US"/>
        </w:rPr>
        <w:t>=0,063) не показали статический значимого изменения.</w:t>
      </w:r>
    </w:p>
    <w:p w14:paraId="3C8E299C"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r w:rsidRPr="00D11BAB">
        <w:rPr>
          <w:rFonts w:ascii="Times New Roman" w:hAnsi="Times New Roman"/>
          <w:sz w:val="28"/>
          <w:szCs w:val="28"/>
        </w:rPr>
        <w:t xml:space="preserve">Опорными симптомами при оценке эффективности лечения </w:t>
      </w:r>
      <w:r w:rsidRPr="00D11BAB">
        <w:rPr>
          <w:rFonts w:ascii="Times New Roman" w:hAnsi="Times New Roman"/>
          <w:sz w:val="28"/>
          <w:szCs w:val="28"/>
          <w:lang w:val="kk-KZ"/>
        </w:rPr>
        <w:t>синдрома хронической диареи</w:t>
      </w:r>
      <w:r w:rsidRPr="00D11BAB">
        <w:rPr>
          <w:rFonts w:ascii="Times New Roman" w:hAnsi="Times New Roman"/>
          <w:sz w:val="28"/>
          <w:szCs w:val="28"/>
        </w:rPr>
        <w:t xml:space="preserve"> для больных с сохраненной анальной дефекацией были частота и консистенция стула, для больных с илеостомой и </w:t>
      </w:r>
      <w:proofErr w:type="spellStart"/>
      <w:r w:rsidRPr="00D11BAB">
        <w:rPr>
          <w:rFonts w:ascii="Times New Roman" w:hAnsi="Times New Roman"/>
          <w:sz w:val="28"/>
          <w:szCs w:val="28"/>
        </w:rPr>
        <w:t>колостомой</w:t>
      </w:r>
      <w:proofErr w:type="spellEnd"/>
      <w:r w:rsidRPr="00D11BAB">
        <w:rPr>
          <w:rFonts w:ascii="Times New Roman" w:hAnsi="Times New Roman"/>
          <w:sz w:val="28"/>
          <w:szCs w:val="28"/>
        </w:rPr>
        <w:t xml:space="preserve"> – уменьшение количества кишечного отделяемого менее 1000 мл и 500 мл в сутки соответственно. Таким образом, после лечения медиана частоты стула в сутки составила 2 (1;4), консистенция стула по шкале </w:t>
      </w:r>
      <w:r w:rsidRPr="00D11BAB">
        <w:rPr>
          <w:rFonts w:ascii="Times New Roman" w:hAnsi="Times New Roman"/>
          <w:sz w:val="28"/>
          <w:szCs w:val="28"/>
          <w:lang w:val="en-US"/>
        </w:rPr>
        <w:t>BSF</w:t>
      </w:r>
      <w:r w:rsidRPr="00D11BAB">
        <w:rPr>
          <w:rFonts w:ascii="Times New Roman" w:hAnsi="Times New Roman"/>
          <w:sz w:val="28"/>
          <w:szCs w:val="28"/>
        </w:rPr>
        <w:t xml:space="preserve"> 4 (4;5). Медиана количества отделяемого по илеостоме уменьшилась до 800 (500;1000) мл в сутки. Отмечено сгущение отделяемого с колостомы с уменьшением потерь до 450 (350;550) мл в сутки (таблица </w:t>
      </w:r>
      <w:r>
        <w:rPr>
          <w:rFonts w:ascii="Times New Roman" w:hAnsi="Times New Roman"/>
          <w:sz w:val="28"/>
          <w:szCs w:val="28"/>
        </w:rPr>
        <w:t>37</w:t>
      </w:r>
      <w:r w:rsidRPr="00D11BAB">
        <w:rPr>
          <w:rFonts w:ascii="Times New Roman" w:hAnsi="Times New Roman"/>
          <w:sz w:val="28"/>
          <w:szCs w:val="28"/>
        </w:rPr>
        <w:t>).</w:t>
      </w:r>
    </w:p>
    <w:p w14:paraId="34DF2954"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r w:rsidRPr="00D11BAB">
        <w:rPr>
          <w:rFonts w:ascii="Times New Roman" w:hAnsi="Times New Roman"/>
          <w:sz w:val="28"/>
          <w:szCs w:val="28"/>
        </w:rPr>
        <w:t>По результатам микробиологического исследования кала после лечения отмечается нормализация численности облигатной микрофлоры кишечника (р</w:t>
      </w:r>
      <w:r w:rsidRPr="00D11BAB">
        <w:rPr>
          <w:rFonts w:ascii="Times New Roman" w:hAnsi="Times New Roman"/>
          <w:sz w:val="24"/>
          <w:szCs w:val="24"/>
        </w:rPr>
        <w:t>˂0,05</w:t>
      </w:r>
      <w:r w:rsidRPr="00D11BAB">
        <w:rPr>
          <w:rFonts w:ascii="Times New Roman" w:hAnsi="Times New Roman"/>
          <w:sz w:val="28"/>
          <w:szCs w:val="28"/>
        </w:rPr>
        <w:t>) и уменьшение количества представителей условно-патогенной флоры (р</w:t>
      </w:r>
      <w:r w:rsidRPr="00D11BAB">
        <w:rPr>
          <w:rFonts w:ascii="Times New Roman" w:hAnsi="Times New Roman"/>
          <w:sz w:val="24"/>
          <w:szCs w:val="24"/>
        </w:rPr>
        <w:t>˂0,05</w:t>
      </w:r>
      <w:r w:rsidRPr="00D11BAB">
        <w:rPr>
          <w:rFonts w:ascii="Times New Roman" w:hAnsi="Times New Roman"/>
          <w:sz w:val="28"/>
          <w:szCs w:val="28"/>
        </w:rPr>
        <w:t xml:space="preserve">) (таблица </w:t>
      </w:r>
      <w:r>
        <w:rPr>
          <w:rFonts w:ascii="Times New Roman" w:hAnsi="Times New Roman"/>
          <w:sz w:val="28"/>
          <w:szCs w:val="28"/>
        </w:rPr>
        <w:t>38</w:t>
      </w:r>
      <w:r w:rsidRPr="00D11BAB">
        <w:rPr>
          <w:rFonts w:ascii="Times New Roman" w:hAnsi="Times New Roman"/>
          <w:sz w:val="28"/>
          <w:szCs w:val="28"/>
        </w:rPr>
        <w:t>).</w:t>
      </w:r>
    </w:p>
    <w:p w14:paraId="70414551"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130D3169"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7C2D3BB8"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6E58F2FC"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656E922C"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5DEAA016"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0D0C60BC"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b/>
          <w:sz w:val="28"/>
          <w:szCs w:val="28"/>
        </w:rPr>
      </w:pPr>
    </w:p>
    <w:p w14:paraId="2EE7BFA0"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D11BAB">
        <w:rPr>
          <w:rFonts w:ascii="Times New Roman" w:hAnsi="Times New Roman"/>
          <w:sz w:val="28"/>
          <w:szCs w:val="28"/>
        </w:rPr>
        <w:lastRenderedPageBreak/>
        <w:t xml:space="preserve">Таблица </w:t>
      </w:r>
      <w:r>
        <w:rPr>
          <w:rFonts w:ascii="Times New Roman" w:hAnsi="Times New Roman"/>
          <w:sz w:val="28"/>
          <w:szCs w:val="28"/>
        </w:rPr>
        <w:t>37</w:t>
      </w:r>
      <w:r w:rsidRPr="00D11BAB">
        <w:rPr>
          <w:rFonts w:ascii="Times New Roman" w:hAnsi="Times New Roman"/>
          <w:sz w:val="28"/>
          <w:szCs w:val="28"/>
        </w:rPr>
        <w:t xml:space="preserve"> – Характеристика синдрома хронической диареи после лечения по частоте стула и количеству отделяемого со стомы</w:t>
      </w:r>
    </w:p>
    <w:p w14:paraId="0BAF20DD"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right"/>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1"/>
        <w:gridCol w:w="1876"/>
        <w:gridCol w:w="1890"/>
      </w:tblGrid>
      <w:tr w:rsidR="00EF5CD6" w:rsidRPr="00D11BAB" w14:paraId="08856180" w14:textId="77777777" w:rsidTr="00094F6F">
        <w:trPr>
          <w:trHeight w:val="340"/>
          <w:jc w:val="center"/>
        </w:trPr>
        <w:tc>
          <w:tcPr>
            <w:tcW w:w="5851" w:type="dxa"/>
            <w:shd w:val="clear" w:color="auto" w:fill="auto"/>
            <w:vAlign w:val="center"/>
          </w:tcPr>
          <w:p w14:paraId="588C798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Признак</w:t>
            </w:r>
          </w:p>
        </w:tc>
        <w:tc>
          <w:tcPr>
            <w:tcW w:w="1876" w:type="dxa"/>
            <w:shd w:val="clear" w:color="auto" w:fill="auto"/>
            <w:vAlign w:val="center"/>
          </w:tcPr>
          <w:p w14:paraId="20200A1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До лечения (</w:t>
            </w:r>
            <w:r w:rsidRPr="00D11BAB">
              <w:rPr>
                <w:rFonts w:ascii="Times New Roman" w:hAnsi="Times New Roman"/>
                <w:sz w:val="24"/>
                <w:szCs w:val="24"/>
                <w:lang w:val="en-US"/>
              </w:rPr>
              <w:t>n=58</w:t>
            </w:r>
            <w:r w:rsidRPr="00D11BAB">
              <w:rPr>
                <w:rFonts w:ascii="Times New Roman" w:hAnsi="Times New Roman"/>
                <w:sz w:val="24"/>
                <w:szCs w:val="24"/>
              </w:rPr>
              <w:t>)</w:t>
            </w:r>
          </w:p>
        </w:tc>
        <w:tc>
          <w:tcPr>
            <w:tcW w:w="1890" w:type="dxa"/>
            <w:shd w:val="clear" w:color="auto" w:fill="auto"/>
            <w:vAlign w:val="center"/>
          </w:tcPr>
          <w:p w14:paraId="082EDA9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После лечения (</w:t>
            </w:r>
            <w:r w:rsidRPr="00D11BAB">
              <w:rPr>
                <w:rFonts w:ascii="Times New Roman" w:hAnsi="Times New Roman"/>
                <w:sz w:val="24"/>
                <w:szCs w:val="24"/>
                <w:lang w:val="en-US"/>
              </w:rPr>
              <w:t>n=58</w:t>
            </w:r>
            <w:r w:rsidRPr="00D11BAB">
              <w:rPr>
                <w:rFonts w:ascii="Times New Roman" w:hAnsi="Times New Roman"/>
                <w:sz w:val="24"/>
                <w:szCs w:val="24"/>
              </w:rPr>
              <w:t>)</w:t>
            </w:r>
          </w:p>
        </w:tc>
      </w:tr>
      <w:tr w:rsidR="00EF5CD6" w:rsidRPr="00D11BAB" w14:paraId="0F74AF26" w14:textId="77777777" w:rsidTr="00094F6F">
        <w:trPr>
          <w:trHeight w:val="340"/>
          <w:jc w:val="center"/>
        </w:trPr>
        <w:tc>
          <w:tcPr>
            <w:tcW w:w="5851" w:type="dxa"/>
            <w:shd w:val="clear" w:color="auto" w:fill="auto"/>
          </w:tcPr>
          <w:p w14:paraId="7FFA224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sz w:val="24"/>
                <w:szCs w:val="24"/>
              </w:rPr>
            </w:pPr>
            <w:r w:rsidRPr="00D11BAB">
              <w:rPr>
                <w:rFonts w:ascii="Times New Roman" w:hAnsi="Times New Roman"/>
                <w:sz w:val="24"/>
                <w:szCs w:val="24"/>
              </w:rPr>
              <w:t>Частота стула, раз/сутки (</w:t>
            </w:r>
            <w:r w:rsidRPr="00D11BAB">
              <w:rPr>
                <w:rFonts w:ascii="Times New Roman" w:hAnsi="Times New Roman"/>
                <w:sz w:val="24"/>
                <w:szCs w:val="24"/>
                <w:lang w:val="en-US"/>
              </w:rPr>
              <w:t>Me</w:t>
            </w:r>
            <w:r w:rsidRPr="00D11BAB">
              <w:rPr>
                <w:rFonts w:ascii="Times New Roman" w:hAnsi="Times New Roman"/>
                <w:sz w:val="24"/>
                <w:szCs w:val="24"/>
              </w:rPr>
              <w:t xml:space="preserve">, </w:t>
            </w:r>
            <w:r w:rsidRPr="00D11BAB">
              <w:rPr>
                <w:rFonts w:ascii="Times New Roman" w:hAnsi="Times New Roman"/>
                <w:sz w:val="24"/>
                <w:szCs w:val="24"/>
                <w:lang w:val="en-US"/>
              </w:rPr>
              <w:t>Q</w:t>
            </w:r>
            <w:proofErr w:type="gramStart"/>
            <w:r w:rsidRPr="00D11BAB">
              <w:rPr>
                <w:rFonts w:ascii="Times New Roman" w:hAnsi="Times New Roman"/>
                <w:sz w:val="24"/>
                <w:szCs w:val="24"/>
              </w:rPr>
              <w:t>2;</w:t>
            </w:r>
            <w:r w:rsidRPr="00D11BAB">
              <w:rPr>
                <w:rFonts w:ascii="Times New Roman" w:hAnsi="Times New Roman"/>
                <w:sz w:val="24"/>
                <w:szCs w:val="24"/>
                <w:lang w:val="en-US"/>
              </w:rPr>
              <w:t>Q</w:t>
            </w:r>
            <w:proofErr w:type="gramEnd"/>
            <w:r w:rsidRPr="00D11BAB">
              <w:rPr>
                <w:rFonts w:ascii="Times New Roman" w:hAnsi="Times New Roman"/>
                <w:sz w:val="24"/>
                <w:szCs w:val="24"/>
              </w:rPr>
              <w:t>4)</w:t>
            </w:r>
          </w:p>
        </w:tc>
        <w:tc>
          <w:tcPr>
            <w:tcW w:w="1876" w:type="dxa"/>
            <w:shd w:val="clear" w:color="auto" w:fill="auto"/>
            <w:vAlign w:val="center"/>
          </w:tcPr>
          <w:p w14:paraId="3A01A8C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8 (5;10)</w:t>
            </w:r>
          </w:p>
        </w:tc>
        <w:tc>
          <w:tcPr>
            <w:tcW w:w="1890" w:type="dxa"/>
            <w:shd w:val="clear" w:color="auto" w:fill="auto"/>
            <w:vAlign w:val="center"/>
          </w:tcPr>
          <w:p w14:paraId="6CB5A48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2 (1;4)</w:t>
            </w:r>
          </w:p>
        </w:tc>
      </w:tr>
      <w:tr w:rsidR="00EF5CD6" w:rsidRPr="00D11BAB" w14:paraId="0E1ABCC1" w14:textId="77777777" w:rsidTr="00094F6F">
        <w:trPr>
          <w:trHeight w:val="340"/>
          <w:jc w:val="center"/>
        </w:trPr>
        <w:tc>
          <w:tcPr>
            <w:tcW w:w="5851" w:type="dxa"/>
            <w:shd w:val="clear" w:color="auto" w:fill="auto"/>
          </w:tcPr>
          <w:p w14:paraId="0A7006F8"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sz w:val="24"/>
                <w:szCs w:val="24"/>
              </w:rPr>
            </w:pPr>
            <w:r w:rsidRPr="00D11BAB">
              <w:rPr>
                <w:rFonts w:ascii="Times New Roman" w:hAnsi="Times New Roman"/>
                <w:sz w:val="24"/>
                <w:szCs w:val="24"/>
              </w:rPr>
              <w:t xml:space="preserve">Консистенция стула по шкале </w:t>
            </w:r>
            <w:r w:rsidRPr="00D11BAB">
              <w:rPr>
                <w:rFonts w:ascii="Times New Roman" w:hAnsi="Times New Roman"/>
                <w:sz w:val="24"/>
                <w:szCs w:val="24"/>
                <w:lang w:val="en-US"/>
              </w:rPr>
              <w:t>BSF</w:t>
            </w:r>
          </w:p>
        </w:tc>
        <w:tc>
          <w:tcPr>
            <w:tcW w:w="1876" w:type="dxa"/>
            <w:shd w:val="clear" w:color="auto" w:fill="auto"/>
            <w:vAlign w:val="center"/>
          </w:tcPr>
          <w:p w14:paraId="06C81A7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7 (6;7)</w:t>
            </w:r>
          </w:p>
        </w:tc>
        <w:tc>
          <w:tcPr>
            <w:tcW w:w="1890" w:type="dxa"/>
            <w:shd w:val="clear" w:color="auto" w:fill="auto"/>
            <w:vAlign w:val="center"/>
          </w:tcPr>
          <w:p w14:paraId="45ACB7FA"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4 (4;5)</w:t>
            </w:r>
          </w:p>
        </w:tc>
      </w:tr>
      <w:tr w:rsidR="00EF5CD6" w:rsidRPr="00D11BAB" w14:paraId="66BE283D" w14:textId="77777777" w:rsidTr="00094F6F">
        <w:trPr>
          <w:trHeight w:val="340"/>
          <w:jc w:val="center"/>
        </w:trPr>
        <w:tc>
          <w:tcPr>
            <w:tcW w:w="5851" w:type="dxa"/>
            <w:shd w:val="clear" w:color="auto" w:fill="auto"/>
          </w:tcPr>
          <w:p w14:paraId="32C7DDC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66"/>
              <w:rPr>
                <w:rFonts w:ascii="Times New Roman" w:hAnsi="Times New Roman"/>
                <w:sz w:val="24"/>
                <w:szCs w:val="24"/>
              </w:rPr>
            </w:pPr>
            <w:r w:rsidRPr="00D11BAB">
              <w:rPr>
                <w:rFonts w:ascii="Times New Roman" w:hAnsi="Times New Roman"/>
                <w:sz w:val="24"/>
                <w:szCs w:val="24"/>
              </w:rPr>
              <w:t>Количество отделяемого по илеостоме, мл (</w:t>
            </w:r>
            <w:r w:rsidRPr="00D11BAB">
              <w:rPr>
                <w:rFonts w:ascii="Times New Roman" w:hAnsi="Times New Roman"/>
                <w:sz w:val="24"/>
                <w:szCs w:val="24"/>
                <w:lang w:val="en-US"/>
              </w:rPr>
              <w:t>Me</w:t>
            </w:r>
            <w:r w:rsidRPr="00D11BAB">
              <w:rPr>
                <w:rFonts w:ascii="Times New Roman" w:hAnsi="Times New Roman"/>
                <w:sz w:val="24"/>
                <w:szCs w:val="24"/>
              </w:rPr>
              <w:t xml:space="preserve">, </w:t>
            </w:r>
            <w:r w:rsidRPr="00D11BAB">
              <w:rPr>
                <w:rFonts w:ascii="Times New Roman" w:hAnsi="Times New Roman"/>
                <w:sz w:val="24"/>
                <w:szCs w:val="24"/>
                <w:lang w:val="en-US"/>
              </w:rPr>
              <w:t>Q</w:t>
            </w:r>
            <w:proofErr w:type="gramStart"/>
            <w:r w:rsidRPr="00D11BAB">
              <w:rPr>
                <w:rFonts w:ascii="Times New Roman" w:hAnsi="Times New Roman"/>
                <w:sz w:val="24"/>
                <w:szCs w:val="24"/>
              </w:rPr>
              <w:t>2;</w:t>
            </w:r>
            <w:r w:rsidRPr="00D11BAB">
              <w:rPr>
                <w:rFonts w:ascii="Times New Roman" w:hAnsi="Times New Roman"/>
                <w:sz w:val="24"/>
                <w:szCs w:val="24"/>
                <w:lang w:val="en-US"/>
              </w:rPr>
              <w:t>Q</w:t>
            </w:r>
            <w:proofErr w:type="gramEnd"/>
            <w:r w:rsidRPr="00D11BAB">
              <w:rPr>
                <w:rFonts w:ascii="Times New Roman" w:hAnsi="Times New Roman"/>
                <w:sz w:val="24"/>
                <w:szCs w:val="24"/>
              </w:rPr>
              <w:t>4)</w:t>
            </w:r>
          </w:p>
        </w:tc>
        <w:tc>
          <w:tcPr>
            <w:tcW w:w="1876" w:type="dxa"/>
            <w:shd w:val="clear" w:color="auto" w:fill="auto"/>
            <w:vAlign w:val="center"/>
          </w:tcPr>
          <w:p w14:paraId="3894E953"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80" w:right="-94"/>
              <w:jc w:val="center"/>
              <w:rPr>
                <w:rFonts w:ascii="Times New Roman" w:hAnsi="Times New Roman"/>
                <w:sz w:val="24"/>
                <w:szCs w:val="24"/>
              </w:rPr>
            </w:pPr>
            <w:r w:rsidRPr="00D11BAB">
              <w:rPr>
                <w:rFonts w:ascii="Times New Roman" w:hAnsi="Times New Roman"/>
                <w:sz w:val="24"/>
                <w:szCs w:val="24"/>
              </w:rPr>
              <w:t>600 (1300;2100)</w:t>
            </w:r>
          </w:p>
        </w:tc>
        <w:tc>
          <w:tcPr>
            <w:tcW w:w="1890" w:type="dxa"/>
            <w:shd w:val="clear" w:color="auto" w:fill="auto"/>
            <w:vAlign w:val="center"/>
          </w:tcPr>
          <w:p w14:paraId="43C7E58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800 (500;1000)</w:t>
            </w:r>
          </w:p>
        </w:tc>
      </w:tr>
      <w:tr w:rsidR="00EF5CD6" w:rsidRPr="00D11BAB" w14:paraId="3D45CFF1" w14:textId="77777777" w:rsidTr="00094F6F">
        <w:trPr>
          <w:trHeight w:val="340"/>
          <w:jc w:val="center"/>
        </w:trPr>
        <w:tc>
          <w:tcPr>
            <w:tcW w:w="5851" w:type="dxa"/>
            <w:shd w:val="clear" w:color="auto" w:fill="auto"/>
          </w:tcPr>
          <w:p w14:paraId="281A9A1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80"/>
              <w:rPr>
                <w:rFonts w:ascii="Times New Roman" w:hAnsi="Times New Roman"/>
                <w:sz w:val="24"/>
                <w:szCs w:val="24"/>
              </w:rPr>
            </w:pPr>
            <w:r w:rsidRPr="00D11BAB">
              <w:rPr>
                <w:rFonts w:ascii="Times New Roman" w:hAnsi="Times New Roman"/>
                <w:sz w:val="24"/>
                <w:szCs w:val="24"/>
              </w:rPr>
              <w:t>Количество отделяемого по колостоме, мл (</w:t>
            </w:r>
            <w:r w:rsidRPr="00D11BAB">
              <w:rPr>
                <w:rFonts w:ascii="Times New Roman" w:hAnsi="Times New Roman"/>
                <w:sz w:val="24"/>
                <w:szCs w:val="24"/>
                <w:lang w:val="en-US"/>
              </w:rPr>
              <w:t>Me</w:t>
            </w:r>
            <w:r w:rsidRPr="00D11BAB">
              <w:rPr>
                <w:rFonts w:ascii="Times New Roman" w:hAnsi="Times New Roman"/>
                <w:sz w:val="24"/>
                <w:szCs w:val="24"/>
              </w:rPr>
              <w:t xml:space="preserve">, </w:t>
            </w:r>
            <w:r w:rsidRPr="00D11BAB">
              <w:rPr>
                <w:rFonts w:ascii="Times New Roman" w:hAnsi="Times New Roman"/>
                <w:sz w:val="24"/>
                <w:szCs w:val="24"/>
                <w:lang w:val="en-US"/>
              </w:rPr>
              <w:t>Q</w:t>
            </w:r>
            <w:proofErr w:type="gramStart"/>
            <w:r w:rsidRPr="00D11BAB">
              <w:rPr>
                <w:rFonts w:ascii="Times New Roman" w:hAnsi="Times New Roman"/>
                <w:sz w:val="24"/>
                <w:szCs w:val="24"/>
              </w:rPr>
              <w:t>2;</w:t>
            </w:r>
            <w:r w:rsidRPr="00D11BAB">
              <w:rPr>
                <w:rFonts w:ascii="Times New Roman" w:hAnsi="Times New Roman"/>
                <w:sz w:val="24"/>
                <w:szCs w:val="24"/>
                <w:lang w:val="en-US"/>
              </w:rPr>
              <w:t>Q</w:t>
            </w:r>
            <w:proofErr w:type="gramEnd"/>
            <w:r w:rsidRPr="00D11BAB">
              <w:rPr>
                <w:rFonts w:ascii="Times New Roman" w:hAnsi="Times New Roman"/>
                <w:sz w:val="24"/>
                <w:szCs w:val="24"/>
              </w:rPr>
              <w:t>4)</w:t>
            </w:r>
          </w:p>
        </w:tc>
        <w:tc>
          <w:tcPr>
            <w:tcW w:w="1876" w:type="dxa"/>
            <w:shd w:val="clear" w:color="auto" w:fill="auto"/>
            <w:vAlign w:val="center"/>
          </w:tcPr>
          <w:p w14:paraId="1F95DD04"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750 (600;800)</w:t>
            </w:r>
          </w:p>
        </w:tc>
        <w:tc>
          <w:tcPr>
            <w:tcW w:w="1890" w:type="dxa"/>
            <w:shd w:val="clear" w:color="auto" w:fill="auto"/>
            <w:vAlign w:val="center"/>
          </w:tcPr>
          <w:p w14:paraId="534C9D9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450 (350;550)</w:t>
            </w:r>
          </w:p>
        </w:tc>
      </w:tr>
      <w:tr w:rsidR="00EF5CD6" w:rsidRPr="00D11BAB" w14:paraId="57600DEE" w14:textId="77777777" w:rsidTr="00094F6F">
        <w:trPr>
          <w:trHeight w:val="340"/>
          <w:jc w:val="center"/>
        </w:trPr>
        <w:tc>
          <w:tcPr>
            <w:tcW w:w="9617" w:type="dxa"/>
            <w:gridSpan w:val="3"/>
            <w:shd w:val="clear" w:color="auto" w:fill="auto"/>
          </w:tcPr>
          <w:p w14:paraId="3A472B97"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01"/>
              <w:jc w:val="both"/>
              <w:rPr>
                <w:rFonts w:ascii="Times New Roman" w:hAnsi="Times New Roman"/>
                <w:sz w:val="24"/>
                <w:szCs w:val="24"/>
              </w:rPr>
            </w:pPr>
            <w:r w:rsidRPr="00D11BAB">
              <w:rPr>
                <w:rFonts w:ascii="Times New Roman" w:hAnsi="Times New Roman"/>
                <w:bCs/>
                <w:sz w:val="24"/>
                <w:szCs w:val="24"/>
                <w:lang w:eastAsia="en-US"/>
              </w:rPr>
              <w:t xml:space="preserve">Примечание – </w:t>
            </w:r>
            <w:r w:rsidRPr="00D11BAB">
              <w:rPr>
                <w:rFonts w:ascii="Times New Roman" w:hAnsi="Times New Roman"/>
                <w:bCs/>
                <w:sz w:val="24"/>
                <w:szCs w:val="24"/>
                <w:lang w:val="en-US" w:eastAsia="en-US"/>
              </w:rPr>
              <w:t>p</w:t>
            </w:r>
            <w:r w:rsidRPr="00D11BAB">
              <w:rPr>
                <w:rFonts w:ascii="Times New Roman" w:hAnsi="Times New Roman"/>
                <w:bCs/>
                <w:sz w:val="24"/>
                <w:szCs w:val="24"/>
                <w:lang w:eastAsia="en-US"/>
              </w:rPr>
              <w:t xml:space="preserve"> ˂0,05 уровень значимости для критерия Вилкоксона</w:t>
            </w:r>
          </w:p>
        </w:tc>
      </w:tr>
    </w:tbl>
    <w:p w14:paraId="1B0347A5"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p>
    <w:p w14:paraId="67E032CC"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D11BAB">
        <w:rPr>
          <w:rFonts w:ascii="Times New Roman" w:hAnsi="Times New Roman"/>
          <w:sz w:val="28"/>
          <w:szCs w:val="28"/>
        </w:rPr>
        <w:t xml:space="preserve">Таблица </w:t>
      </w:r>
      <w:r>
        <w:rPr>
          <w:rFonts w:ascii="Times New Roman" w:hAnsi="Times New Roman"/>
          <w:sz w:val="28"/>
          <w:szCs w:val="28"/>
        </w:rPr>
        <w:t>38</w:t>
      </w:r>
      <w:r w:rsidRPr="00D11BAB">
        <w:rPr>
          <w:rFonts w:ascii="Times New Roman" w:hAnsi="Times New Roman"/>
          <w:sz w:val="28"/>
          <w:szCs w:val="28"/>
        </w:rPr>
        <w:t xml:space="preserve"> – Результаты микробиологического исследования кала на дисбактериоз до и после комплексного лечения энтероколита</w:t>
      </w:r>
    </w:p>
    <w:p w14:paraId="1F099C3F" w14:textId="77777777" w:rsidR="00EF5CD6" w:rsidRPr="00BB1768"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tbl>
      <w:tblPr>
        <w:tblW w:w="9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0"/>
        <w:gridCol w:w="14"/>
        <w:gridCol w:w="1215"/>
        <w:gridCol w:w="1417"/>
        <w:gridCol w:w="1329"/>
        <w:gridCol w:w="14"/>
        <w:gridCol w:w="1776"/>
        <w:gridCol w:w="1276"/>
        <w:gridCol w:w="739"/>
      </w:tblGrid>
      <w:tr w:rsidR="00EF5CD6" w:rsidRPr="00D11BAB" w14:paraId="46C7299F" w14:textId="77777777" w:rsidTr="00094F6F">
        <w:trPr>
          <w:trHeight w:val="1351"/>
          <w:jc w:val="center"/>
        </w:trPr>
        <w:tc>
          <w:tcPr>
            <w:tcW w:w="1904" w:type="dxa"/>
            <w:gridSpan w:val="2"/>
            <w:vMerge w:val="restart"/>
            <w:shd w:val="clear" w:color="auto" w:fill="auto"/>
            <w:vAlign w:val="center"/>
          </w:tcPr>
          <w:p w14:paraId="4EBBD216" w14:textId="77777777" w:rsidR="00EF5CD6" w:rsidRPr="00D11BAB" w:rsidRDefault="00EF5CD6" w:rsidP="00094F6F">
            <w:pPr>
              <w:tabs>
                <w:tab w:val="left" w:pos="567"/>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Наименование микро организмов</w:t>
            </w:r>
          </w:p>
        </w:tc>
        <w:tc>
          <w:tcPr>
            <w:tcW w:w="1215" w:type="dxa"/>
            <w:vMerge w:val="restart"/>
            <w:shd w:val="clear" w:color="auto" w:fill="auto"/>
            <w:vAlign w:val="center"/>
          </w:tcPr>
          <w:p w14:paraId="16776E7C" w14:textId="77777777" w:rsidR="00EF5CD6" w:rsidRPr="00D11BAB" w:rsidRDefault="00EF5CD6" w:rsidP="00094F6F">
            <w:pPr>
              <w:tabs>
                <w:tab w:val="left" w:pos="567"/>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Норма</w:t>
            </w:r>
          </w:p>
        </w:tc>
        <w:tc>
          <w:tcPr>
            <w:tcW w:w="1417" w:type="dxa"/>
            <w:shd w:val="clear" w:color="auto" w:fill="auto"/>
            <w:vAlign w:val="center"/>
          </w:tcPr>
          <w:p w14:paraId="7ED6526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Количество микроорганизмов до лечения</w:t>
            </w:r>
          </w:p>
          <w:p w14:paraId="7F232A14"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w:t>
            </w:r>
            <w:proofErr w:type="gramStart"/>
            <w:r w:rsidRPr="00D11BAB">
              <w:rPr>
                <w:rFonts w:ascii="Times New Roman" w:hAnsi="Times New Roman"/>
                <w:sz w:val="24"/>
                <w:szCs w:val="24"/>
                <w:lang w:val="en-US"/>
              </w:rPr>
              <w:t>n</w:t>
            </w:r>
            <w:proofErr w:type="gramEnd"/>
            <w:r w:rsidRPr="00D11BAB">
              <w:rPr>
                <w:rFonts w:ascii="Times New Roman" w:hAnsi="Times New Roman"/>
                <w:sz w:val="24"/>
                <w:szCs w:val="24"/>
              </w:rPr>
              <w:t xml:space="preserve"> =58)</w:t>
            </w:r>
          </w:p>
        </w:tc>
        <w:tc>
          <w:tcPr>
            <w:tcW w:w="1329" w:type="dxa"/>
            <w:vMerge w:val="restart"/>
            <w:shd w:val="clear" w:color="auto" w:fill="auto"/>
            <w:vAlign w:val="center"/>
          </w:tcPr>
          <w:p w14:paraId="03122F3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proofErr w:type="spellStart"/>
            <w:r w:rsidRPr="00D11BAB">
              <w:rPr>
                <w:rFonts w:ascii="Times New Roman" w:hAnsi="Times New Roman"/>
                <w:sz w:val="24"/>
                <w:szCs w:val="24"/>
              </w:rPr>
              <w:t>Абс</w:t>
            </w:r>
            <w:proofErr w:type="spellEnd"/>
            <w:r w:rsidRPr="00D11BAB">
              <w:rPr>
                <w:rFonts w:ascii="Times New Roman" w:hAnsi="Times New Roman"/>
                <w:sz w:val="24"/>
                <w:szCs w:val="24"/>
              </w:rPr>
              <w:t xml:space="preserve"> (%) коли </w:t>
            </w:r>
            <w:proofErr w:type="spellStart"/>
            <w:r w:rsidRPr="00D11BAB">
              <w:rPr>
                <w:rFonts w:ascii="Times New Roman" w:hAnsi="Times New Roman"/>
                <w:sz w:val="24"/>
                <w:szCs w:val="24"/>
              </w:rPr>
              <w:t>чество</w:t>
            </w:r>
            <w:proofErr w:type="spellEnd"/>
            <w:r w:rsidRPr="00D11BAB">
              <w:rPr>
                <w:rFonts w:ascii="Times New Roman" w:hAnsi="Times New Roman"/>
                <w:sz w:val="24"/>
                <w:szCs w:val="24"/>
              </w:rPr>
              <w:t xml:space="preserve"> больных с бактериями ниже нормы</w:t>
            </w:r>
          </w:p>
        </w:tc>
        <w:tc>
          <w:tcPr>
            <w:tcW w:w="1790" w:type="dxa"/>
            <w:gridSpan w:val="2"/>
            <w:shd w:val="clear" w:color="auto" w:fill="auto"/>
            <w:vAlign w:val="center"/>
          </w:tcPr>
          <w:p w14:paraId="6BA909E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Количество микроорганизмов после лечения</w:t>
            </w:r>
          </w:p>
          <w:p w14:paraId="4EED7EA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w:t>
            </w:r>
            <w:proofErr w:type="gramStart"/>
            <w:r w:rsidRPr="00D11BAB">
              <w:rPr>
                <w:rFonts w:ascii="Times New Roman" w:hAnsi="Times New Roman"/>
                <w:sz w:val="24"/>
                <w:szCs w:val="24"/>
                <w:lang w:val="en-US"/>
              </w:rPr>
              <w:t>n</w:t>
            </w:r>
            <w:proofErr w:type="gramEnd"/>
            <w:r w:rsidRPr="00D11BAB">
              <w:rPr>
                <w:rFonts w:ascii="Times New Roman" w:hAnsi="Times New Roman"/>
                <w:sz w:val="24"/>
                <w:szCs w:val="24"/>
              </w:rPr>
              <w:t xml:space="preserve"> =58)</w:t>
            </w:r>
          </w:p>
        </w:tc>
        <w:tc>
          <w:tcPr>
            <w:tcW w:w="1276" w:type="dxa"/>
            <w:vMerge w:val="restart"/>
            <w:shd w:val="clear" w:color="auto" w:fill="auto"/>
            <w:vAlign w:val="center"/>
          </w:tcPr>
          <w:p w14:paraId="0820527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proofErr w:type="spellStart"/>
            <w:r w:rsidRPr="00D11BAB">
              <w:rPr>
                <w:rFonts w:ascii="Times New Roman" w:hAnsi="Times New Roman"/>
                <w:sz w:val="24"/>
                <w:szCs w:val="24"/>
              </w:rPr>
              <w:t>Абс</w:t>
            </w:r>
            <w:proofErr w:type="spellEnd"/>
            <w:r w:rsidRPr="00D11BAB">
              <w:rPr>
                <w:rFonts w:ascii="Times New Roman" w:hAnsi="Times New Roman"/>
                <w:sz w:val="24"/>
                <w:szCs w:val="24"/>
              </w:rPr>
              <w:t xml:space="preserve"> (%) коли </w:t>
            </w:r>
            <w:proofErr w:type="spellStart"/>
            <w:r w:rsidRPr="00D11BAB">
              <w:rPr>
                <w:rFonts w:ascii="Times New Roman" w:hAnsi="Times New Roman"/>
                <w:sz w:val="24"/>
                <w:szCs w:val="24"/>
              </w:rPr>
              <w:t>чество</w:t>
            </w:r>
            <w:proofErr w:type="spellEnd"/>
            <w:r w:rsidRPr="00D11BAB">
              <w:rPr>
                <w:rFonts w:ascii="Times New Roman" w:hAnsi="Times New Roman"/>
                <w:sz w:val="24"/>
                <w:szCs w:val="24"/>
              </w:rPr>
              <w:t xml:space="preserve"> больных с бактериями ниже нормы</w:t>
            </w:r>
          </w:p>
        </w:tc>
        <w:tc>
          <w:tcPr>
            <w:tcW w:w="739" w:type="dxa"/>
            <w:vMerge w:val="restart"/>
            <w:shd w:val="clear" w:color="auto" w:fill="auto"/>
            <w:vAlign w:val="center"/>
          </w:tcPr>
          <w:p w14:paraId="5B076C0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proofErr w:type="gramStart"/>
            <w:r w:rsidRPr="00D11BAB">
              <w:rPr>
                <w:rFonts w:ascii="Times New Roman" w:hAnsi="Times New Roman"/>
                <w:sz w:val="24"/>
                <w:szCs w:val="24"/>
              </w:rPr>
              <w:t>р</w:t>
            </w:r>
            <w:proofErr w:type="gramEnd"/>
          </w:p>
        </w:tc>
      </w:tr>
      <w:tr w:rsidR="00EF5CD6" w:rsidRPr="00D11BAB" w14:paraId="2C38E344" w14:textId="77777777" w:rsidTr="00094F6F">
        <w:trPr>
          <w:trHeight w:val="553"/>
          <w:jc w:val="center"/>
        </w:trPr>
        <w:tc>
          <w:tcPr>
            <w:tcW w:w="1904" w:type="dxa"/>
            <w:gridSpan w:val="2"/>
            <w:vMerge/>
            <w:shd w:val="clear" w:color="auto" w:fill="auto"/>
            <w:vAlign w:val="center"/>
          </w:tcPr>
          <w:p w14:paraId="619488A2" w14:textId="77777777" w:rsidR="00EF5CD6" w:rsidRPr="00D11BAB" w:rsidRDefault="00EF5CD6" w:rsidP="00094F6F">
            <w:pPr>
              <w:tabs>
                <w:tab w:val="left" w:pos="567"/>
              </w:tabs>
              <w:spacing w:after="0" w:line="240" w:lineRule="auto"/>
              <w:jc w:val="center"/>
              <w:rPr>
                <w:rFonts w:ascii="Times New Roman" w:hAnsi="Times New Roman"/>
                <w:sz w:val="24"/>
                <w:szCs w:val="24"/>
                <w:lang w:eastAsia="en-US"/>
              </w:rPr>
            </w:pPr>
          </w:p>
        </w:tc>
        <w:tc>
          <w:tcPr>
            <w:tcW w:w="1215" w:type="dxa"/>
            <w:vMerge/>
            <w:shd w:val="clear" w:color="auto" w:fill="auto"/>
            <w:vAlign w:val="center"/>
          </w:tcPr>
          <w:p w14:paraId="1A4AA0D2" w14:textId="77777777" w:rsidR="00EF5CD6" w:rsidRPr="00D11BAB" w:rsidRDefault="00EF5CD6" w:rsidP="00094F6F">
            <w:pPr>
              <w:tabs>
                <w:tab w:val="left" w:pos="567"/>
              </w:tabs>
              <w:spacing w:after="0" w:line="240" w:lineRule="auto"/>
              <w:jc w:val="center"/>
              <w:rPr>
                <w:rFonts w:ascii="Times New Roman" w:hAnsi="Times New Roman"/>
                <w:sz w:val="24"/>
                <w:szCs w:val="24"/>
                <w:lang w:eastAsia="en-US"/>
              </w:rPr>
            </w:pPr>
          </w:p>
        </w:tc>
        <w:tc>
          <w:tcPr>
            <w:tcW w:w="1417" w:type="dxa"/>
            <w:shd w:val="clear" w:color="auto" w:fill="auto"/>
            <w:vAlign w:val="center"/>
          </w:tcPr>
          <w:p w14:paraId="3C08565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5" w:right="-66"/>
              <w:jc w:val="center"/>
              <w:rPr>
                <w:rFonts w:ascii="Times New Roman" w:hAnsi="Times New Roman"/>
                <w:sz w:val="24"/>
                <w:szCs w:val="24"/>
              </w:rPr>
            </w:pPr>
            <w:r w:rsidRPr="00D11BAB">
              <w:rPr>
                <w:rFonts w:ascii="Times New Roman" w:hAnsi="Times New Roman"/>
                <w:sz w:val="24"/>
                <w:szCs w:val="24"/>
                <w:lang w:val="en-US"/>
              </w:rPr>
              <w:t>Me</w:t>
            </w:r>
            <w:r w:rsidRPr="00D11BAB">
              <w:rPr>
                <w:rFonts w:ascii="Times New Roman" w:hAnsi="Times New Roman"/>
                <w:sz w:val="24"/>
                <w:szCs w:val="24"/>
              </w:rPr>
              <w:t xml:space="preserve"> (</w:t>
            </w:r>
            <w:r w:rsidRPr="00D11BAB">
              <w:rPr>
                <w:rFonts w:ascii="Times New Roman" w:hAnsi="Times New Roman"/>
                <w:sz w:val="24"/>
                <w:szCs w:val="24"/>
                <w:lang w:val="en-US"/>
              </w:rPr>
              <w:t>Q2</w:t>
            </w:r>
            <w:r w:rsidRPr="00D11BAB">
              <w:rPr>
                <w:rFonts w:ascii="Times New Roman" w:hAnsi="Times New Roman"/>
                <w:sz w:val="24"/>
                <w:szCs w:val="24"/>
              </w:rPr>
              <w:t>;</w:t>
            </w:r>
            <w:r w:rsidRPr="00D11BAB">
              <w:rPr>
                <w:rFonts w:ascii="Times New Roman" w:hAnsi="Times New Roman"/>
                <w:sz w:val="24"/>
                <w:szCs w:val="24"/>
                <w:lang w:val="en-US"/>
              </w:rPr>
              <w:t xml:space="preserve"> Q4</w:t>
            </w:r>
            <w:r w:rsidRPr="00D11BAB">
              <w:rPr>
                <w:rFonts w:ascii="Times New Roman" w:hAnsi="Times New Roman"/>
                <w:sz w:val="24"/>
                <w:szCs w:val="24"/>
              </w:rPr>
              <w:t>)</w:t>
            </w:r>
          </w:p>
        </w:tc>
        <w:tc>
          <w:tcPr>
            <w:tcW w:w="1329" w:type="dxa"/>
            <w:vMerge/>
            <w:shd w:val="clear" w:color="auto" w:fill="auto"/>
          </w:tcPr>
          <w:p w14:paraId="26E4BDA4"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lang w:val="en-US"/>
              </w:rPr>
            </w:pPr>
          </w:p>
        </w:tc>
        <w:tc>
          <w:tcPr>
            <w:tcW w:w="1790" w:type="dxa"/>
            <w:gridSpan w:val="2"/>
            <w:shd w:val="clear" w:color="auto" w:fill="auto"/>
            <w:vAlign w:val="center"/>
          </w:tcPr>
          <w:p w14:paraId="304C1059"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Me</w:t>
            </w:r>
            <w:r w:rsidRPr="00D11BAB">
              <w:rPr>
                <w:rFonts w:ascii="Times New Roman" w:hAnsi="Times New Roman"/>
                <w:sz w:val="24"/>
                <w:szCs w:val="24"/>
              </w:rPr>
              <w:t xml:space="preserve"> (</w:t>
            </w:r>
            <w:r w:rsidRPr="00D11BAB">
              <w:rPr>
                <w:rFonts w:ascii="Times New Roman" w:hAnsi="Times New Roman"/>
                <w:sz w:val="24"/>
                <w:szCs w:val="24"/>
                <w:lang w:val="en-US"/>
              </w:rPr>
              <w:t>Q2</w:t>
            </w:r>
            <w:r w:rsidRPr="00D11BAB">
              <w:rPr>
                <w:rFonts w:ascii="Times New Roman" w:hAnsi="Times New Roman"/>
                <w:sz w:val="24"/>
                <w:szCs w:val="24"/>
              </w:rPr>
              <w:t>;</w:t>
            </w:r>
            <w:r w:rsidRPr="00D11BAB">
              <w:rPr>
                <w:rFonts w:ascii="Times New Roman" w:hAnsi="Times New Roman"/>
                <w:sz w:val="24"/>
                <w:szCs w:val="24"/>
                <w:lang w:val="en-US"/>
              </w:rPr>
              <w:t xml:space="preserve"> Q4</w:t>
            </w:r>
            <w:r w:rsidRPr="00D11BAB">
              <w:rPr>
                <w:rFonts w:ascii="Times New Roman" w:hAnsi="Times New Roman"/>
                <w:sz w:val="24"/>
                <w:szCs w:val="24"/>
              </w:rPr>
              <w:t>)</w:t>
            </w:r>
          </w:p>
        </w:tc>
        <w:tc>
          <w:tcPr>
            <w:tcW w:w="1276" w:type="dxa"/>
            <w:vMerge/>
            <w:shd w:val="clear" w:color="auto" w:fill="auto"/>
          </w:tcPr>
          <w:p w14:paraId="711C0304"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tc>
        <w:tc>
          <w:tcPr>
            <w:tcW w:w="739" w:type="dxa"/>
            <w:vMerge/>
            <w:shd w:val="clear" w:color="auto" w:fill="auto"/>
          </w:tcPr>
          <w:p w14:paraId="5AACA4B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tc>
      </w:tr>
      <w:tr w:rsidR="00EF5CD6" w:rsidRPr="00D11BAB" w14:paraId="73A21EA4" w14:textId="77777777" w:rsidTr="00094F6F">
        <w:trPr>
          <w:trHeight w:val="54"/>
          <w:jc w:val="center"/>
        </w:trPr>
        <w:tc>
          <w:tcPr>
            <w:tcW w:w="9670" w:type="dxa"/>
            <w:gridSpan w:val="9"/>
            <w:shd w:val="clear" w:color="auto" w:fill="auto"/>
          </w:tcPr>
          <w:p w14:paraId="1D73842B"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Облигатная микрофлора кишечника</w:t>
            </w:r>
          </w:p>
        </w:tc>
      </w:tr>
      <w:tr w:rsidR="00EF5CD6" w:rsidRPr="00D11BAB" w14:paraId="5CCC3D07" w14:textId="77777777" w:rsidTr="00094F6F">
        <w:trPr>
          <w:trHeight w:val="630"/>
          <w:jc w:val="center"/>
        </w:trPr>
        <w:tc>
          <w:tcPr>
            <w:tcW w:w="1890" w:type="dxa"/>
            <w:shd w:val="clear" w:color="auto" w:fill="auto"/>
          </w:tcPr>
          <w:p w14:paraId="2D7E5C2F"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Бактерии рода Bifidobacterium</w:t>
            </w:r>
          </w:p>
        </w:tc>
        <w:tc>
          <w:tcPr>
            <w:tcW w:w="1229" w:type="dxa"/>
            <w:gridSpan w:val="2"/>
            <w:shd w:val="clear" w:color="auto" w:fill="auto"/>
          </w:tcPr>
          <w:p w14:paraId="63A35269"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vertAlign w:val="superscript"/>
                <w:lang w:eastAsia="en-US"/>
              </w:rPr>
            </w:pPr>
            <w:r w:rsidRPr="00D11BAB">
              <w:rPr>
                <w:rFonts w:ascii="Times New Roman" w:hAnsi="Times New Roman"/>
                <w:sz w:val="24"/>
                <w:szCs w:val="24"/>
                <w:lang w:eastAsia="en-US"/>
              </w:rPr>
              <w:t>Не менее 10</w:t>
            </w:r>
            <w:r w:rsidRPr="00D11BAB">
              <w:rPr>
                <w:rFonts w:ascii="Times New Roman" w:hAnsi="Times New Roman"/>
                <w:sz w:val="24"/>
                <w:szCs w:val="24"/>
                <w:vertAlign w:val="superscript"/>
                <w:lang w:eastAsia="en-US"/>
              </w:rPr>
              <w:t>7</w:t>
            </w:r>
            <w:r w:rsidRPr="00D11BAB">
              <w:rPr>
                <w:rFonts w:ascii="Times New Roman" w:hAnsi="Times New Roman"/>
                <w:sz w:val="24"/>
                <w:szCs w:val="24"/>
              </w:rPr>
              <w:t xml:space="preserve"> КОЕ/г</w:t>
            </w:r>
          </w:p>
        </w:tc>
        <w:tc>
          <w:tcPr>
            <w:tcW w:w="1417" w:type="dxa"/>
            <w:shd w:val="clear" w:color="auto" w:fill="auto"/>
          </w:tcPr>
          <w:p w14:paraId="0B9D7019"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31E21C6A"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 xml:space="preserve">   10</w:t>
            </w:r>
            <w:r w:rsidRPr="00D11BAB">
              <w:rPr>
                <w:rFonts w:ascii="Times New Roman" w:hAnsi="Times New Roman"/>
                <w:sz w:val="24"/>
                <w:szCs w:val="24"/>
                <w:vertAlign w:val="superscript"/>
              </w:rPr>
              <w:t xml:space="preserve">5 </w:t>
            </w:r>
            <w:r w:rsidRPr="00D11BAB">
              <w:rPr>
                <w:rFonts w:ascii="Times New Roman" w:hAnsi="Times New Roman"/>
                <w:sz w:val="24"/>
                <w:szCs w:val="24"/>
              </w:rPr>
              <w:t>КОЕ/г</w:t>
            </w:r>
          </w:p>
          <w:p w14:paraId="4A68E43A"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 xml:space="preserve">    (10</w:t>
            </w:r>
            <w:r w:rsidRPr="00D11BAB">
              <w:rPr>
                <w:rFonts w:ascii="Times New Roman" w:hAnsi="Times New Roman"/>
                <w:sz w:val="24"/>
                <w:szCs w:val="24"/>
                <w:vertAlign w:val="superscript"/>
                <w:lang w:val="kk-KZ"/>
              </w:rPr>
              <w:t>4</w:t>
            </w:r>
            <w:r w:rsidRPr="00D11BAB">
              <w:rPr>
                <w:rFonts w:ascii="Times New Roman" w:hAnsi="Times New Roman"/>
                <w:sz w:val="24"/>
                <w:szCs w:val="24"/>
              </w:rPr>
              <w:t>;10</w:t>
            </w:r>
            <w:r w:rsidRPr="00D11BAB">
              <w:rPr>
                <w:rFonts w:ascii="Times New Roman" w:hAnsi="Times New Roman"/>
                <w:sz w:val="24"/>
                <w:szCs w:val="24"/>
                <w:vertAlign w:val="superscript"/>
              </w:rPr>
              <w:t>6</w:t>
            </w:r>
            <w:r w:rsidRPr="00D11BAB">
              <w:rPr>
                <w:rFonts w:ascii="Times New Roman" w:hAnsi="Times New Roman"/>
                <w:sz w:val="24"/>
                <w:szCs w:val="24"/>
              </w:rPr>
              <w:t>)</w:t>
            </w:r>
          </w:p>
        </w:tc>
        <w:tc>
          <w:tcPr>
            <w:tcW w:w="1343" w:type="dxa"/>
            <w:gridSpan w:val="2"/>
            <w:shd w:val="clear" w:color="auto" w:fill="auto"/>
          </w:tcPr>
          <w:p w14:paraId="3508571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1C02EFC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37B5123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16(94)</w:t>
            </w:r>
          </w:p>
        </w:tc>
        <w:tc>
          <w:tcPr>
            <w:tcW w:w="1776" w:type="dxa"/>
            <w:shd w:val="clear" w:color="auto" w:fill="auto"/>
          </w:tcPr>
          <w:p w14:paraId="3887891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42A20B8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10</w:t>
            </w:r>
            <w:r w:rsidRPr="00D11BAB">
              <w:rPr>
                <w:rFonts w:ascii="Times New Roman" w:hAnsi="Times New Roman"/>
                <w:sz w:val="24"/>
                <w:szCs w:val="24"/>
                <w:vertAlign w:val="superscript"/>
              </w:rPr>
              <w:t>7</w:t>
            </w:r>
            <w:r w:rsidRPr="00D11BAB">
              <w:rPr>
                <w:rFonts w:ascii="Times New Roman" w:hAnsi="Times New Roman"/>
                <w:sz w:val="24"/>
                <w:szCs w:val="24"/>
              </w:rPr>
              <w:t xml:space="preserve"> КОЕ/г</w:t>
            </w:r>
          </w:p>
          <w:p w14:paraId="5DA1C07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(10</w:t>
            </w:r>
            <w:r w:rsidRPr="00D11BAB">
              <w:rPr>
                <w:rFonts w:ascii="Times New Roman" w:hAnsi="Times New Roman"/>
                <w:sz w:val="24"/>
                <w:szCs w:val="24"/>
                <w:vertAlign w:val="superscript"/>
              </w:rPr>
              <w:t xml:space="preserve">7 </w:t>
            </w:r>
            <w:r w:rsidRPr="00D11BAB">
              <w:rPr>
                <w:rFonts w:ascii="Times New Roman" w:hAnsi="Times New Roman"/>
                <w:sz w:val="24"/>
                <w:szCs w:val="24"/>
              </w:rPr>
              <w:t>;10</w:t>
            </w:r>
            <w:r w:rsidRPr="00D11BAB">
              <w:rPr>
                <w:rFonts w:ascii="Times New Roman" w:hAnsi="Times New Roman"/>
                <w:sz w:val="24"/>
                <w:szCs w:val="24"/>
                <w:vertAlign w:val="superscript"/>
              </w:rPr>
              <w:t>7</w:t>
            </w:r>
            <w:r w:rsidRPr="00D11BAB">
              <w:rPr>
                <w:rFonts w:ascii="Times New Roman" w:hAnsi="Times New Roman"/>
                <w:sz w:val="24"/>
                <w:szCs w:val="24"/>
              </w:rPr>
              <w:t>)</w:t>
            </w:r>
          </w:p>
        </w:tc>
        <w:tc>
          <w:tcPr>
            <w:tcW w:w="1276" w:type="dxa"/>
            <w:shd w:val="clear" w:color="auto" w:fill="auto"/>
          </w:tcPr>
          <w:p w14:paraId="21608CF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100B9D8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28A6B1F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1 (5,8)</w:t>
            </w:r>
          </w:p>
        </w:tc>
        <w:tc>
          <w:tcPr>
            <w:tcW w:w="739" w:type="dxa"/>
            <w:shd w:val="clear" w:color="auto" w:fill="auto"/>
          </w:tcPr>
          <w:p w14:paraId="1E06F30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0BA53AC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2" w:right="-27"/>
              <w:jc w:val="both"/>
              <w:rPr>
                <w:rFonts w:ascii="Times New Roman" w:hAnsi="Times New Roman"/>
                <w:sz w:val="24"/>
                <w:szCs w:val="24"/>
              </w:rPr>
            </w:pPr>
            <w:r w:rsidRPr="00D11BAB">
              <w:rPr>
                <w:rFonts w:ascii="Times New Roman" w:hAnsi="Times New Roman"/>
                <w:sz w:val="24"/>
                <w:szCs w:val="24"/>
              </w:rPr>
              <w:t>˂0,05</w:t>
            </w:r>
          </w:p>
        </w:tc>
      </w:tr>
      <w:tr w:rsidR="00EF5CD6" w:rsidRPr="00D11BAB" w14:paraId="7ECCF896" w14:textId="77777777" w:rsidTr="00094F6F">
        <w:trPr>
          <w:trHeight w:val="614"/>
          <w:jc w:val="center"/>
        </w:trPr>
        <w:tc>
          <w:tcPr>
            <w:tcW w:w="1890" w:type="dxa"/>
            <w:tcBorders>
              <w:bottom w:val="nil"/>
            </w:tcBorders>
            <w:shd w:val="clear" w:color="auto" w:fill="auto"/>
          </w:tcPr>
          <w:p w14:paraId="224E2EDB"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Бактерии рода Lactobacterium</w:t>
            </w:r>
          </w:p>
        </w:tc>
        <w:tc>
          <w:tcPr>
            <w:tcW w:w="1229" w:type="dxa"/>
            <w:gridSpan w:val="2"/>
            <w:tcBorders>
              <w:bottom w:val="nil"/>
            </w:tcBorders>
            <w:shd w:val="clear" w:color="auto" w:fill="auto"/>
          </w:tcPr>
          <w:p w14:paraId="2C683DF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vertAlign w:val="superscript"/>
                <w:lang w:eastAsia="en-US"/>
              </w:rPr>
            </w:pPr>
            <w:r w:rsidRPr="00D11BAB">
              <w:rPr>
                <w:rFonts w:ascii="Times New Roman" w:hAnsi="Times New Roman"/>
                <w:sz w:val="24"/>
                <w:szCs w:val="24"/>
                <w:lang w:eastAsia="en-US"/>
              </w:rPr>
              <w:t>Не менее 10</w:t>
            </w:r>
            <w:r w:rsidRPr="00D11BAB">
              <w:rPr>
                <w:rFonts w:ascii="Times New Roman" w:hAnsi="Times New Roman"/>
                <w:sz w:val="24"/>
                <w:szCs w:val="24"/>
                <w:vertAlign w:val="superscript"/>
                <w:lang w:eastAsia="en-US"/>
              </w:rPr>
              <w:t>7</w:t>
            </w:r>
            <w:r w:rsidRPr="00D11BAB">
              <w:rPr>
                <w:rFonts w:ascii="Times New Roman" w:hAnsi="Times New Roman"/>
                <w:sz w:val="24"/>
                <w:szCs w:val="24"/>
              </w:rPr>
              <w:t xml:space="preserve"> КОЕ/г</w:t>
            </w:r>
          </w:p>
        </w:tc>
        <w:tc>
          <w:tcPr>
            <w:tcW w:w="1417" w:type="dxa"/>
            <w:tcBorders>
              <w:bottom w:val="nil"/>
            </w:tcBorders>
            <w:shd w:val="clear" w:color="auto" w:fill="auto"/>
          </w:tcPr>
          <w:p w14:paraId="361DB4E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2CB1ADA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 xml:space="preserve">   10</w:t>
            </w:r>
            <w:r w:rsidRPr="00D11BAB">
              <w:rPr>
                <w:rFonts w:ascii="Times New Roman" w:hAnsi="Times New Roman"/>
                <w:sz w:val="24"/>
                <w:szCs w:val="24"/>
                <w:vertAlign w:val="superscript"/>
                <w:lang w:val="en-US"/>
              </w:rPr>
              <w:t>4</w:t>
            </w:r>
            <w:r w:rsidRPr="00D11BAB">
              <w:rPr>
                <w:rFonts w:ascii="Times New Roman" w:hAnsi="Times New Roman"/>
                <w:sz w:val="24"/>
                <w:szCs w:val="24"/>
                <w:vertAlign w:val="superscript"/>
              </w:rPr>
              <w:t xml:space="preserve"> </w:t>
            </w:r>
            <w:r w:rsidRPr="00D11BAB">
              <w:rPr>
                <w:rFonts w:ascii="Times New Roman" w:hAnsi="Times New Roman"/>
                <w:sz w:val="24"/>
                <w:szCs w:val="24"/>
              </w:rPr>
              <w:t>КОЕ/г</w:t>
            </w:r>
          </w:p>
          <w:p w14:paraId="3760A2AF"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 xml:space="preserve">    (10</w:t>
            </w:r>
            <w:r w:rsidRPr="00D11BAB">
              <w:rPr>
                <w:rFonts w:ascii="Times New Roman" w:hAnsi="Times New Roman"/>
                <w:sz w:val="24"/>
                <w:szCs w:val="24"/>
                <w:vertAlign w:val="superscript"/>
              </w:rPr>
              <w:t>3</w:t>
            </w:r>
            <w:r w:rsidRPr="00D11BAB">
              <w:rPr>
                <w:rFonts w:ascii="Times New Roman" w:hAnsi="Times New Roman"/>
                <w:sz w:val="24"/>
                <w:szCs w:val="24"/>
              </w:rPr>
              <w:t>-10</w:t>
            </w:r>
            <w:r w:rsidRPr="00D11BAB">
              <w:rPr>
                <w:rFonts w:ascii="Times New Roman" w:hAnsi="Times New Roman"/>
                <w:sz w:val="24"/>
                <w:szCs w:val="24"/>
                <w:vertAlign w:val="superscript"/>
              </w:rPr>
              <w:t>5</w:t>
            </w:r>
            <w:r w:rsidRPr="00D11BAB">
              <w:rPr>
                <w:rFonts w:ascii="Times New Roman" w:hAnsi="Times New Roman"/>
                <w:sz w:val="24"/>
                <w:szCs w:val="24"/>
              </w:rPr>
              <w:t>)</w:t>
            </w:r>
          </w:p>
        </w:tc>
        <w:tc>
          <w:tcPr>
            <w:tcW w:w="1343" w:type="dxa"/>
            <w:gridSpan w:val="2"/>
            <w:tcBorders>
              <w:bottom w:val="nil"/>
            </w:tcBorders>
            <w:shd w:val="clear" w:color="auto" w:fill="auto"/>
          </w:tcPr>
          <w:p w14:paraId="114DEF7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75E769AF"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49CE622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15(88)</w:t>
            </w:r>
          </w:p>
        </w:tc>
        <w:tc>
          <w:tcPr>
            <w:tcW w:w="1776" w:type="dxa"/>
            <w:tcBorders>
              <w:bottom w:val="nil"/>
            </w:tcBorders>
            <w:shd w:val="clear" w:color="auto" w:fill="auto"/>
          </w:tcPr>
          <w:p w14:paraId="0D98242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20AF7F34"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10</w:t>
            </w:r>
            <w:r w:rsidRPr="00D11BAB">
              <w:rPr>
                <w:rFonts w:ascii="Times New Roman" w:hAnsi="Times New Roman"/>
                <w:sz w:val="24"/>
                <w:szCs w:val="24"/>
                <w:vertAlign w:val="superscript"/>
              </w:rPr>
              <w:t>7</w:t>
            </w:r>
            <w:r w:rsidRPr="00D11BAB">
              <w:rPr>
                <w:rFonts w:ascii="Times New Roman" w:hAnsi="Times New Roman"/>
                <w:sz w:val="24"/>
                <w:szCs w:val="24"/>
              </w:rPr>
              <w:t xml:space="preserve"> КОЕ/г</w:t>
            </w:r>
          </w:p>
          <w:p w14:paraId="07AFA69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(10</w:t>
            </w:r>
            <w:r w:rsidRPr="00D11BAB">
              <w:rPr>
                <w:rFonts w:ascii="Times New Roman" w:hAnsi="Times New Roman"/>
                <w:sz w:val="24"/>
                <w:szCs w:val="24"/>
                <w:vertAlign w:val="superscript"/>
              </w:rPr>
              <w:t>6</w:t>
            </w:r>
            <w:r w:rsidRPr="00D11BAB">
              <w:rPr>
                <w:rFonts w:ascii="Times New Roman" w:hAnsi="Times New Roman"/>
                <w:sz w:val="24"/>
                <w:szCs w:val="24"/>
              </w:rPr>
              <w:t>-10</w:t>
            </w:r>
            <w:r w:rsidRPr="00D11BAB">
              <w:rPr>
                <w:rFonts w:ascii="Times New Roman" w:hAnsi="Times New Roman"/>
                <w:sz w:val="24"/>
                <w:szCs w:val="24"/>
                <w:vertAlign w:val="superscript"/>
                <w:lang w:val="en-US"/>
              </w:rPr>
              <w:t>7</w:t>
            </w:r>
            <w:r w:rsidRPr="00D11BAB">
              <w:rPr>
                <w:rFonts w:ascii="Times New Roman" w:hAnsi="Times New Roman"/>
                <w:sz w:val="24"/>
                <w:szCs w:val="24"/>
              </w:rPr>
              <w:t>)</w:t>
            </w:r>
          </w:p>
        </w:tc>
        <w:tc>
          <w:tcPr>
            <w:tcW w:w="1276" w:type="dxa"/>
            <w:tcBorders>
              <w:bottom w:val="nil"/>
            </w:tcBorders>
            <w:shd w:val="clear" w:color="auto" w:fill="auto"/>
          </w:tcPr>
          <w:p w14:paraId="78979BC4"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6B3F9A0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0204C0B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0</w:t>
            </w:r>
          </w:p>
        </w:tc>
        <w:tc>
          <w:tcPr>
            <w:tcW w:w="739" w:type="dxa"/>
            <w:tcBorders>
              <w:bottom w:val="nil"/>
            </w:tcBorders>
            <w:shd w:val="clear" w:color="auto" w:fill="auto"/>
          </w:tcPr>
          <w:p w14:paraId="0B61A238"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3B98F63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762B865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2" w:right="-69"/>
              <w:jc w:val="both"/>
              <w:rPr>
                <w:rFonts w:ascii="Times New Roman" w:hAnsi="Times New Roman"/>
                <w:sz w:val="24"/>
                <w:szCs w:val="24"/>
              </w:rPr>
            </w:pPr>
            <w:r w:rsidRPr="00D11BAB">
              <w:rPr>
                <w:rFonts w:ascii="Times New Roman" w:hAnsi="Times New Roman"/>
                <w:sz w:val="24"/>
                <w:szCs w:val="24"/>
              </w:rPr>
              <w:t>˂0,05</w:t>
            </w:r>
          </w:p>
        </w:tc>
      </w:tr>
      <w:tr w:rsidR="00EF5CD6" w:rsidRPr="00D11BAB" w14:paraId="208AA6C7" w14:textId="77777777" w:rsidTr="00094F6F">
        <w:trPr>
          <w:trHeight w:val="840"/>
          <w:jc w:val="center"/>
        </w:trPr>
        <w:tc>
          <w:tcPr>
            <w:tcW w:w="1890" w:type="dxa"/>
            <w:vMerge w:val="restart"/>
            <w:tcBorders>
              <w:top w:val="single" w:sz="4" w:space="0" w:color="auto"/>
            </w:tcBorders>
            <w:shd w:val="clear" w:color="auto" w:fill="auto"/>
          </w:tcPr>
          <w:p w14:paraId="18699BF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Условно-патогенная микрофлора кишечника</w:t>
            </w:r>
          </w:p>
        </w:tc>
        <w:tc>
          <w:tcPr>
            <w:tcW w:w="1229" w:type="dxa"/>
            <w:gridSpan w:val="2"/>
            <w:vMerge w:val="restart"/>
            <w:tcBorders>
              <w:top w:val="single" w:sz="4" w:space="0" w:color="auto"/>
            </w:tcBorders>
            <w:shd w:val="clear" w:color="auto" w:fill="auto"/>
          </w:tcPr>
          <w:p w14:paraId="2691F86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 xml:space="preserve">Норма </w:t>
            </w:r>
          </w:p>
        </w:tc>
        <w:tc>
          <w:tcPr>
            <w:tcW w:w="1417" w:type="dxa"/>
            <w:tcBorders>
              <w:top w:val="single" w:sz="4" w:space="0" w:color="auto"/>
            </w:tcBorders>
            <w:shd w:val="clear" w:color="auto" w:fill="auto"/>
          </w:tcPr>
          <w:p w14:paraId="48F24EF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КОЕ/г</w:t>
            </w:r>
          </w:p>
        </w:tc>
        <w:tc>
          <w:tcPr>
            <w:tcW w:w="1343" w:type="dxa"/>
            <w:gridSpan w:val="2"/>
            <w:vMerge w:val="restart"/>
            <w:tcBorders>
              <w:top w:val="single" w:sz="4" w:space="0" w:color="auto"/>
            </w:tcBorders>
            <w:shd w:val="clear" w:color="auto" w:fill="auto"/>
          </w:tcPr>
          <w:p w14:paraId="12CB6C1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77"/>
              <w:jc w:val="both"/>
              <w:rPr>
                <w:rFonts w:ascii="Times New Roman" w:hAnsi="Times New Roman"/>
                <w:sz w:val="24"/>
                <w:szCs w:val="24"/>
              </w:rPr>
            </w:pPr>
            <w:proofErr w:type="spellStart"/>
            <w:proofErr w:type="gramStart"/>
            <w:r w:rsidRPr="00D11BAB">
              <w:rPr>
                <w:rFonts w:ascii="Times New Roman" w:hAnsi="Times New Roman"/>
                <w:sz w:val="24"/>
                <w:szCs w:val="24"/>
              </w:rPr>
              <w:t>абс</w:t>
            </w:r>
            <w:proofErr w:type="spellEnd"/>
            <w:proofErr w:type="gramEnd"/>
            <w:r w:rsidRPr="00D11BAB">
              <w:rPr>
                <w:rFonts w:ascii="Times New Roman" w:hAnsi="Times New Roman"/>
                <w:sz w:val="24"/>
                <w:szCs w:val="24"/>
              </w:rPr>
              <w:t xml:space="preserve"> (%) ко </w:t>
            </w:r>
            <w:proofErr w:type="spellStart"/>
            <w:r w:rsidRPr="00D11BAB">
              <w:rPr>
                <w:rFonts w:ascii="Times New Roman" w:hAnsi="Times New Roman"/>
                <w:sz w:val="24"/>
                <w:szCs w:val="24"/>
              </w:rPr>
              <w:t>личество</w:t>
            </w:r>
            <w:proofErr w:type="spellEnd"/>
            <w:r w:rsidRPr="00D11BAB">
              <w:rPr>
                <w:rFonts w:ascii="Times New Roman" w:hAnsi="Times New Roman"/>
                <w:sz w:val="24"/>
                <w:szCs w:val="24"/>
              </w:rPr>
              <w:t xml:space="preserve"> больных с бактерия ми выше нормы</w:t>
            </w:r>
          </w:p>
        </w:tc>
        <w:tc>
          <w:tcPr>
            <w:tcW w:w="1776" w:type="dxa"/>
            <w:tcBorders>
              <w:top w:val="single" w:sz="4" w:space="0" w:color="auto"/>
            </w:tcBorders>
            <w:shd w:val="clear" w:color="auto" w:fill="auto"/>
          </w:tcPr>
          <w:p w14:paraId="20FF51FB"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КОЕ/г</w:t>
            </w:r>
          </w:p>
        </w:tc>
        <w:tc>
          <w:tcPr>
            <w:tcW w:w="1276" w:type="dxa"/>
            <w:vMerge w:val="restart"/>
            <w:tcBorders>
              <w:top w:val="single" w:sz="4" w:space="0" w:color="auto"/>
            </w:tcBorders>
            <w:shd w:val="clear" w:color="auto" w:fill="auto"/>
          </w:tcPr>
          <w:p w14:paraId="7DF8BB8F"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8" w:right="-52"/>
              <w:jc w:val="both"/>
              <w:rPr>
                <w:rFonts w:ascii="Times New Roman" w:hAnsi="Times New Roman"/>
                <w:sz w:val="24"/>
                <w:szCs w:val="24"/>
              </w:rPr>
            </w:pPr>
            <w:proofErr w:type="spellStart"/>
            <w:proofErr w:type="gramStart"/>
            <w:r w:rsidRPr="00D11BAB">
              <w:rPr>
                <w:rFonts w:ascii="Times New Roman" w:hAnsi="Times New Roman"/>
                <w:sz w:val="24"/>
                <w:szCs w:val="24"/>
              </w:rPr>
              <w:t>абс</w:t>
            </w:r>
            <w:proofErr w:type="spellEnd"/>
            <w:proofErr w:type="gramEnd"/>
            <w:r w:rsidRPr="00D11BAB">
              <w:rPr>
                <w:rFonts w:ascii="Times New Roman" w:hAnsi="Times New Roman"/>
                <w:sz w:val="24"/>
                <w:szCs w:val="24"/>
              </w:rPr>
              <w:t xml:space="preserve"> (%) ко </w:t>
            </w:r>
            <w:proofErr w:type="spellStart"/>
            <w:r w:rsidRPr="00D11BAB">
              <w:rPr>
                <w:rFonts w:ascii="Times New Roman" w:hAnsi="Times New Roman"/>
                <w:sz w:val="24"/>
                <w:szCs w:val="24"/>
              </w:rPr>
              <w:t>личество</w:t>
            </w:r>
            <w:proofErr w:type="spellEnd"/>
            <w:r w:rsidRPr="00D11BAB">
              <w:rPr>
                <w:rFonts w:ascii="Times New Roman" w:hAnsi="Times New Roman"/>
                <w:sz w:val="24"/>
                <w:szCs w:val="24"/>
              </w:rPr>
              <w:t xml:space="preserve"> больных с бактериями выше нормы</w:t>
            </w:r>
          </w:p>
        </w:tc>
        <w:tc>
          <w:tcPr>
            <w:tcW w:w="739" w:type="dxa"/>
            <w:vMerge w:val="restart"/>
            <w:tcBorders>
              <w:top w:val="single" w:sz="4" w:space="0" w:color="auto"/>
            </w:tcBorders>
            <w:shd w:val="clear" w:color="auto" w:fill="auto"/>
          </w:tcPr>
          <w:p w14:paraId="4A4051B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roofErr w:type="gramStart"/>
            <w:r w:rsidRPr="00D11BAB">
              <w:rPr>
                <w:rFonts w:ascii="Times New Roman" w:hAnsi="Times New Roman"/>
                <w:sz w:val="24"/>
                <w:szCs w:val="24"/>
              </w:rPr>
              <w:t>р</w:t>
            </w:r>
            <w:proofErr w:type="gramEnd"/>
          </w:p>
        </w:tc>
      </w:tr>
      <w:tr w:rsidR="00EF5CD6" w:rsidRPr="00D11BAB" w14:paraId="6906D5EE" w14:textId="77777777" w:rsidTr="00094F6F">
        <w:trPr>
          <w:trHeight w:val="579"/>
          <w:jc w:val="center"/>
        </w:trPr>
        <w:tc>
          <w:tcPr>
            <w:tcW w:w="1890" w:type="dxa"/>
            <w:vMerge/>
            <w:tcBorders>
              <w:bottom w:val="nil"/>
            </w:tcBorders>
            <w:shd w:val="clear" w:color="auto" w:fill="auto"/>
          </w:tcPr>
          <w:p w14:paraId="022CF1F8"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tc>
        <w:tc>
          <w:tcPr>
            <w:tcW w:w="1229" w:type="dxa"/>
            <w:gridSpan w:val="2"/>
            <w:vMerge/>
            <w:tcBorders>
              <w:bottom w:val="nil"/>
            </w:tcBorders>
            <w:shd w:val="clear" w:color="auto" w:fill="auto"/>
          </w:tcPr>
          <w:p w14:paraId="114B6A2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tc>
        <w:tc>
          <w:tcPr>
            <w:tcW w:w="1417" w:type="dxa"/>
            <w:tcBorders>
              <w:bottom w:val="nil"/>
            </w:tcBorders>
            <w:shd w:val="clear" w:color="auto" w:fill="auto"/>
          </w:tcPr>
          <w:p w14:paraId="1532F57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val="en-US"/>
              </w:rPr>
              <w:t>Me</w:t>
            </w:r>
            <w:r w:rsidRPr="00D11BAB">
              <w:rPr>
                <w:rFonts w:ascii="Times New Roman" w:hAnsi="Times New Roman"/>
                <w:sz w:val="24"/>
                <w:szCs w:val="24"/>
              </w:rPr>
              <w:t xml:space="preserve"> (</w:t>
            </w:r>
            <w:r w:rsidRPr="00D11BAB">
              <w:rPr>
                <w:rFonts w:ascii="Times New Roman" w:hAnsi="Times New Roman"/>
                <w:sz w:val="24"/>
                <w:szCs w:val="24"/>
                <w:lang w:val="en-US"/>
              </w:rPr>
              <w:t>Q2</w:t>
            </w:r>
            <w:r w:rsidRPr="00D11BAB">
              <w:rPr>
                <w:rFonts w:ascii="Times New Roman" w:hAnsi="Times New Roman"/>
                <w:sz w:val="24"/>
                <w:szCs w:val="24"/>
              </w:rPr>
              <w:t>;</w:t>
            </w:r>
            <w:r w:rsidRPr="00D11BAB">
              <w:rPr>
                <w:rFonts w:ascii="Times New Roman" w:hAnsi="Times New Roman"/>
                <w:sz w:val="24"/>
                <w:szCs w:val="24"/>
                <w:lang w:val="en-US"/>
              </w:rPr>
              <w:t xml:space="preserve"> Q4</w:t>
            </w:r>
            <w:r w:rsidRPr="00D11BAB">
              <w:rPr>
                <w:rFonts w:ascii="Times New Roman" w:hAnsi="Times New Roman"/>
                <w:sz w:val="24"/>
                <w:szCs w:val="24"/>
              </w:rPr>
              <w:t>)</w:t>
            </w:r>
          </w:p>
        </w:tc>
        <w:tc>
          <w:tcPr>
            <w:tcW w:w="1343" w:type="dxa"/>
            <w:gridSpan w:val="2"/>
            <w:vMerge/>
            <w:tcBorders>
              <w:bottom w:val="nil"/>
            </w:tcBorders>
            <w:shd w:val="clear" w:color="auto" w:fill="auto"/>
          </w:tcPr>
          <w:p w14:paraId="5F009F2A"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tc>
        <w:tc>
          <w:tcPr>
            <w:tcW w:w="1776" w:type="dxa"/>
            <w:tcBorders>
              <w:bottom w:val="nil"/>
            </w:tcBorders>
            <w:shd w:val="clear" w:color="auto" w:fill="auto"/>
          </w:tcPr>
          <w:p w14:paraId="35E6F788"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sz w:val="24"/>
                <w:szCs w:val="24"/>
              </w:rPr>
              <w:t xml:space="preserve">    </w:t>
            </w:r>
            <w:r w:rsidRPr="00D11BAB">
              <w:rPr>
                <w:rFonts w:ascii="Times New Roman" w:hAnsi="Times New Roman"/>
                <w:sz w:val="24"/>
                <w:szCs w:val="24"/>
                <w:lang w:val="en-US"/>
              </w:rPr>
              <w:t>Me</w:t>
            </w:r>
            <w:r w:rsidRPr="00D11BAB">
              <w:rPr>
                <w:rFonts w:ascii="Times New Roman" w:hAnsi="Times New Roman"/>
                <w:sz w:val="24"/>
                <w:szCs w:val="24"/>
              </w:rPr>
              <w:t xml:space="preserve"> (</w:t>
            </w:r>
            <w:r w:rsidRPr="00D11BAB">
              <w:rPr>
                <w:rFonts w:ascii="Times New Roman" w:hAnsi="Times New Roman"/>
                <w:sz w:val="24"/>
                <w:szCs w:val="24"/>
                <w:lang w:val="en-US"/>
              </w:rPr>
              <w:t>Q2</w:t>
            </w:r>
            <w:r w:rsidRPr="00D11BAB">
              <w:rPr>
                <w:rFonts w:ascii="Times New Roman" w:hAnsi="Times New Roman"/>
                <w:sz w:val="24"/>
                <w:szCs w:val="24"/>
              </w:rPr>
              <w:t>;</w:t>
            </w:r>
            <w:r w:rsidRPr="00D11BAB">
              <w:rPr>
                <w:rFonts w:ascii="Times New Roman" w:hAnsi="Times New Roman"/>
                <w:sz w:val="24"/>
                <w:szCs w:val="24"/>
                <w:lang w:val="en-US"/>
              </w:rPr>
              <w:t xml:space="preserve"> Q4</w:t>
            </w:r>
            <w:r w:rsidRPr="00D11BAB">
              <w:rPr>
                <w:rFonts w:ascii="Times New Roman" w:hAnsi="Times New Roman"/>
                <w:sz w:val="24"/>
                <w:szCs w:val="24"/>
              </w:rPr>
              <w:t>)</w:t>
            </w:r>
          </w:p>
        </w:tc>
        <w:tc>
          <w:tcPr>
            <w:tcW w:w="1276" w:type="dxa"/>
            <w:vMerge/>
            <w:tcBorders>
              <w:bottom w:val="nil"/>
            </w:tcBorders>
            <w:shd w:val="clear" w:color="auto" w:fill="auto"/>
          </w:tcPr>
          <w:p w14:paraId="78B2FE1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tc>
        <w:tc>
          <w:tcPr>
            <w:tcW w:w="739" w:type="dxa"/>
            <w:vMerge/>
            <w:tcBorders>
              <w:bottom w:val="nil"/>
            </w:tcBorders>
            <w:shd w:val="clear" w:color="auto" w:fill="auto"/>
          </w:tcPr>
          <w:p w14:paraId="05CB72F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tc>
      </w:tr>
      <w:tr w:rsidR="00EF5CD6" w:rsidRPr="00D11BAB" w14:paraId="287301A4" w14:textId="77777777" w:rsidTr="00094F6F">
        <w:trPr>
          <w:trHeight w:val="298"/>
          <w:jc w:val="center"/>
        </w:trPr>
        <w:tc>
          <w:tcPr>
            <w:tcW w:w="1890" w:type="dxa"/>
            <w:shd w:val="clear" w:color="auto" w:fill="auto"/>
          </w:tcPr>
          <w:p w14:paraId="464A07F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lang w:val="en-US"/>
              </w:rPr>
            </w:pPr>
            <w:r w:rsidRPr="00D11BAB">
              <w:rPr>
                <w:rFonts w:ascii="Times New Roman" w:hAnsi="Times New Roman"/>
                <w:bCs/>
                <w:sz w:val="24"/>
                <w:szCs w:val="24"/>
                <w:lang w:eastAsia="en-US"/>
              </w:rPr>
              <w:t xml:space="preserve">Бактерии рода </w:t>
            </w:r>
            <w:proofErr w:type="spellStart"/>
            <w:r w:rsidRPr="00D11BAB">
              <w:rPr>
                <w:rFonts w:ascii="Times New Roman" w:hAnsi="Times New Roman"/>
                <w:bCs/>
                <w:sz w:val="24"/>
                <w:szCs w:val="24"/>
                <w:lang w:eastAsia="en-US"/>
              </w:rPr>
              <w:t>Enterococcu</w:t>
            </w:r>
            <w:proofErr w:type="spellEnd"/>
            <w:r w:rsidRPr="00D11BAB">
              <w:rPr>
                <w:rFonts w:ascii="Times New Roman" w:hAnsi="Times New Roman"/>
                <w:bCs/>
                <w:sz w:val="24"/>
                <w:szCs w:val="24"/>
                <w:lang w:val="en-US" w:eastAsia="en-US"/>
              </w:rPr>
              <w:t>s</w:t>
            </w:r>
          </w:p>
        </w:tc>
        <w:tc>
          <w:tcPr>
            <w:tcW w:w="1229" w:type="dxa"/>
            <w:gridSpan w:val="2"/>
            <w:shd w:val="clear" w:color="auto" w:fill="auto"/>
            <w:vAlign w:val="center"/>
          </w:tcPr>
          <w:p w14:paraId="212170C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eastAsia="en-US"/>
              </w:rPr>
              <w:t>10</w:t>
            </w:r>
            <w:r w:rsidRPr="00D11BAB">
              <w:rPr>
                <w:rFonts w:ascii="Times New Roman" w:hAnsi="Times New Roman"/>
                <w:sz w:val="24"/>
                <w:szCs w:val="24"/>
                <w:vertAlign w:val="superscript"/>
                <w:lang w:eastAsia="en-US"/>
              </w:rPr>
              <w:t>5</w:t>
            </w:r>
            <w:r w:rsidRPr="00D11BAB">
              <w:rPr>
                <w:rFonts w:ascii="Times New Roman" w:hAnsi="Times New Roman"/>
                <w:sz w:val="24"/>
                <w:szCs w:val="24"/>
                <w:lang w:eastAsia="en-US"/>
              </w:rPr>
              <w:t>-10</w:t>
            </w:r>
            <w:r w:rsidRPr="00D11BAB">
              <w:rPr>
                <w:rFonts w:ascii="Times New Roman" w:hAnsi="Times New Roman"/>
                <w:sz w:val="24"/>
                <w:szCs w:val="24"/>
                <w:vertAlign w:val="superscript"/>
                <w:lang w:eastAsia="en-US"/>
              </w:rPr>
              <w:t>8</w:t>
            </w:r>
            <w:r w:rsidRPr="00D11BAB">
              <w:rPr>
                <w:rFonts w:ascii="Times New Roman" w:hAnsi="Times New Roman"/>
                <w:sz w:val="24"/>
                <w:szCs w:val="24"/>
              </w:rPr>
              <w:t xml:space="preserve"> КОЕ/г</w:t>
            </w:r>
          </w:p>
        </w:tc>
        <w:tc>
          <w:tcPr>
            <w:tcW w:w="1417" w:type="dxa"/>
            <w:shd w:val="clear" w:color="auto" w:fill="auto"/>
            <w:vAlign w:val="center"/>
          </w:tcPr>
          <w:p w14:paraId="1AEFF2B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vertAlign w:val="superscript"/>
              </w:rPr>
            </w:pPr>
            <w:r w:rsidRPr="00D11BAB">
              <w:rPr>
                <w:rFonts w:ascii="Times New Roman" w:hAnsi="Times New Roman"/>
                <w:sz w:val="24"/>
                <w:szCs w:val="24"/>
              </w:rPr>
              <w:t>10</w:t>
            </w:r>
            <w:r w:rsidRPr="00D11BAB">
              <w:rPr>
                <w:rFonts w:ascii="Times New Roman" w:hAnsi="Times New Roman"/>
                <w:sz w:val="24"/>
                <w:szCs w:val="24"/>
                <w:vertAlign w:val="superscript"/>
              </w:rPr>
              <w:t>9</w:t>
            </w:r>
          </w:p>
          <w:p w14:paraId="023EEBF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(10</w:t>
            </w:r>
            <w:r w:rsidRPr="00D11BAB">
              <w:rPr>
                <w:rFonts w:ascii="Times New Roman" w:hAnsi="Times New Roman"/>
                <w:sz w:val="24"/>
                <w:szCs w:val="24"/>
                <w:vertAlign w:val="superscript"/>
              </w:rPr>
              <w:t>8</w:t>
            </w:r>
            <w:r w:rsidRPr="00D11BAB">
              <w:rPr>
                <w:rFonts w:ascii="Times New Roman" w:hAnsi="Times New Roman"/>
                <w:sz w:val="24"/>
                <w:szCs w:val="24"/>
              </w:rPr>
              <w:t>-10</w:t>
            </w:r>
            <w:r w:rsidRPr="00D11BAB">
              <w:rPr>
                <w:rFonts w:ascii="Times New Roman" w:hAnsi="Times New Roman"/>
                <w:sz w:val="24"/>
                <w:szCs w:val="24"/>
                <w:vertAlign w:val="superscript"/>
              </w:rPr>
              <w:t>10</w:t>
            </w:r>
            <w:r w:rsidRPr="00D11BAB">
              <w:rPr>
                <w:rFonts w:ascii="Times New Roman" w:hAnsi="Times New Roman"/>
                <w:sz w:val="24"/>
                <w:szCs w:val="24"/>
              </w:rPr>
              <w:t>)</w:t>
            </w:r>
          </w:p>
        </w:tc>
        <w:tc>
          <w:tcPr>
            <w:tcW w:w="1343" w:type="dxa"/>
            <w:gridSpan w:val="2"/>
            <w:shd w:val="clear" w:color="auto" w:fill="auto"/>
            <w:vAlign w:val="center"/>
          </w:tcPr>
          <w:p w14:paraId="42F00168"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15(88)</w:t>
            </w:r>
          </w:p>
        </w:tc>
        <w:tc>
          <w:tcPr>
            <w:tcW w:w="1776" w:type="dxa"/>
            <w:shd w:val="clear" w:color="auto" w:fill="auto"/>
            <w:vAlign w:val="center"/>
          </w:tcPr>
          <w:p w14:paraId="0C72CAFA"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10</w:t>
            </w:r>
            <w:r w:rsidRPr="00D11BAB">
              <w:rPr>
                <w:rFonts w:ascii="Times New Roman" w:hAnsi="Times New Roman"/>
                <w:sz w:val="24"/>
                <w:szCs w:val="24"/>
                <w:vertAlign w:val="superscript"/>
              </w:rPr>
              <w:t>6</w:t>
            </w:r>
            <w:r w:rsidRPr="00D11BAB">
              <w:rPr>
                <w:rFonts w:ascii="Times New Roman" w:hAnsi="Times New Roman"/>
                <w:sz w:val="24"/>
                <w:szCs w:val="24"/>
              </w:rPr>
              <w:t xml:space="preserve"> КОЕ/г</w:t>
            </w:r>
          </w:p>
          <w:p w14:paraId="2AE19B49"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(10</w:t>
            </w:r>
            <w:r w:rsidRPr="00D11BAB">
              <w:rPr>
                <w:rFonts w:ascii="Times New Roman" w:hAnsi="Times New Roman"/>
                <w:sz w:val="24"/>
                <w:szCs w:val="24"/>
                <w:vertAlign w:val="superscript"/>
              </w:rPr>
              <w:t>5</w:t>
            </w:r>
            <w:r w:rsidRPr="00D11BAB">
              <w:rPr>
                <w:rFonts w:ascii="Times New Roman" w:hAnsi="Times New Roman"/>
                <w:sz w:val="24"/>
                <w:szCs w:val="24"/>
              </w:rPr>
              <w:t>-10</w:t>
            </w:r>
            <w:r w:rsidRPr="00D11BAB">
              <w:rPr>
                <w:rFonts w:ascii="Times New Roman" w:hAnsi="Times New Roman"/>
                <w:sz w:val="24"/>
                <w:szCs w:val="24"/>
                <w:vertAlign w:val="superscript"/>
                <w:lang w:val="en-US"/>
              </w:rPr>
              <w:t>7</w:t>
            </w:r>
            <w:r w:rsidRPr="00D11BAB">
              <w:rPr>
                <w:rFonts w:ascii="Times New Roman" w:hAnsi="Times New Roman"/>
                <w:sz w:val="24"/>
                <w:szCs w:val="24"/>
              </w:rPr>
              <w:t>)</w:t>
            </w:r>
          </w:p>
        </w:tc>
        <w:tc>
          <w:tcPr>
            <w:tcW w:w="1276" w:type="dxa"/>
            <w:shd w:val="clear" w:color="auto" w:fill="auto"/>
            <w:vAlign w:val="center"/>
          </w:tcPr>
          <w:p w14:paraId="2C0EF76B"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w:t>
            </w:r>
          </w:p>
        </w:tc>
        <w:tc>
          <w:tcPr>
            <w:tcW w:w="739" w:type="dxa"/>
            <w:shd w:val="clear" w:color="auto" w:fill="auto"/>
            <w:vAlign w:val="center"/>
          </w:tcPr>
          <w:p w14:paraId="55368AA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4"/>
              <w:jc w:val="center"/>
              <w:rPr>
                <w:rFonts w:ascii="Times New Roman" w:hAnsi="Times New Roman"/>
                <w:sz w:val="24"/>
                <w:szCs w:val="24"/>
              </w:rPr>
            </w:pPr>
            <w:r w:rsidRPr="00D11BAB">
              <w:rPr>
                <w:rFonts w:ascii="Times New Roman" w:hAnsi="Times New Roman"/>
                <w:sz w:val="24"/>
                <w:szCs w:val="24"/>
              </w:rPr>
              <w:t>˂0,05</w:t>
            </w:r>
          </w:p>
        </w:tc>
      </w:tr>
      <w:tr w:rsidR="00EF5CD6" w:rsidRPr="00D11BAB" w14:paraId="0427BD22" w14:textId="77777777" w:rsidTr="00094F6F">
        <w:trPr>
          <w:trHeight w:val="298"/>
          <w:jc w:val="center"/>
        </w:trPr>
        <w:tc>
          <w:tcPr>
            <w:tcW w:w="1890" w:type="dxa"/>
            <w:shd w:val="clear" w:color="auto" w:fill="auto"/>
          </w:tcPr>
          <w:p w14:paraId="5F12AE8B"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bCs/>
                <w:sz w:val="24"/>
                <w:szCs w:val="24"/>
                <w:lang w:eastAsia="en-US"/>
              </w:rPr>
              <w:t>E.coli с гемолитической активностью</w:t>
            </w:r>
          </w:p>
        </w:tc>
        <w:tc>
          <w:tcPr>
            <w:tcW w:w="1229" w:type="dxa"/>
            <w:gridSpan w:val="2"/>
            <w:shd w:val="clear" w:color="auto" w:fill="auto"/>
            <w:vAlign w:val="center"/>
          </w:tcPr>
          <w:p w14:paraId="6ABEECA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proofErr w:type="spellStart"/>
            <w:r w:rsidRPr="00D11BAB">
              <w:rPr>
                <w:rFonts w:ascii="Times New Roman" w:hAnsi="Times New Roman"/>
                <w:sz w:val="24"/>
                <w:szCs w:val="24"/>
                <w:lang w:eastAsia="en-US"/>
              </w:rPr>
              <w:t>Отсут</w:t>
            </w:r>
            <w:proofErr w:type="spellEnd"/>
            <w:r w:rsidRPr="00D11BAB">
              <w:rPr>
                <w:rFonts w:ascii="Times New Roman" w:hAnsi="Times New Roman"/>
                <w:sz w:val="24"/>
                <w:szCs w:val="24"/>
                <w:lang w:eastAsia="en-US"/>
              </w:rPr>
              <w:t xml:space="preserve"> </w:t>
            </w:r>
            <w:proofErr w:type="spellStart"/>
            <w:r w:rsidRPr="00D11BAB">
              <w:rPr>
                <w:rFonts w:ascii="Times New Roman" w:hAnsi="Times New Roman"/>
                <w:sz w:val="24"/>
                <w:szCs w:val="24"/>
                <w:lang w:eastAsia="en-US"/>
              </w:rPr>
              <w:t>ствие</w:t>
            </w:r>
            <w:proofErr w:type="spellEnd"/>
          </w:p>
        </w:tc>
        <w:tc>
          <w:tcPr>
            <w:tcW w:w="1417" w:type="dxa"/>
            <w:shd w:val="clear" w:color="auto" w:fill="auto"/>
            <w:vAlign w:val="center"/>
          </w:tcPr>
          <w:p w14:paraId="39899A8F"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vertAlign w:val="superscript"/>
              </w:rPr>
            </w:pPr>
            <w:r w:rsidRPr="00D11BAB">
              <w:rPr>
                <w:rFonts w:ascii="Times New Roman" w:hAnsi="Times New Roman"/>
                <w:sz w:val="24"/>
                <w:szCs w:val="24"/>
              </w:rPr>
              <w:t>8˖10</w:t>
            </w:r>
            <w:r w:rsidRPr="00D11BAB">
              <w:rPr>
                <w:rFonts w:ascii="Times New Roman" w:hAnsi="Times New Roman"/>
                <w:sz w:val="24"/>
                <w:szCs w:val="24"/>
                <w:vertAlign w:val="superscript"/>
              </w:rPr>
              <w:t>6</w:t>
            </w:r>
          </w:p>
          <w:p w14:paraId="6EFB3C4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vertAlign w:val="superscript"/>
              </w:rPr>
            </w:pPr>
            <w:r w:rsidRPr="00D11BAB">
              <w:rPr>
                <w:rFonts w:ascii="Times New Roman" w:hAnsi="Times New Roman"/>
                <w:sz w:val="24"/>
                <w:szCs w:val="24"/>
              </w:rPr>
              <w:t>(0;0)</w:t>
            </w:r>
          </w:p>
        </w:tc>
        <w:tc>
          <w:tcPr>
            <w:tcW w:w="1343" w:type="dxa"/>
            <w:gridSpan w:val="2"/>
            <w:shd w:val="clear" w:color="auto" w:fill="auto"/>
            <w:vAlign w:val="center"/>
          </w:tcPr>
          <w:p w14:paraId="3743A7CA"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7 (41,1)</w:t>
            </w:r>
          </w:p>
        </w:tc>
        <w:tc>
          <w:tcPr>
            <w:tcW w:w="1776" w:type="dxa"/>
            <w:shd w:val="clear" w:color="auto" w:fill="auto"/>
            <w:vAlign w:val="center"/>
          </w:tcPr>
          <w:p w14:paraId="3988B4F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w:t>
            </w:r>
          </w:p>
        </w:tc>
        <w:tc>
          <w:tcPr>
            <w:tcW w:w="1276" w:type="dxa"/>
            <w:shd w:val="clear" w:color="auto" w:fill="auto"/>
            <w:vAlign w:val="center"/>
          </w:tcPr>
          <w:p w14:paraId="4C92631B"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w:t>
            </w:r>
          </w:p>
        </w:tc>
        <w:tc>
          <w:tcPr>
            <w:tcW w:w="739" w:type="dxa"/>
            <w:shd w:val="clear" w:color="auto" w:fill="auto"/>
            <w:vAlign w:val="center"/>
          </w:tcPr>
          <w:p w14:paraId="26F0EFA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66"/>
              <w:jc w:val="center"/>
              <w:rPr>
                <w:rFonts w:ascii="Times New Roman" w:hAnsi="Times New Roman"/>
                <w:sz w:val="24"/>
                <w:szCs w:val="24"/>
              </w:rPr>
            </w:pPr>
            <w:r w:rsidRPr="00D11BAB">
              <w:rPr>
                <w:rFonts w:ascii="Times New Roman" w:hAnsi="Times New Roman"/>
                <w:sz w:val="24"/>
                <w:szCs w:val="24"/>
              </w:rPr>
              <w:t>˂0,05</w:t>
            </w:r>
          </w:p>
        </w:tc>
      </w:tr>
      <w:tr w:rsidR="00EF5CD6" w:rsidRPr="00D11BAB" w14:paraId="0861AC7C" w14:textId="77777777" w:rsidTr="00094F6F">
        <w:trPr>
          <w:trHeight w:val="1261"/>
          <w:jc w:val="center"/>
        </w:trPr>
        <w:tc>
          <w:tcPr>
            <w:tcW w:w="1890" w:type="dxa"/>
            <w:shd w:val="clear" w:color="auto" w:fill="auto"/>
          </w:tcPr>
          <w:p w14:paraId="038F697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bCs/>
                <w:sz w:val="24"/>
                <w:szCs w:val="24"/>
                <w:lang w:eastAsia="en-US"/>
              </w:rPr>
              <w:t xml:space="preserve">Удельный вес </w:t>
            </w:r>
            <w:proofErr w:type="spellStart"/>
            <w:r w:rsidRPr="00D11BAB">
              <w:rPr>
                <w:rFonts w:ascii="Times New Roman" w:hAnsi="Times New Roman"/>
                <w:bCs/>
                <w:sz w:val="24"/>
                <w:szCs w:val="24"/>
                <w:lang w:eastAsia="en-US"/>
              </w:rPr>
              <w:t>лактозонегативных</w:t>
            </w:r>
            <w:proofErr w:type="spellEnd"/>
            <w:r w:rsidRPr="00D11BAB">
              <w:rPr>
                <w:rFonts w:ascii="Times New Roman" w:hAnsi="Times New Roman"/>
                <w:bCs/>
                <w:sz w:val="24"/>
                <w:szCs w:val="24"/>
                <w:lang w:eastAsia="en-US"/>
              </w:rPr>
              <w:t xml:space="preserve"> E.coli от общего </w:t>
            </w:r>
            <w:proofErr w:type="spellStart"/>
            <w:r w:rsidRPr="00D11BAB">
              <w:rPr>
                <w:rFonts w:ascii="Times New Roman" w:hAnsi="Times New Roman"/>
                <w:bCs/>
                <w:sz w:val="24"/>
                <w:szCs w:val="24"/>
                <w:lang w:eastAsia="en-US"/>
              </w:rPr>
              <w:t>количе</w:t>
            </w:r>
            <w:proofErr w:type="spellEnd"/>
            <w:r w:rsidRPr="00D11BAB">
              <w:rPr>
                <w:rFonts w:ascii="Times New Roman" w:hAnsi="Times New Roman"/>
                <w:bCs/>
                <w:sz w:val="24"/>
                <w:szCs w:val="24"/>
                <w:lang w:eastAsia="en-US"/>
              </w:rPr>
              <w:t xml:space="preserve"> </w:t>
            </w:r>
            <w:proofErr w:type="spellStart"/>
            <w:r w:rsidRPr="00D11BAB">
              <w:rPr>
                <w:rFonts w:ascii="Times New Roman" w:hAnsi="Times New Roman"/>
                <w:bCs/>
                <w:sz w:val="24"/>
                <w:szCs w:val="24"/>
                <w:lang w:eastAsia="en-US"/>
              </w:rPr>
              <w:t>ства</w:t>
            </w:r>
            <w:proofErr w:type="spellEnd"/>
            <w:r w:rsidRPr="00D11BAB">
              <w:rPr>
                <w:rFonts w:ascii="Times New Roman" w:hAnsi="Times New Roman"/>
                <w:bCs/>
                <w:sz w:val="24"/>
                <w:szCs w:val="24"/>
                <w:lang w:eastAsia="en-US"/>
              </w:rPr>
              <w:t xml:space="preserve"> E.coli %</w:t>
            </w:r>
          </w:p>
        </w:tc>
        <w:tc>
          <w:tcPr>
            <w:tcW w:w="1229" w:type="dxa"/>
            <w:gridSpan w:val="2"/>
            <w:shd w:val="clear" w:color="auto" w:fill="auto"/>
            <w:vAlign w:val="center"/>
          </w:tcPr>
          <w:p w14:paraId="2FCCCE59"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vertAlign w:val="superscript"/>
              </w:rPr>
            </w:pPr>
            <w:r w:rsidRPr="00D11BAB">
              <w:rPr>
                <w:rFonts w:ascii="Times New Roman" w:hAnsi="Times New Roman"/>
                <w:sz w:val="24"/>
                <w:szCs w:val="24"/>
                <w:lang w:eastAsia="en-US"/>
              </w:rPr>
              <w:t>Менее 10</w:t>
            </w:r>
            <w:r w:rsidRPr="00D11BAB">
              <w:rPr>
                <w:rFonts w:ascii="Times New Roman" w:hAnsi="Times New Roman"/>
                <w:sz w:val="24"/>
                <w:szCs w:val="24"/>
                <w:vertAlign w:val="superscript"/>
                <w:lang w:eastAsia="en-US"/>
              </w:rPr>
              <w:t>5</w:t>
            </w:r>
          </w:p>
        </w:tc>
        <w:tc>
          <w:tcPr>
            <w:tcW w:w="1417" w:type="dxa"/>
            <w:shd w:val="clear" w:color="auto" w:fill="auto"/>
            <w:vAlign w:val="center"/>
          </w:tcPr>
          <w:p w14:paraId="5F14EBF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vertAlign w:val="superscript"/>
                <w:lang w:eastAsia="en-US"/>
              </w:rPr>
            </w:pPr>
            <w:r w:rsidRPr="00D11BAB">
              <w:rPr>
                <w:rFonts w:ascii="Times New Roman" w:hAnsi="Times New Roman"/>
                <w:sz w:val="24"/>
                <w:szCs w:val="24"/>
                <w:lang w:eastAsia="en-US"/>
              </w:rPr>
              <w:t>3</w:t>
            </w:r>
            <w:r w:rsidRPr="00D11BAB">
              <w:rPr>
                <w:rFonts w:ascii="Times New Roman" w:hAnsi="Times New Roman"/>
                <w:sz w:val="24"/>
                <w:szCs w:val="24"/>
              </w:rPr>
              <w:t>˖</w:t>
            </w:r>
            <w:r w:rsidRPr="00D11BAB">
              <w:rPr>
                <w:rFonts w:ascii="Times New Roman" w:hAnsi="Times New Roman"/>
                <w:sz w:val="24"/>
                <w:szCs w:val="24"/>
                <w:lang w:eastAsia="en-US"/>
              </w:rPr>
              <w:t>10</w:t>
            </w:r>
            <w:r w:rsidRPr="00D11BAB">
              <w:rPr>
                <w:rFonts w:ascii="Times New Roman" w:hAnsi="Times New Roman"/>
                <w:sz w:val="24"/>
                <w:szCs w:val="24"/>
                <w:vertAlign w:val="superscript"/>
                <w:lang w:eastAsia="en-US"/>
              </w:rPr>
              <w:t>5</w:t>
            </w:r>
          </w:p>
          <w:p w14:paraId="40AC84E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(0;0)</w:t>
            </w:r>
          </w:p>
        </w:tc>
        <w:tc>
          <w:tcPr>
            <w:tcW w:w="1343" w:type="dxa"/>
            <w:gridSpan w:val="2"/>
            <w:shd w:val="clear" w:color="auto" w:fill="auto"/>
            <w:vAlign w:val="center"/>
          </w:tcPr>
          <w:p w14:paraId="35741BB1"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1(5,8)</w:t>
            </w:r>
          </w:p>
        </w:tc>
        <w:tc>
          <w:tcPr>
            <w:tcW w:w="1776" w:type="dxa"/>
            <w:shd w:val="clear" w:color="auto" w:fill="auto"/>
            <w:vAlign w:val="center"/>
          </w:tcPr>
          <w:p w14:paraId="4257137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10</w:t>
            </w:r>
            <w:r w:rsidRPr="00D11BAB">
              <w:rPr>
                <w:rFonts w:ascii="Times New Roman" w:hAnsi="Times New Roman"/>
                <w:sz w:val="24"/>
                <w:szCs w:val="24"/>
                <w:vertAlign w:val="superscript"/>
                <w:lang w:eastAsia="en-US"/>
              </w:rPr>
              <w:t>5</w:t>
            </w:r>
          </w:p>
        </w:tc>
        <w:tc>
          <w:tcPr>
            <w:tcW w:w="1276" w:type="dxa"/>
            <w:shd w:val="clear" w:color="auto" w:fill="auto"/>
            <w:vAlign w:val="center"/>
          </w:tcPr>
          <w:p w14:paraId="21939979"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w:t>
            </w:r>
          </w:p>
        </w:tc>
        <w:tc>
          <w:tcPr>
            <w:tcW w:w="739" w:type="dxa"/>
            <w:shd w:val="clear" w:color="auto" w:fill="auto"/>
            <w:vAlign w:val="center"/>
          </w:tcPr>
          <w:p w14:paraId="3673827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8" w:right="-55"/>
              <w:jc w:val="center"/>
              <w:rPr>
                <w:rFonts w:ascii="Times New Roman" w:hAnsi="Times New Roman"/>
                <w:sz w:val="24"/>
                <w:szCs w:val="24"/>
              </w:rPr>
            </w:pPr>
            <w:r w:rsidRPr="00D11BAB">
              <w:rPr>
                <w:rFonts w:ascii="Times New Roman" w:hAnsi="Times New Roman"/>
                <w:sz w:val="24"/>
                <w:szCs w:val="24"/>
              </w:rPr>
              <w:t>˂0,05</w:t>
            </w:r>
          </w:p>
        </w:tc>
      </w:tr>
      <w:tr w:rsidR="00EF5CD6" w:rsidRPr="00D11BAB" w14:paraId="724BEA55" w14:textId="77777777" w:rsidTr="00094F6F">
        <w:trPr>
          <w:trHeight w:val="298"/>
          <w:jc w:val="center"/>
        </w:trPr>
        <w:tc>
          <w:tcPr>
            <w:tcW w:w="1890" w:type="dxa"/>
            <w:shd w:val="clear" w:color="auto" w:fill="auto"/>
          </w:tcPr>
          <w:p w14:paraId="2622D7E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bCs/>
                <w:sz w:val="24"/>
                <w:szCs w:val="24"/>
                <w:lang w:eastAsia="en-US"/>
              </w:rPr>
              <w:t>Staphylococcus aureus</w:t>
            </w:r>
          </w:p>
        </w:tc>
        <w:tc>
          <w:tcPr>
            <w:tcW w:w="1229" w:type="dxa"/>
            <w:gridSpan w:val="2"/>
            <w:shd w:val="clear" w:color="auto" w:fill="auto"/>
            <w:vAlign w:val="center"/>
          </w:tcPr>
          <w:p w14:paraId="21C298D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eastAsia="en-US"/>
              </w:rPr>
              <w:t>Отсутствие</w:t>
            </w:r>
          </w:p>
        </w:tc>
        <w:tc>
          <w:tcPr>
            <w:tcW w:w="1417" w:type="dxa"/>
            <w:shd w:val="clear" w:color="auto" w:fill="auto"/>
            <w:vAlign w:val="center"/>
          </w:tcPr>
          <w:p w14:paraId="416EE9C4"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vertAlign w:val="superscript"/>
                <w:lang w:eastAsia="en-US"/>
              </w:rPr>
            </w:pPr>
            <w:r w:rsidRPr="00D11BAB">
              <w:rPr>
                <w:rFonts w:ascii="Times New Roman" w:hAnsi="Times New Roman"/>
                <w:sz w:val="24"/>
                <w:szCs w:val="24"/>
                <w:lang w:eastAsia="en-US"/>
              </w:rPr>
              <w:t>8</w:t>
            </w:r>
            <w:r w:rsidRPr="00D11BAB">
              <w:rPr>
                <w:rFonts w:ascii="Times New Roman" w:hAnsi="Times New Roman"/>
                <w:sz w:val="24"/>
                <w:szCs w:val="24"/>
              </w:rPr>
              <w:t>˖</w:t>
            </w:r>
            <w:r w:rsidRPr="00D11BAB">
              <w:rPr>
                <w:rFonts w:ascii="Times New Roman" w:hAnsi="Times New Roman"/>
                <w:sz w:val="24"/>
                <w:szCs w:val="24"/>
                <w:lang w:eastAsia="en-US"/>
              </w:rPr>
              <w:t>10</w:t>
            </w:r>
            <w:r w:rsidRPr="00D11BAB">
              <w:rPr>
                <w:rFonts w:ascii="Times New Roman" w:hAnsi="Times New Roman"/>
                <w:sz w:val="24"/>
                <w:szCs w:val="24"/>
                <w:vertAlign w:val="superscript"/>
                <w:lang w:eastAsia="en-US"/>
              </w:rPr>
              <w:t>4</w:t>
            </w:r>
          </w:p>
          <w:p w14:paraId="570AE6B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(0;0)</w:t>
            </w:r>
          </w:p>
        </w:tc>
        <w:tc>
          <w:tcPr>
            <w:tcW w:w="1343" w:type="dxa"/>
            <w:gridSpan w:val="2"/>
            <w:shd w:val="clear" w:color="auto" w:fill="auto"/>
            <w:vAlign w:val="center"/>
          </w:tcPr>
          <w:p w14:paraId="58428EAA"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3(17,8)</w:t>
            </w:r>
          </w:p>
        </w:tc>
        <w:tc>
          <w:tcPr>
            <w:tcW w:w="1776" w:type="dxa"/>
            <w:shd w:val="clear" w:color="auto" w:fill="auto"/>
            <w:vAlign w:val="center"/>
          </w:tcPr>
          <w:p w14:paraId="0C67FDD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2˖</w:t>
            </w:r>
            <w:r w:rsidRPr="00D11BAB">
              <w:rPr>
                <w:rFonts w:ascii="Times New Roman" w:hAnsi="Times New Roman"/>
                <w:sz w:val="24"/>
                <w:szCs w:val="24"/>
                <w:lang w:eastAsia="en-US"/>
              </w:rPr>
              <w:t>10</w:t>
            </w:r>
            <w:r w:rsidRPr="00D11BAB">
              <w:rPr>
                <w:rFonts w:ascii="Times New Roman" w:hAnsi="Times New Roman"/>
                <w:sz w:val="24"/>
                <w:szCs w:val="24"/>
                <w:vertAlign w:val="superscript"/>
                <w:lang w:eastAsia="en-US"/>
              </w:rPr>
              <w:t>4</w:t>
            </w:r>
          </w:p>
        </w:tc>
        <w:tc>
          <w:tcPr>
            <w:tcW w:w="1276" w:type="dxa"/>
            <w:shd w:val="clear" w:color="auto" w:fill="auto"/>
            <w:vAlign w:val="center"/>
          </w:tcPr>
          <w:p w14:paraId="0C818157"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4 (23,5)</w:t>
            </w:r>
          </w:p>
        </w:tc>
        <w:tc>
          <w:tcPr>
            <w:tcW w:w="739" w:type="dxa"/>
            <w:shd w:val="clear" w:color="auto" w:fill="auto"/>
            <w:vAlign w:val="center"/>
          </w:tcPr>
          <w:p w14:paraId="5F4B997B"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8" w:right="-55"/>
              <w:jc w:val="center"/>
              <w:rPr>
                <w:rFonts w:ascii="Times New Roman" w:hAnsi="Times New Roman"/>
                <w:sz w:val="24"/>
                <w:szCs w:val="24"/>
              </w:rPr>
            </w:pPr>
            <w:r w:rsidRPr="00D11BAB">
              <w:rPr>
                <w:rFonts w:ascii="Times New Roman" w:hAnsi="Times New Roman"/>
                <w:sz w:val="24"/>
                <w:szCs w:val="24"/>
              </w:rPr>
              <w:t>˃0,05</w:t>
            </w:r>
          </w:p>
        </w:tc>
      </w:tr>
      <w:tr w:rsidR="00EF5CD6" w:rsidRPr="00D11BAB" w14:paraId="46D45153" w14:textId="77777777" w:rsidTr="00094F6F">
        <w:trPr>
          <w:trHeight w:val="298"/>
          <w:jc w:val="center"/>
        </w:trPr>
        <w:tc>
          <w:tcPr>
            <w:tcW w:w="1890" w:type="dxa"/>
            <w:shd w:val="clear" w:color="auto" w:fill="auto"/>
          </w:tcPr>
          <w:p w14:paraId="6569B93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D11BAB">
              <w:rPr>
                <w:rFonts w:ascii="Times New Roman" w:hAnsi="Times New Roman"/>
                <w:bCs/>
                <w:sz w:val="24"/>
                <w:szCs w:val="24"/>
                <w:lang w:eastAsia="en-US"/>
              </w:rPr>
              <w:t>Грибы рода Candida</w:t>
            </w:r>
          </w:p>
        </w:tc>
        <w:tc>
          <w:tcPr>
            <w:tcW w:w="1229" w:type="dxa"/>
            <w:gridSpan w:val="2"/>
            <w:shd w:val="clear" w:color="auto" w:fill="auto"/>
            <w:vAlign w:val="center"/>
          </w:tcPr>
          <w:p w14:paraId="23F42477"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eastAsia="en-US"/>
              </w:rPr>
              <w:t>10</w:t>
            </w:r>
            <w:r w:rsidRPr="00D11BAB">
              <w:rPr>
                <w:rFonts w:ascii="Times New Roman" w:hAnsi="Times New Roman"/>
                <w:sz w:val="24"/>
                <w:szCs w:val="24"/>
                <w:vertAlign w:val="superscript"/>
                <w:lang w:eastAsia="en-US"/>
              </w:rPr>
              <w:t>5</w:t>
            </w:r>
            <w:r w:rsidRPr="00D11BAB">
              <w:rPr>
                <w:rFonts w:ascii="Times New Roman" w:hAnsi="Times New Roman"/>
                <w:sz w:val="24"/>
                <w:szCs w:val="24"/>
              </w:rPr>
              <w:t xml:space="preserve"> КОЕ/г</w:t>
            </w:r>
          </w:p>
        </w:tc>
        <w:tc>
          <w:tcPr>
            <w:tcW w:w="1417" w:type="dxa"/>
            <w:shd w:val="clear" w:color="auto" w:fill="auto"/>
            <w:vAlign w:val="center"/>
          </w:tcPr>
          <w:p w14:paraId="6827B1C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vertAlign w:val="superscript"/>
                <w:lang w:eastAsia="en-US"/>
              </w:rPr>
            </w:pPr>
            <w:r w:rsidRPr="00D11BAB">
              <w:rPr>
                <w:rFonts w:ascii="Times New Roman" w:hAnsi="Times New Roman"/>
                <w:sz w:val="24"/>
                <w:szCs w:val="24"/>
              </w:rPr>
              <w:t>3˖</w:t>
            </w:r>
            <w:r w:rsidRPr="00D11BAB">
              <w:rPr>
                <w:rFonts w:ascii="Times New Roman" w:hAnsi="Times New Roman"/>
                <w:sz w:val="24"/>
                <w:szCs w:val="24"/>
                <w:lang w:eastAsia="en-US"/>
              </w:rPr>
              <w:t>10</w:t>
            </w:r>
            <w:r w:rsidRPr="00D11BAB">
              <w:rPr>
                <w:rFonts w:ascii="Times New Roman" w:hAnsi="Times New Roman"/>
                <w:sz w:val="24"/>
                <w:szCs w:val="24"/>
                <w:vertAlign w:val="superscript"/>
                <w:lang w:eastAsia="en-US"/>
              </w:rPr>
              <w:t>5</w:t>
            </w:r>
          </w:p>
          <w:p w14:paraId="55DB591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(0;0)</w:t>
            </w:r>
          </w:p>
        </w:tc>
        <w:tc>
          <w:tcPr>
            <w:tcW w:w="1343" w:type="dxa"/>
            <w:gridSpan w:val="2"/>
            <w:shd w:val="clear" w:color="auto" w:fill="auto"/>
            <w:vAlign w:val="center"/>
          </w:tcPr>
          <w:p w14:paraId="5AF57343"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4(23,5)</w:t>
            </w:r>
          </w:p>
        </w:tc>
        <w:tc>
          <w:tcPr>
            <w:tcW w:w="1776" w:type="dxa"/>
            <w:shd w:val="clear" w:color="auto" w:fill="auto"/>
            <w:vAlign w:val="center"/>
          </w:tcPr>
          <w:p w14:paraId="1553BC1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lang w:eastAsia="en-US"/>
              </w:rPr>
              <w:t>10</w:t>
            </w:r>
            <w:r w:rsidRPr="00D11BAB">
              <w:rPr>
                <w:rFonts w:ascii="Times New Roman" w:hAnsi="Times New Roman"/>
                <w:sz w:val="24"/>
                <w:szCs w:val="24"/>
                <w:vertAlign w:val="superscript"/>
                <w:lang w:eastAsia="en-US"/>
              </w:rPr>
              <w:t>5</w:t>
            </w:r>
          </w:p>
        </w:tc>
        <w:tc>
          <w:tcPr>
            <w:tcW w:w="1276" w:type="dxa"/>
            <w:shd w:val="clear" w:color="auto" w:fill="auto"/>
            <w:vAlign w:val="center"/>
          </w:tcPr>
          <w:p w14:paraId="48647828"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rPr>
            </w:pPr>
            <w:r w:rsidRPr="00D11BAB">
              <w:rPr>
                <w:rFonts w:ascii="Times New Roman" w:hAnsi="Times New Roman"/>
                <w:sz w:val="24"/>
                <w:szCs w:val="24"/>
              </w:rPr>
              <w:t>0</w:t>
            </w:r>
          </w:p>
        </w:tc>
        <w:tc>
          <w:tcPr>
            <w:tcW w:w="739" w:type="dxa"/>
            <w:shd w:val="clear" w:color="auto" w:fill="auto"/>
            <w:vAlign w:val="center"/>
          </w:tcPr>
          <w:p w14:paraId="51626548"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8" w:right="-55"/>
              <w:jc w:val="center"/>
              <w:rPr>
                <w:rFonts w:ascii="Times New Roman" w:hAnsi="Times New Roman"/>
                <w:sz w:val="24"/>
                <w:szCs w:val="24"/>
              </w:rPr>
            </w:pPr>
            <w:r w:rsidRPr="00D11BAB">
              <w:rPr>
                <w:rFonts w:ascii="Times New Roman" w:hAnsi="Times New Roman"/>
                <w:sz w:val="24"/>
                <w:szCs w:val="24"/>
              </w:rPr>
              <w:t>˂0,05</w:t>
            </w:r>
          </w:p>
        </w:tc>
      </w:tr>
      <w:tr w:rsidR="00EF5CD6" w:rsidRPr="00D11BAB" w14:paraId="7F124771" w14:textId="77777777" w:rsidTr="00094F6F">
        <w:trPr>
          <w:trHeight w:val="298"/>
          <w:jc w:val="center"/>
        </w:trPr>
        <w:tc>
          <w:tcPr>
            <w:tcW w:w="9670" w:type="dxa"/>
            <w:gridSpan w:val="9"/>
            <w:shd w:val="clear" w:color="auto" w:fill="auto"/>
          </w:tcPr>
          <w:p w14:paraId="5A40B2A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06"/>
              <w:jc w:val="both"/>
              <w:rPr>
                <w:rFonts w:ascii="Times New Roman" w:hAnsi="Times New Roman"/>
                <w:sz w:val="24"/>
                <w:szCs w:val="24"/>
              </w:rPr>
            </w:pPr>
            <w:r w:rsidRPr="00D11BAB">
              <w:rPr>
                <w:rFonts w:ascii="Times New Roman" w:hAnsi="Times New Roman"/>
                <w:bCs/>
                <w:sz w:val="24"/>
                <w:szCs w:val="24"/>
                <w:lang w:eastAsia="en-US"/>
              </w:rPr>
              <w:t xml:space="preserve">Примечание – </w:t>
            </w:r>
            <w:r w:rsidRPr="00D11BAB">
              <w:rPr>
                <w:rFonts w:ascii="Times New Roman" w:hAnsi="Times New Roman"/>
                <w:bCs/>
                <w:sz w:val="24"/>
                <w:szCs w:val="24"/>
                <w:lang w:val="en-US" w:eastAsia="en-US"/>
              </w:rPr>
              <w:t>p</w:t>
            </w:r>
            <w:r w:rsidRPr="00D11BAB">
              <w:rPr>
                <w:rFonts w:ascii="Times New Roman" w:hAnsi="Times New Roman"/>
                <w:bCs/>
                <w:sz w:val="24"/>
                <w:szCs w:val="24"/>
                <w:lang w:eastAsia="en-US"/>
              </w:rPr>
              <w:t xml:space="preserve"> ˂0,05 уровень значимости для критерия Вилкоксона</w:t>
            </w:r>
          </w:p>
        </w:tc>
      </w:tr>
    </w:tbl>
    <w:p w14:paraId="7B4BC2A4"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b/>
          <w:bCs/>
          <w:sz w:val="28"/>
          <w:szCs w:val="28"/>
        </w:rPr>
      </w:pPr>
      <w:r>
        <w:rPr>
          <w:rFonts w:ascii="Times New Roman" w:hAnsi="Times New Roman"/>
          <w:b/>
          <w:bCs/>
          <w:sz w:val="28"/>
          <w:szCs w:val="28"/>
        </w:rPr>
        <w:lastRenderedPageBreak/>
        <w:t>4</w:t>
      </w:r>
      <w:r w:rsidRPr="00D11BAB">
        <w:rPr>
          <w:rFonts w:ascii="Times New Roman" w:hAnsi="Times New Roman"/>
          <w:b/>
          <w:bCs/>
          <w:sz w:val="28"/>
          <w:szCs w:val="28"/>
        </w:rPr>
        <w:t>.2 Прогностические факторы развития энтероколита после хирургического лечения злокачественных новообразований ободочной кишки</w:t>
      </w:r>
    </w:p>
    <w:p w14:paraId="071BFA9D"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Изучено влияние факторов на развитие энтероколита в реабилитационном периоде путем построения таблицы сопряженности с вычислением критерия Х</w:t>
      </w:r>
      <w:r w:rsidRPr="00D11BAB">
        <w:rPr>
          <w:rFonts w:ascii="Times New Roman" w:hAnsi="Times New Roman"/>
          <w:sz w:val="28"/>
          <w:szCs w:val="28"/>
          <w:vertAlign w:val="superscript"/>
        </w:rPr>
        <w:t>2</w:t>
      </w:r>
      <w:r w:rsidRPr="00D11BAB">
        <w:rPr>
          <w:rFonts w:ascii="Times New Roman" w:hAnsi="Times New Roman"/>
          <w:sz w:val="28"/>
          <w:szCs w:val="28"/>
        </w:rPr>
        <w:t xml:space="preserve">. Для сравнения групп по бинарному признаку построена таблица сопряженности, содержащая частоты для взаимоисключающих значений изучаемого бинарного признака в каждой из групп (таблица </w:t>
      </w:r>
      <w:r>
        <w:rPr>
          <w:rFonts w:ascii="Times New Roman" w:hAnsi="Times New Roman"/>
          <w:sz w:val="28"/>
          <w:szCs w:val="28"/>
        </w:rPr>
        <w:t>39</w:t>
      </w:r>
      <w:r w:rsidRPr="00D11BAB">
        <w:rPr>
          <w:rFonts w:ascii="Times New Roman" w:hAnsi="Times New Roman"/>
          <w:sz w:val="28"/>
          <w:szCs w:val="28"/>
        </w:rPr>
        <w:t xml:space="preserve">). </w:t>
      </w:r>
    </w:p>
    <w:p w14:paraId="576A0757"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19A87830"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D11BAB">
        <w:rPr>
          <w:rFonts w:ascii="Times New Roman" w:hAnsi="Times New Roman"/>
          <w:sz w:val="28"/>
          <w:szCs w:val="28"/>
        </w:rPr>
        <w:t xml:space="preserve">Таблица </w:t>
      </w:r>
      <w:r>
        <w:rPr>
          <w:rFonts w:ascii="Times New Roman" w:hAnsi="Times New Roman"/>
          <w:sz w:val="28"/>
          <w:szCs w:val="28"/>
        </w:rPr>
        <w:t>39</w:t>
      </w:r>
      <w:r w:rsidRPr="00D11BAB">
        <w:rPr>
          <w:rFonts w:ascii="Times New Roman" w:hAnsi="Times New Roman"/>
          <w:sz w:val="28"/>
          <w:szCs w:val="28"/>
        </w:rPr>
        <w:t xml:space="preserve"> – Анализ ассоциации между факторами риска и развитием энтероколита у больных в реабилитационном периоде</w:t>
      </w:r>
    </w:p>
    <w:p w14:paraId="6F178C45" w14:textId="77777777" w:rsidR="00EF5CD6" w:rsidRPr="004232A5"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4"/>
          <w:szCs w:val="24"/>
        </w:rPr>
      </w:pPr>
    </w:p>
    <w:tbl>
      <w:tblPr>
        <w:tblW w:w="9645" w:type="dxa"/>
        <w:jc w:val="center"/>
        <w:tblLayout w:type="fixed"/>
        <w:tblLook w:val="04A0" w:firstRow="1" w:lastRow="0" w:firstColumn="1" w:lastColumn="0" w:noHBand="0" w:noVBand="1"/>
      </w:tblPr>
      <w:tblGrid>
        <w:gridCol w:w="3332"/>
        <w:gridCol w:w="980"/>
        <w:gridCol w:w="812"/>
        <w:gridCol w:w="727"/>
        <w:gridCol w:w="910"/>
        <w:gridCol w:w="1886"/>
        <w:gridCol w:w="998"/>
      </w:tblGrid>
      <w:tr w:rsidR="00EF5CD6" w:rsidRPr="00D11BAB" w14:paraId="325B9F7F" w14:textId="77777777" w:rsidTr="00094F6F">
        <w:trPr>
          <w:trHeight w:val="211"/>
          <w:jc w:val="center"/>
        </w:trPr>
        <w:tc>
          <w:tcPr>
            <w:tcW w:w="3332" w:type="dxa"/>
            <w:vMerge w:val="restart"/>
            <w:tcBorders>
              <w:top w:val="single" w:sz="4" w:space="0" w:color="auto"/>
              <w:left w:val="single" w:sz="4" w:space="0" w:color="auto"/>
              <w:bottom w:val="single" w:sz="4" w:space="0" w:color="auto"/>
              <w:right w:val="single" w:sz="4" w:space="0" w:color="auto"/>
            </w:tcBorders>
            <w:vAlign w:val="center"/>
            <w:hideMark/>
          </w:tcPr>
          <w:p w14:paraId="756D342A"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val="kk-KZ" w:eastAsia="en-US"/>
              </w:rPr>
            </w:pPr>
            <w:r w:rsidRPr="00D11BAB">
              <w:rPr>
                <w:rFonts w:ascii="Times New Roman" w:hAnsi="Times New Roman"/>
                <w:sz w:val="24"/>
                <w:szCs w:val="24"/>
                <w:lang w:val="kk-KZ" w:eastAsia="en-US"/>
              </w:rPr>
              <w:t>Факторы риска</w:t>
            </w:r>
          </w:p>
        </w:tc>
        <w:tc>
          <w:tcPr>
            <w:tcW w:w="3429" w:type="dxa"/>
            <w:gridSpan w:val="4"/>
            <w:tcBorders>
              <w:top w:val="single" w:sz="4" w:space="0" w:color="auto"/>
              <w:left w:val="single" w:sz="4" w:space="0" w:color="auto"/>
              <w:bottom w:val="single" w:sz="4" w:space="0" w:color="auto"/>
              <w:right w:val="single" w:sz="4" w:space="0" w:color="auto"/>
            </w:tcBorders>
            <w:vAlign w:val="center"/>
            <w:hideMark/>
          </w:tcPr>
          <w:p w14:paraId="79772E4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Исход</w:t>
            </w:r>
          </w:p>
        </w:tc>
        <w:tc>
          <w:tcPr>
            <w:tcW w:w="1886" w:type="dxa"/>
            <w:vMerge w:val="restart"/>
            <w:tcBorders>
              <w:top w:val="single" w:sz="4" w:space="0" w:color="auto"/>
              <w:left w:val="single" w:sz="4" w:space="0" w:color="auto"/>
              <w:bottom w:val="single" w:sz="4" w:space="0" w:color="auto"/>
              <w:right w:val="single" w:sz="4" w:space="0" w:color="auto"/>
            </w:tcBorders>
            <w:vAlign w:val="center"/>
          </w:tcPr>
          <w:p w14:paraId="6C3695A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val="en-US" w:eastAsia="en-US"/>
              </w:rPr>
            </w:pPr>
            <w:r w:rsidRPr="00D11BAB">
              <w:rPr>
                <w:rFonts w:ascii="Times New Roman" w:hAnsi="Times New Roman"/>
                <w:sz w:val="24"/>
                <w:szCs w:val="24"/>
                <w:lang w:val="en-US" w:eastAsia="en-US"/>
              </w:rPr>
              <w:t>RR</w:t>
            </w:r>
            <w:r w:rsidRPr="00D11BAB">
              <w:rPr>
                <w:rFonts w:ascii="Times New Roman" w:hAnsi="Times New Roman"/>
                <w:sz w:val="24"/>
                <w:szCs w:val="24"/>
                <w:lang w:val="kk-KZ" w:eastAsia="en-US"/>
              </w:rPr>
              <w:t xml:space="preserve"> </w:t>
            </w:r>
            <w:r w:rsidRPr="00D11BAB">
              <w:rPr>
                <w:rFonts w:ascii="Times New Roman" w:hAnsi="Times New Roman"/>
                <w:sz w:val="24"/>
                <w:szCs w:val="24"/>
                <w:lang w:val="en-US" w:eastAsia="en-US"/>
              </w:rPr>
              <w:t>[</w:t>
            </w:r>
            <w:r w:rsidRPr="00D11BAB">
              <w:rPr>
                <w:rFonts w:ascii="Times New Roman" w:hAnsi="Times New Roman"/>
                <w:sz w:val="24"/>
                <w:szCs w:val="24"/>
                <w:lang w:val="kk-KZ" w:eastAsia="en-US"/>
              </w:rPr>
              <w:t>95 % ДИ</w:t>
            </w:r>
            <w:r w:rsidRPr="00D11BAB">
              <w:rPr>
                <w:rFonts w:ascii="Times New Roman" w:hAnsi="Times New Roman"/>
                <w:sz w:val="24"/>
                <w:szCs w:val="24"/>
                <w:lang w:val="en-US" w:eastAsia="en-US"/>
              </w:rPr>
              <w:t>]</w:t>
            </w:r>
          </w:p>
        </w:tc>
        <w:tc>
          <w:tcPr>
            <w:tcW w:w="998" w:type="dxa"/>
            <w:vMerge w:val="restart"/>
            <w:tcBorders>
              <w:top w:val="single" w:sz="4" w:space="0" w:color="auto"/>
              <w:left w:val="single" w:sz="4" w:space="0" w:color="auto"/>
              <w:bottom w:val="single" w:sz="4" w:space="0" w:color="auto"/>
              <w:right w:val="single" w:sz="4" w:space="0" w:color="auto"/>
            </w:tcBorders>
            <w:vAlign w:val="center"/>
          </w:tcPr>
          <w:p w14:paraId="05193039"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val="en-US" w:eastAsia="en-US"/>
              </w:rPr>
            </w:pPr>
            <w:r w:rsidRPr="00D11BAB">
              <w:rPr>
                <w:rFonts w:ascii="Times New Roman" w:hAnsi="Times New Roman"/>
                <w:sz w:val="24"/>
                <w:szCs w:val="24"/>
                <w:lang w:val="en-US" w:eastAsia="en-US"/>
              </w:rPr>
              <w:t>p</w:t>
            </w:r>
          </w:p>
        </w:tc>
      </w:tr>
      <w:tr w:rsidR="00EF5CD6" w:rsidRPr="00D11BAB" w14:paraId="54161AC0" w14:textId="77777777" w:rsidTr="00094F6F">
        <w:trPr>
          <w:trHeight w:val="184"/>
          <w:jc w:val="center"/>
        </w:trPr>
        <w:tc>
          <w:tcPr>
            <w:tcW w:w="3332" w:type="dxa"/>
            <w:vMerge/>
            <w:tcBorders>
              <w:top w:val="single" w:sz="4" w:space="0" w:color="auto"/>
              <w:left w:val="single" w:sz="4" w:space="0" w:color="auto"/>
              <w:bottom w:val="single" w:sz="4" w:space="0" w:color="auto"/>
              <w:right w:val="single" w:sz="4" w:space="0" w:color="auto"/>
            </w:tcBorders>
            <w:vAlign w:val="center"/>
            <w:hideMark/>
          </w:tcPr>
          <w:p w14:paraId="0002AC19" w14:textId="77777777" w:rsidR="00EF5CD6" w:rsidRPr="00D11BAB" w:rsidRDefault="00EF5CD6" w:rsidP="00094F6F">
            <w:pPr>
              <w:spacing w:after="0" w:line="240" w:lineRule="auto"/>
              <w:rPr>
                <w:rFonts w:ascii="Times New Roman" w:hAnsi="Times New Roman"/>
                <w:sz w:val="24"/>
                <w:szCs w:val="24"/>
                <w:lang w:val="kk-KZ" w:eastAsia="en-US"/>
              </w:rPr>
            </w:pPr>
          </w:p>
        </w:tc>
        <w:tc>
          <w:tcPr>
            <w:tcW w:w="1792" w:type="dxa"/>
            <w:gridSpan w:val="2"/>
            <w:tcBorders>
              <w:top w:val="single" w:sz="4" w:space="0" w:color="auto"/>
              <w:left w:val="single" w:sz="4" w:space="0" w:color="auto"/>
              <w:bottom w:val="single" w:sz="4" w:space="0" w:color="auto"/>
              <w:right w:val="single" w:sz="4" w:space="0" w:color="auto"/>
            </w:tcBorders>
            <w:vAlign w:val="center"/>
            <w:hideMark/>
          </w:tcPr>
          <w:p w14:paraId="0190F03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proofErr w:type="gramStart"/>
            <w:r w:rsidRPr="00D11BAB">
              <w:rPr>
                <w:rFonts w:ascii="Times New Roman" w:hAnsi="Times New Roman"/>
                <w:sz w:val="24"/>
                <w:szCs w:val="24"/>
                <w:lang w:eastAsia="en-US"/>
              </w:rPr>
              <w:t>есть</w:t>
            </w:r>
            <w:proofErr w:type="gramEnd"/>
          </w:p>
        </w:tc>
        <w:tc>
          <w:tcPr>
            <w:tcW w:w="1637" w:type="dxa"/>
            <w:gridSpan w:val="2"/>
            <w:tcBorders>
              <w:top w:val="single" w:sz="4" w:space="0" w:color="auto"/>
              <w:left w:val="single" w:sz="4" w:space="0" w:color="auto"/>
              <w:bottom w:val="single" w:sz="4" w:space="0" w:color="auto"/>
              <w:right w:val="single" w:sz="4" w:space="0" w:color="auto"/>
            </w:tcBorders>
            <w:vAlign w:val="center"/>
            <w:hideMark/>
          </w:tcPr>
          <w:p w14:paraId="305BF2C7"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proofErr w:type="gramStart"/>
            <w:r w:rsidRPr="00D11BAB">
              <w:rPr>
                <w:rFonts w:ascii="Times New Roman" w:hAnsi="Times New Roman"/>
                <w:sz w:val="24"/>
                <w:szCs w:val="24"/>
                <w:lang w:eastAsia="en-US"/>
              </w:rPr>
              <w:t>нет</w:t>
            </w:r>
            <w:proofErr w:type="gramEnd"/>
          </w:p>
        </w:tc>
        <w:tc>
          <w:tcPr>
            <w:tcW w:w="1886" w:type="dxa"/>
            <w:vMerge/>
            <w:tcBorders>
              <w:top w:val="single" w:sz="4" w:space="0" w:color="auto"/>
              <w:left w:val="single" w:sz="4" w:space="0" w:color="auto"/>
              <w:bottom w:val="single" w:sz="4" w:space="0" w:color="auto"/>
              <w:right w:val="single" w:sz="4" w:space="0" w:color="auto"/>
            </w:tcBorders>
            <w:vAlign w:val="center"/>
          </w:tcPr>
          <w:p w14:paraId="527D9594" w14:textId="77777777" w:rsidR="00EF5CD6" w:rsidRPr="00D11BAB" w:rsidRDefault="00EF5CD6" w:rsidP="00094F6F">
            <w:pPr>
              <w:spacing w:after="0" w:line="240" w:lineRule="auto"/>
              <w:rPr>
                <w:rFonts w:ascii="Times New Roman" w:hAnsi="Times New Roman"/>
                <w:sz w:val="24"/>
                <w:szCs w:val="24"/>
                <w:lang w:val="kk-KZ" w:eastAsia="en-US"/>
              </w:rPr>
            </w:pPr>
          </w:p>
        </w:tc>
        <w:tc>
          <w:tcPr>
            <w:tcW w:w="998" w:type="dxa"/>
            <w:vMerge/>
            <w:tcBorders>
              <w:top w:val="single" w:sz="4" w:space="0" w:color="auto"/>
              <w:left w:val="single" w:sz="4" w:space="0" w:color="auto"/>
              <w:bottom w:val="single" w:sz="4" w:space="0" w:color="auto"/>
              <w:right w:val="single" w:sz="4" w:space="0" w:color="auto"/>
            </w:tcBorders>
            <w:vAlign w:val="center"/>
          </w:tcPr>
          <w:p w14:paraId="36E04078" w14:textId="77777777" w:rsidR="00EF5CD6" w:rsidRPr="00D11BAB" w:rsidRDefault="00EF5CD6" w:rsidP="00094F6F">
            <w:pPr>
              <w:spacing w:after="0" w:line="240" w:lineRule="auto"/>
              <w:rPr>
                <w:rFonts w:ascii="Times New Roman" w:hAnsi="Times New Roman"/>
                <w:sz w:val="24"/>
                <w:szCs w:val="24"/>
                <w:lang w:val="en-US" w:eastAsia="en-US"/>
              </w:rPr>
            </w:pPr>
          </w:p>
        </w:tc>
      </w:tr>
      <w:tr w:rsidR="00EF5CD6" w:rsidRPr="00D11BAB" w14:paraId="185EA2E2" w14:textId="77777777" w:rsidTr="00094F6F">
        <w:trPr>
          <w:trHeight w:val="142"/>
          <w:jc w:val="center"/>
        </w:trPr>
        <w:tc>
          <w:tcPr>
            <w:tcW w:w="3332" w:type="dxa"/>
            <w:vMerge/>
            <w:tcBorders>
              <w:top w:val="single" w:sz="4" w:space="0" w:color="auto"/>
              <w:left w:val="single" w:sz="4" w:space="0" w:color="auto"/>
              <w:bottom w:val="single" w:sz="4" w:space="0" w:color="auto"/>
              <w:right w:val="single" w:sz="4" w:space="0" w:color="auto"/>
            </w:tcBorders>
            <w:vAlign w:val="center"/>
            <w:hideMark/>
          </w:tcPr>
          <w:p w14:paraId="6F0D2BD0" w14:textId="77777777" w:rsidR="00EF5CD6" w:rsidRPr="00D11BAB" w:rsidRDefault="00EF5CD6" w:rsidP="00094F6F">
            <w:pPr>
              <w:spacing w:after="0" w:line="240" w:lineRule="auto"/>
              <w:rPr>
                <w:rFonts w:ascii="Times New Roman" w:hAnsi="Times New Roman"/>
                <w:sz w:val="24"/>
                <w:szCs w:val="24"/>
                <w:lang w:val="kk-KZ" w:eastAsia="en-US"/>
              </w:rPr>
            </w:pPr>
          </w:p>
        </w:tc>
        <w:tc>
          <w:tcPr>
            <w:tcW w:w="980" w:type="dxa"/>
            <w:tcBorders>
              <w:top w:val="single" w:sz="4" w:space="0" w:color="auto"/>
              <w:left w:val="single" w:sz="4" w:space="0" w:color="auto"/>
              <w:bottom w:val="single" w:sz="4" w:space="0" w:color="auto"/>
              <w:right w:val="single" w:sz="4" w:space="0" w:color="auto"/>
            </w:tcBorders>
            <w:vAlign w:val="center"/>
            <w:hideMark/>
          </w:tcPr>
          <w:p w14:paraId="6756B243"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val="en-US" w:eastAsia="en-US"/>
              </w:rPr>
            </w:pPr>
            <w:r w:rsidRPr="00D11BAB">
              <w:rPr>
                <w:rFonts w:ascii="Times New Roman" w:hAnsi="Times New Roman"/>
                <w:sz w:val="24"/>
                <w:szCs w:val="24"/>
                <w:lang w:val="en-US" w:eastAsia="en-US"/>
              </w:rPr>
              <w:t>n</w:t>
            </w:r>
          </w:p>
        </w:tc>
        <w:tc>
          <w:tcPr>
            <w:tcW w:w="812" w:type="dxa"/>
            <w:tcBorders>
              <w:top w:val="single" w:sz="4" w:space="0" w:color="auto"/>
              <w:left w:val="single" w:sz="4" w:space="0" w:color="auto"/>
              <w:bottom w:val="single" w:sz="4" w:space="0" w:color="auto"/>
              <w:right w:val="single" w:sz="4" w:space="0" w:color="auto"/>
            </w:tcBorders>
            <w:vAlign w:val="center"/>
            <w:hideMark/>
          </w:tcPr>
          <w:p w14:paraId="04019D2B"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val="en-US" w:eastAsia="en-US"/>
              </w:rPr>
            </w:pPr>
            <w:r w:rsidRPr="00D11BAB">
              <w:rPr>
                <w:rFonts w:ascii="Times New Roman" w:hAnsi="Times New Roman"/>
                <w:sz w:val="24"/>
                <w:szCs w:val="24"/>
                <w:lang w:val="en-US" w:eastAsia="en-US"/>
              </w:rPr>
              <w:t>%</w:t>
            </w:r>
          </w:p>
        </w:tc>
        <w:tc>
          <w:tcPr>
            <w:tcW w:w="727" w:type="dxa"/>
            <w:tcBorders>
              <w:top w:val="single" w:sz="4" w:space="0" w:color="auto"/>
              <w:left w:val="single" w:sz="4" w:space="0" w:color="auto"/>
              <w:bottom w:val="single" w:sz="4" w:space="0" w:color="auto"/>
              <w:right w:val="single" w:sz="4" w:space="0" w:color="auto"/>
            </w:tcBorders>
            <w:vAlign w:val="center"/>
            <w:hideMark/>
          </w:tcPr>
          <w:p w14:paraId="4CF73284"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val="en-US" w:eastAsia="en-US"/>
              </w:rPr>
            </w:pPr>
            <w:r w:rsidRPr="00D11BAB">
              <w:rPr>
                <w:rFonts w:ascii="Times New Roman" w:hAnsi="Times New Roman"/>
                <w:sz w:val="24"/>
                <w:szCs w:val="24"/>
                <w:lang w:val="en-US" w:eastAsia="en-US"/>
              </w:rPr>
              <w:t>n</w:t>
            </w:r>
          </w:p>
        </w:tc>
        <w:tc>
          <w:tcPr>
            <w:tcW w:w="910" w:type="dxa"/>
            <w:tcBorders>
              <w:top w:val="single" w:sz="4" w:space="0" w:color="auto"/>
              <w:left w:val="single" w:sz="4" w:space="0" w:color="auto"/>
              <w:bottom w:val="single" w:sz="4" w:space="0" w:color="auto"/>
              <w:right w:val="single" w:sz="4" w:space="0" w:color="auto"/>
            </w:tcBorders>
            <w:vAlign w:val="center"/>
            <w:hideMark/>
          </w:tcPr>
          <w:p w14:paraId="4259DF2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val="en-US" w:eastAsia="en-US"/>
              </w:rPr>
            </w:pPr>
            <w:r w:rsidRPr="00D11BAB">
              <w:rPr>
                <w:rFonts w:ascii="Times New Roman" w:hAnsi="Times New Roman"/>
                <w:sz w:val="24"/>
                <w:szCs w:val="24"/>
                <w:lang w:val="en-US" w:eastAsia="en-US"/>
              </w:rPr>
              <w:t>%</w:t>
            </w:r>
          </w:p>
        </w:tc>
        <w:tc>
          <w:tcPr>
            <w:tcW w:w="1886" w:type="dxa"/>
            <w:vMerge/>
            <w:tcBorders>
              <w:top w:val="single" w:sz="4" w:space="0" w:color="auto"/>
              <w:left w:val="single" w:sz="4" w:space="0" w:color="auto"/>
              <w:bottom w:val="single" w:sz="4" w:space="0" w:color="auto"/>
              <w:right w:val="single" w:sz="4" w:space="0" w:color="auto"/>
            </w:tcBorders>
            <w:vAlign w:val="center"/>
          </w:tcPr>
          <w:p w14:paraId="0CD19B0E" w14:textId="77777777" w:rsidR="00EF5CD6" w:rsidRPr="00D11BAB" w:rsidRDefault="00EF5CD6" w:rsidP="00094F6F">
            <w:pPr>
              <w:spacing w:after="0" w:line="240" w:lineRule="auto"/>
              <w:rPr>
                <w:rFonts w:ascii="Times New Roman" w:hAnsi="Times New Roman"/>
                <w:sz w:val="24"/>
                <w:szCs w:val="24"/>
                <w:lang w:val="kk-KZ" w:eastAsia="en-US"/>
              </w:rPr>
            </w:pPr>
          </w:p>
        </w:tc>
        <w:tc>
          <w:tcPr>
            <w:tcW w:w="998" w:type="dxa"/>
            <w:vMerge/>
            <w:tcBorders>
              <w:top w:val="single" w:sz="4" w:space="0" w:color="auto"/>
              <w:left w:val="single" w:sz="4" w:space="0" w:color="auto"/>
              <w:bottom w:val="single" w:sz="4" w:space="0" w:color="auto"/>
              <w:right w:val="single" w:sz="4" w:space="0" w:color="auto"/>
            </w:tcBorders>
            <w:vAlign w:val="center"/>
          </w:tcPr>
          <w:p w14:paraId="6036260D" w14:textId="77777777" w:rsidR="00EF5CD6" w:rsidRPr="00D11BAB" w:rsidRDefault="00EF5CD6" w:rsidP="00094F6F">
            <w:pPr>
              <w:spacing w:after="0" w:line="240" w:lineRule="auto"/>
              <w:rPr>
                <w:rFonts w:ascii="Times New Roman" w:hAnsi="Times New Roman"/>
                <w:sz w:val="24"/>
                <w:szCs w:val="24"/>
                <w:lang w:val="en-US" w:eastAsia="en-US"/>
              </w:rPr>
            </w:pPr>
          </w:p>
        </w:tc>
      </w:tr>
      <w:tr w:rsidR="00EF5CD6" w:rsidRPr="00D11BAB" w14:paraId="466BD401" w14:textId="77777777" w:rsidTr="00094F6F">
        <w:trPr>
          <w:jc w:val="center"/>
        </w:trPr>
        <w:tc>
          <w:tcPr>
            <w:tcW w:w="3332" w:type="dxa"/>
            <w:tcBorders>
              <w:top w:val="single" w:sz="4" w:space="0" w:color="auto"/>
              <w:left w:val="single" w:sz="4" w:space="0" w:color="auto"/>
              <w:bottom w:val="single" w:sz="4" w:space="0" w:color="auto"/>
              <w:right w:val="single" w:sz="4" w:space="0" w:color="auto"/>
            </w:tcBorders>
            <w:hideMark/>
          </w:tcPr>
          <w:p w14:paraId="019B69A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lang w:eastAsia="en-US"/>
              </w:rPr>
            </w:pPr>
            <w:r w:rsidRPr="00D11BAB">
              <w:rPr>
                <w:rFonts w:ascii="Times New Roman" w:hAnsi="Times New Roman"/>
                <w:sz w:val="24"/>
                <w:szCs w:val="24"/>
                <w:lang w:eastAsia="en-US"/>
              </w:rPr>
              <w:t>Удаление илеоцекального клапана</w:t>
            </w:r>
          </w:p>
        </w:tc>
        <w:tc>
          <w:tcPr>
            <w:tcW w:w="980" w:type="dxa"/>
            <w:tcBorders>
              <w:top w:val="single" w:sz="4" w:space="0" w:color="auto"/>
              <w:left w:val="single" w:sz="4" w:space="0" w:color="auto"/>
              <w:bottom w:val="single" w:sz="4" w:space="0" w:color="auto"/>
              <w:right w:val="single" w:sz="4" w:space="0" w:color="auto"/>
            </w:tcBorders>
            <w:vAlign w:val="center"/>
            <w:hideMark/>
          </w:tcPr>
          <w:p w14:paraId="423021CD"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35</w:t>
            </w:r>
          </w:p>
        </w:tc>
        <w:tc>
          <w:tcPr>
            <w:tcW w:w="812" w:type="dxa"/>
            <w:tcBorders>
              <w:top w:val="single" w:sz="4" w:space="0" w:color="auto"/>
              <w:left w:val="single" w:sz="4" w:space="0" w:color="auto"/>
              <w:bottom w:val="single" w:sz="4" w:space="0" w:color="auto"/>
              <w:right w:val="single" w:sz="4" w:space="0" w:color="auto"/>
            </w:tcBorders>
            <w:vAlign w:val="center"/>
            <w:hideMark/>
          </w:tcPr>
          <w:p w14:paraId="4B8D86EC"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79,5</w:t>
            </w:r>
          </w:p>
        </w:tc>
        <w:tc>
          <w:tcPr>
            <w:tcW w:w="727" w:type="dxa"/>
            <w:tcBorders>
              <w:top w:val="single" w:sz="4" w:space="0" w:color="auto"/>
              <w:left w:val="single" w:sz="4" w:space="0" w:color="auto"/>
              <w:bottom w:val="single" w:sz="4" w:space="0" w:color="auto"/>
              <w:right w:val="single" w:sz="4" w:space="0" w:color="auto"/>
            </w:tcBorders>
            <w:vAlign w:val="center"/>
            <w:hideMark/>
          </w:tcPr>
          <w:p w14:paraId="0F7DDBB0"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9</w:t>
            </w:r>
          </w:p>
        </w:tc>
        <w:tc>
          <w:tcPr>
            <w:tcW w:w="910" w:type="dxa"/>
            <w:tcBorders>
              <w:top w:val="single" w:sz="4" w:space="0" w:color="auto"/>
              <w:left w:val="single" w:sz="4" w:space="0" w:color="auto"/>
              <w:bottom w:val="single" w:sz="4" w:space="0" w:color="auto"/>
              <w:right w:val="single" w:sz="4" w:space="0" w:color="auto"/>
            </w:tcBorders>
            <w:vAlign w:val="center"/>
            <w:hideMark/>
          </w:tcPr>
          <w:p w14:paraId="6A619B25"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20,4</w:t>
            </w:r>
          </w:p>
        </w:tc>
        <w:tc>
          <w:tcPr>
            <w:tcW w:w="1886" w:type="dxa"/>
            <w:tcBorders>
              <w:top w:val="single" w:sz="4" w:space="0" w:color="auto"/>
              <w:left w:val="single" w:sz="4" w:space="0" w:color="auto"/>
              <w:bottom w:val="single" w:sz="4" w:space="0" w:color="auto"/>
              <w:right w:val="single" w:sz="4" w:space="0" w:color="auto"/>
            </w:tcBorders>
            <w:vAlign w:val="center"/>
          </w:tcPr>
          <w:p w14:paraId="3D89BABA"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val="en-US" w:eastAsia="en-US"/>
              </w:rPr>
            </w:pPr>
            <w:r w:rsidRPr="00D11BAB">
              <w:rPr>
                <w:rFonts w:ascii="Times New Roman" w:hAnsi="Times New Roman"/>
                <w:sz w:val="24"/>
                <w:szCs w:val="24"/>
                <w:lang w:eastAsia="en-US"/>
              </w:rPr>
              <w:t>1,6</w:t>
            </w:r>
            <w:r w:rsidRPr="00D11BAB">
              <w:rPr>
                <w:rFonts w:ascii="Times New Roman" w:hAnsi="Times New Roman"/>
                <w:sz w:val="24"/>
                <w:szCs w:val="24"/>
                <w:lang w:val="kk-KZ" w:eastAsia="en-US"/>
              </w:rPr>
              <w:t xml:space="preserve"> </w:t>
            </w:r>
            <w:r w:rsidRPr="00D11BAB">
              <w:rPr>
                <w:rFonts w:ascii="Times New Roman" w:hAnsi="Times New Roman"/>
                <w:sz w:val="24"/>
                <w:szCs w:val="24"/>
                <w:lang w:val="en-US" w:eastAsia="en-US"/>
              </w:rPr>
              <w:t>[</w:t>
            </w:r>
            <w:r w:rsidRPr="00D11BAB">
              <w:rPr>
                <w:rFonts w:ascii="Times New Roman" w:hAnsi="Times New Roman"/>
                <w:sz w:val="24"/>
                <w:szCs w:val="24"/>
                <w:lang w:eastAsia="en-US"/>
              </w:rPr>
              <w:t>1,23-2,10</w:t>
            </w:r>
            <w:r w:rsidRPr="00D11BAB">
              <w:rPr>
                <w:rFonts w:ascii="Times New Roman" w:hAnsi="Times New Roman"/>
                <w:sz w:val="24"/>
                <w:szCs w:val="24"/>
                <w:lang w:val="en-US" w:eastAsia="en-US"/>
              </w:rPr>
              <w:t>]</w:t>
            </w:r>
          </w:p>
        </w:tc>
        <w:tc>
          <w:tcPr>
            <w:tcW w:w="998" w:type="dxa"/>
            <w:tcBorders>
              <w:top w:val="single" w:sz="4" w:space="0" w:color="auto"/>
              <w:left w:val="single" w:sz="4" w:space="0" w:color="auto"/>
              <w:bottom w:val="single" w:sz="4" w:space="0" w:color="auto"/>
              <w:right w:val="single" w:sz="4" w:space="0" w:color="auto"/>
            </w:tcBorders>
            <w:vAlign w:val="center"/>
          </w:tcPr>
          <w:p w14:paraId="67CD34B4"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0,006</w:t>
            </w:r>
          </w:p>
        </w:tc>
      </w:tr>
      <w:tr w:rsidR="00EF5CD6" w:rsidRPr="00D11BAB" w14:paraId="5ACB4EAD" w14:textId="77777777" w:rsidTr="00094F6F">
        <w:trPr>
          <w:jc w:val="center"/>
        </w:trPr>
        <w:tc>
          <w:tcPr>
            <w:tcW w:w="3332" w:type="dxa"/>
            <w:tcBorders>
              <w:top w:val="single" w:sz="4" w:space="0" w:color="auto"/>
              <w:left w:val="single" w:sz="4" w:space="0" w:color="auto"/>
              <w:bottom w:val="single" w:sz="4" w:space="0" w:color="auto"/>
              <w:right w:val="single" w:sz="4" w:space="0" w:color="auto"/>
            </w:tcBorders>
          </w:tcPr>
          <w:p w14:paraId="31B0F27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lang w:eastAsia="en-US"/>
              </w:rPr>
            </w:pPr>
            <w:r w:rsidRPr="00D11BAB">
              <w:rPr>
                <w:rFonts w:ascii="Times New Roman" w:hAnsi="Times New Roman"/>
                <w:sz w:val="24"/>
                <w:szCs w:val="24"/>
                <w:lang w:eastAsia="en-US"/>
              </w:rPr>
              <w:t>Резекция кишечника с формированием стомы (илеостомы, колостомы)</w:t>
            </w:r>
          </w:p>
        </w:tc>
        <w:tc>
          <w:tcPr>
            <w:tcW w:w="980" w:type="dxa"/>
            <w:tcBorders>
              <w:top w:val="single" w:sz="4" w:space="0" w:color="auto"/>
              <w:left w:val="single" w:sz="4" w:space="0" w:color="auto"/>
              <w:bottom w:val="single" w:sz="4" w:space="0" w:color="auto"/>
              <w:right w:val="single" w:sz="4" w:space="0" w:color="auto"/>
            </w:tcBorders>
            <w:vAlign w:val="center"/>
          </w:tcPr>
          <w:p w14:paraId="6C51CF3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14</w:t>
            </w:r>
          </w:p>
        </w:tc>
        <w:tc>
          <w:tcPr>
            <w:tcW w:w="812" w:type="dxa"/>
            <w:tcBorders>
              <w:top w:val="single" w:sz="4" w:space="0" w:color="auto"/>
              <w:left w:val="single" w:sz="4" w:space="0" w:color="auto"/>
              <w:bottom w:val="single" w:sz="4" w:space="0" w:color="auto"/>
              <w:right w:val="single" w:sz="4" w:space="0" w:color="auto"/>
            </w:tcBorders>
            <w:vAlign w:val="center"/>
          </w:tcPr>
          <w:p w14:paraId="1987359E"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87,5</w:t>
            </w:r>
          </w:p>
        </w:tc>
        <w:tc>
          <w:tcPr>
            <w:tcW w:w="727" w:type="dxa"/>
            <w:tcBorders>
              <w:top w:val="single" w:sz="4" w:space="0" w:color="auto"/>
              <w:left w:val="single" w:sz="4" w:space="0" w:color="auto"/>
              <w:bottom w:val="single" w:sz="4" w:space="0" w:color="auto"/>
              <w:right w:val="single" w:sz="4" w:space="0" w:color="auto"/>
            </w:tcBorders>
            <w:vAlign w:val="center"/>
          </w:tcPr>
          <w:p w14:paraId="7320B08F"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2</w:t>
            </w:r>
          </w:p>
        </w:tc>
        <w:tc>
          <w:tcPr>
            <w:tcW w:w="910" w:type="dxa"/>
            <w:tcBorders>
              <w:top w:val="single" w:sz="4" w:space="0" w:color="auto"/>
              <w:left w:val="single" w:sz="4" w:space="0" w:color="auto"/>
              <w:bottom w:val="single" w:sz="4" w:space="0" w:color="auto"/>
              <w:right w:val="single" w:sz="4" w:space="0" w:color="auto"/>
            </w:tcBorders>
            <w:vAlign w:val="center"/>
          </w:tcPr>
          <w:p w14:paraId="482246B3"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12,5</w:t>
            </w:r>
          </w:p>
        </w:tc>
        <w:tc>
          <w:tcPr>
            <w:tcW w:w="1886" w:type="dxa"/>
            <w:tcBorders>
              <w:top w:val="single" w:sz="4" w:space="0" w:color="auto"/>
              <w:left w:val="single" w:sz="4" w:space="0" w:color="auto"/>
              <w:bottom w:val="single" w:sz="4" w:space="0" w:color="auto"/>
              <w:right w:val="single" w:sz="4" w:space="0" w:color="auto"/>
            </w:tcBorders>
            <w:vAlign w:val="center"/>
          </w:tcPr>
          <w:p w14:paraId="65FF1877"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1,4</w:t>
            </w:r>
            <w:r w:rsidRPr="00D11BAB">
              <w:rPr>
                <w:rFonts w:ascii="Times New Roman" w:hAnsi="Times New Roman"/>
                <w:sz w:val="24"/>
                <w:szCs w:val="24"/>
                <w:lang w:val="en-US" w:eastAsia="en-US"/>
              </w:rPr>
              <w:t>[</w:t>
            </w:r>
            <w:r w:rsidRPr="00D11BAB">
              <w:rPr>
                <w:rFonts w:ascii="Times New Roman" w:hAnsi="Times New Roman"/>
                <w:sz w:val="24"/>
                <w:szCs w:val="24"/>
                <w:lang w:eastAsia="en-US"/>
              </w:rPr>
              <w:t>1,073-1,902</w:t>
            </w:r>
            <w:r w:rsidRPr="00D11BAB">
              <w:rPr>
                <w:rFonts w:ascii="Times New Roman" w:hAnsi="Times New Roman"/>
                <w:sz w:val="24"/>
                <w:szCs w:val="24"/>
                <w:lang w:val="en-US" w:eastAsia="en-US"/>
              </w:rPr>
              <w:t>]</w:t>
            </w:r>
          </w:p>
        </w:tc>
        <w:tc>
          <w:tcPr>
            <w:tcW w:w="998" w:type="dxa"/>
            <w:tcBorders>
              <w:top w:val="single" w:sz="4" w:space="0" w:color="auto"/>
              <w:left w:val="single" w:sz="4" w:space="0" w:color="auto"/>
              <w:bottom w:val="single" w:sz="4" w:space="0" w:color="auto"/>
              <w:right w:val="single" w:sz="4" w:space="0" w:color="auto"/>
            </w:tcBorders>
            <w:vAlign w:val="center"/>
          </w:tcPr>
          <w:p w14:paraId="065A8C7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4"/>
                <w:szCs w:val="24"/>
                <w:lang w:eastAsia="en-US"/>
              </w:rPr>
            </w:pPr>
            <w:r w:rsidRPr="00D11BAB">
              <w:rPr>
                <w:rFonts w:ascii="Times New Roman" w:hAnsi="Times New Roman"/>
                <w:sz w:val="24"/>
                <w:szCs w:val="24"/>
                <w:lang w:eastAsia="en-US"/>
              </w:rPr>
              <w:t>0,002</w:t>
            </w:r>
          </w:p>
        </w:tc>
      </w:tr>
      <w:tr w:rsidR="00EF5CD6" w:rsidRPr="00D11BAB" w14:paraId="624F02FB" w14:textId="77777777" w:rsidTr="00094F6F">
        <w:trPr>
          <w:jc w:val="center"/>
        </w:trPr>
        <w:tc>
          <w:tcPr>
            <w:tcW w:w="9645" w:type="dxa"/>
            <w:gridSpan w:val="7"/>
            <w:tcBorders>
              <w:top w:val="single" w:sz="4" w:space="0" w:color="auto"/>
              <w:left w:val="single" w:sz="4" w:space="0" w:color="auto"/>
              <w:bottom w:val="single" w:sz="4" w:space="0" w:color="auto"/>
              <w:right w:val="single" w:sz="4" w:space="0" w:color="auto"/>
            </w:tcBorders>
          </w:tcPr>
          <w:p w14:paraId="44962B73"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01"/>
              <w:jc w:val="both"/>
              <w:rPr>
                <w:rFonts w:ascii="Times New Roman" w:hAnsi="Times New Roman"/>
                <w:sz w:val="24"/>
                <w:szCs w:val="24"/>
                <w:lang w:eastAsia="en-US"/>
              </w:rPr>
            </w:pPr>
            <w:r w:rsidRPr="00D11BAB">
              <w:rPr>
                <w:rFonts w:ascii="Times New Roman" w:hAnsi="Times New Roman"/>
                <w:sz w:val="24"/>
                <w:szCs w:val="24"/>
                <w:lang w:eastAsia="en-US"/>
              </w:rPr>
              <w:t>Примечания:</w:t>
            </w:r>
          </w:p>
          <w:p w14:paraId="500DA422"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4"/>
              <w:jc w:val="both"/>
              <w:rPr>
                <w:rFonts w:ascii="Times New Roman" w:hAnsi="Times New Roman"/>
                <w:sz w:val="24"/>
                <w:szCs w:val="24"/>
                <w:shd w:val="clear" w:color="auto" w:fill="FFFFFF"/>
              </w:rPr>
            </w:pPr>
            <w:r w:rsidRPr="00D11BAB">
              <w:rPr>
                <w:rFonts w:ascii="Times New Roman" w:hAnsi="Times New Roman"/>
                <w:sz w:val="24"/>
                <w:szCs w:val="24"/>
                <w:lang w:eastAsia="en-US"/>
              </w:rPr>
              <w:t xml:space="preserve">1. </w:t>
            </w:r>
            <w:r w:rsidRPr="00D11BAB">
              <w:rPr>
                <w:rFonts w:ascii="Times New Roman" w:hAnsi="Times New Roman"/>
                <w:sz w:val="24"/>
                <w:szCs w:val="24"/>
                <w:lang w:val="en-US" w:eastAsia="en-US"/>
              </w:rPr>
              <w:t>RR</w:t>
            </w:r>
            <w:r w:rsidRPr="00D11BAB">
              <w:rPr>
                <w:rFonts w:ascii="Times New Roman" w:hAnsi="Times New Roman"/>
                <w:sz w:val="24"/>
                <w:szCs w:val="24"/>
                <w:lang w:eastAsia="en-US"/>
              </w:rPr>
              <w:t xml:space="preserve"> - </w:t>
            </w:r>
            <w:r w:rsidRPr="00D11BAB">
              <w:rPr>
                <w:rFonts w:ascii="Times New Roman" w:hAnsi="Times New Roman"/>
                <w:sz w:val="24"/>
                <w:szCs w:val="24"/>
                <w:shd w:val="clear" w:color="auto" w:fill="FFFFFF"/>
              </w:rPr>
              <w:t>относительный риск.</w:t>
            </w:r>
          </w:p>
          <w:p w14:paraId="365E7F86" w14:textId="77777777" w:rsidR="00EF5CD6" w:rsidRPr="00D11BAB" w:rsidRDefault="00EF5CD6" w:rsidP="0009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4"/>
              <w:jc w:val="both"/>
              <w:rPr>
                <w:rFonts w:ascii="Times New Roman" w:hAnsi="Times New Roman"/>
                <w:sz w:val="24"/>
                <w:szCs w:val="24"/>
                <w:lang w:eastAsia="en-US"/>
              </w:rPr>
            </w:pPr>
            <w:r w:rsidRPr="00D11BAB">
              <w:rPr>
                <w:rFonts w:ascii="Times New Roman" w:hAnsi="Times New Roman"/>
                <w:sz w:val="24"/>
                <w:szCs w:val="24"/>
                <w:shd w:val="clear" w:color="auto" w:fill="FFFFFF"/>
              </w:rPr>
              <w:t xml:space="preserve">2. </w:t>
            </w:r>
            <w:r w:rsidRPr="00D11BAB">
              <w:rPr>
                <w:rFonts w:ascii="Times New Roman" w:hAnsi="Times New Roman"/>
                <w:sz w:val="24"/>
                <w:szCs w:val="24"/>
              </w:rPr>
              <w:t>95% ДИ - 95% доверительный интервал</w:t>
            </w:r>
          </w:p>
        </w:tc>
      </w:tr>
    </w:tbl>
    <w:p w14:paraId="0C324615"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7FB74082"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3432B3DD"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В строки занесено абсолютное количество больных с наличием факторов как удаление илеоцекального клапана и резекция кишечника с формированием стомы (илеостомы и колостомы), в столбцах описан исход в виде развития/не развития/энтероколита. При изучении относительного риска определенного исхода после резекции кишечника выяснено, что удаление илеоцекального угла увеличивают риск формирования функциональных осложнений в 1,6 раз (95% ДИ [1,23-2,10], р=0,006). Так же, как и формирование стомы (илео-, колостомы) увеличивает риск развития функциональных нарушений в 1,4 раз (95% ДИ [1,073-1,902], р=0,002) соответственно. </w:t>
      </w:r>
    </w:p>
    <w:p w14:paraId="182AE9D9"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4159E507" w14:textId="77777777" w:rsidR="00EF5CD6" w:rsidRPr="00D11BAB" w:rsidRDefault="00EF5CD6" w:rsidP="00EF5CD6">
      <w:pPr>
        <w:tabs>
          <w:tab w:val="left" w:pos="567"/>
        </w:tabs>
        <w:spacing w:after="0" w:line="240" w:lineRule="auto"/>
        <w:ind w:firstLine="567"/>
        <w:jc w:val="both"/>
        <w:rPr>
          <w:rFonts w:ascii="Times New Roman" w:hAnsi="Times New Roman"/>
          <w:b/>
          <w:bCs/>
          <w:sz w:val="28"/>
          <w:szCs w:val="28"/>
        </w:rPr>
      </w:pPr>
      <w:r>
        <w:rPr>
          <w:rFonts w:ascii="Times New Roman" w:hAnsi="Times New Roman"/>
          <w:b/>
          <w:bCs/>
          <w:sz w:val="28"/>
          <w:szCs w:val="28"/>
        </w:rPr>
        <w:t>4</w:t>
      </w:r>
      <w:r w:rsidRPr="00D11BAB">
        <w:rPr>
          <w:rFonts w:ascii="Times New Roman" w:hAnsi="Times New Roman"/>
          <w:b/>
          <w:bCs/>
          <w:sz w:val="28"/>
          <w:szCs w:val="28"/>
        </w:rPr>
        <w:t xml:space="preserve">.3 </w:t>
      </w:r>
      <w:r w:rsidRPr="00D11BAB">
        <w:rPr>
          <w:rFonts w:ascii="Times New Roman" w:hAnsi="Times New Roman"/>
          <w:b/>
          <w:bCs/>
          <w:sz w:val="28"/>
          <w:szCs w:val="28"/>
          <w:lang w:bidi="kn-IN"/>
        </w:rPr>
        <w:t>Результаты оценки электролитного статуса у больных после радикальных операций по поводу злокачественных новообразований ободочной кишки</w:t>
      </w:r>
    </w:p>
    <w:p w14:paraId="050C3DA5" w14:textId="77777777" w:rsidR="00EF5CD6" w:rsidRDefault="00EF5CD6" w:rsidP="00EF5CD6">
      <w:pPr>
        <w:tabs>
          <w:tab w:val="left" w:pos="567"/>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Из 125 больных у 79 (63,2%) были диагностированы электролитные нарушения. В соответствии с рисунком </w:t>
      </w:r>
      <w:r>
        <w:rPr>
          <w:rFonts w:ascii="Times New Roman" w:hAnsi="Times New Roman"/>
          <w:sz w:val="28"/>
          <w:szCs w:val="28"/>
          <w:lang w:val="kk-KZ"/>
        </w:rPr>
        <w:t>24</w:t>
      </w:r>
      <w:r w:rsidRPr="00D11BAB">
        <w:rPr>
          <w:rFonts w:ascii="Times New Roman" w:hAnsi="Times New Roman"/>
          <w:sz w:val="28"/>
          <w:szCs w:val="28"/>
        </w:rPr>
        <w:t xml:space="preserve"> наиболее частыми электролитными нарушениями были </w:t>
      </w:r>
      <w:proofErr w:type="spellStart"/>
      <w:r w:rsidRPr="00D11BAB">
        <w:rPr>
          <w:rFonts w:ascii="Times New Roman" w:hAnsi="Times New Roman"/>
          <w:sz w:val="28"/>
          <w:szCs w:val="28"/>
        </w:rPr>
        <w:t>гипонатриемия</w:t>
      </w:r>
      <w:proofErr w:type="spellEnd"/>
      <w:r w:rsidRPr="00D11BAB">
        <w:rPr>
          <w:rFonts w:ascii="Times New Roman" w:hAnsi="Times New Roman"/>
          <w:sz w:val="28"/>
          <w:szCs w:val="28"/>
        </w:rPr>
        <w:t xml:space="preserve"> 26 (32,9%), затем </w:t>
      </w:r>
      <w:proofErr w:type="spellStart"/>
      <w:r w:rsidRPr="00D11BAB">
        <w:rPr>
          <w:rFonts w:ascii="Times New Roman" w:hAnsi="Times New Roman"/>
          <w:sz w:val="28"/>
          <w:szCs w:val="28"/>
        </w:rPr>
        <w:t>гипокалиемия</w:t>
      </w:r>
      <w:proofErr w:type="spellEnd"/>
      <w:r w:rsidRPr="00D11BAB">
        <w:rPr>
          <w:rFonts w:ascii="Times New Roman" w:hAnsi="Times New Roman"/>
          <w:sz w:val="28"/>
          <w:szCs w:val="28"/>
        </w:rPr>
        <w:t xml:space="preserve"> 22(27,8%) </w:t>
      </w:r>
      <w:proofErr w:type="spellStart"/>
      <w:r w:rsidRPr="00D11BAB">
        <w:rPr>
          <w:rFonts w:ascii="Times New Roman" w:hAnsi="Times New Roman"/>
          <w:sz w:val="28"/>
          <w:szCs w:val="28"/>
        </w:rPr>
        <w:t>гипохлоремия</w:t>
      </w:r>
      <w:proofErr w:type="spellEnd"/>
      <w:r w:rsidRPr="00D11BAB">
        <w:rPr>
          <w:rFonts w:ascii="Times New Roman" w:hAnsi="Times New Roman"/>
          <w:sz w:val="28"/>
          <w:szCs w:val="28"/>
        </w:rPr>
        <w:t xml:space="preserve"> 14(17,7%) и </w:t>
      </w:r>
      <w:proofErr w:type="spellStart"/>
      <w:r w:rsidRPr="00D11BAB">
        <w:rPr>
          <w:rFonts w:ascii="Times New Roman" w:hAnsi="Times New Roman"/>
          <w:sz w:val="28"/>
          <w:szCs w:val="28"/>
        </w:rPr>
        <w:t>гипомагниемия</w:t>
      </w:r>
      <w:proofErr w:type="spellEnd"/>
      <w:r w:rsidRPr="00D11BAB">
        <w:rPr>
          <w:rFonts w:ascii="Times New Roman" w:hAnsi="Times New Roman"/>
          <w:sz w:val="28"/>
          <w:szCs w:val="28"/>
        </w:rPr>
        <w:t xml:space="preserve"> 7(8,8%).</w:t>
      </w:r>
    </w:p>
    <w:p w14:paraId="41A58B07" w14:textId="77777777" w:rsidR="00EF5CD6" w:rsidRDefault="00EF5CD6" w:rsidP="00EF5CD6">
      <w:pPr>
        <w:tabs>
          <w:tab w:val="left" w:pos="567"/>
        </w:tabs>
        <w:spacing w:after="0" w:line="240" w:lineRule="auto"/>
        <w:ind w:firstLine="567"/>
        <w:jc w:val="both"/>
        <w:rPr>
          <w:rFonts w:ascii="Times New Roman" w:hAnsi="Times New Roman"/>
          <w:sz w:val="28"/>
          <w:szCs w:val="28"/>
        </w:rPr>
      </w:pPr>
    </w:p>
    <w:p w14:paraId="06D36C34" w14:textId="77777777" w:rsidR="00EF5CD6" w:rsidRDefault="00EF5CD6" w:rsidP="00EF5CD6">
      <w:pPr>
        <w:tabs>
          <w:tab w:val="left" w:pos="567"/>
        </w:tabs>
        <w:spacing w:after="0" w:line="240" w:lineRule="auto"/>
        <w:ind w:firstLine="567"/>
        <w:jc w:val="both"/>
        <w:rPr>
          <w:rFonts w:ascii="Times New Roman" w:hAnsi="Times New Roman"/>
          <w:sz w:val="28"/>
          <w:szCs w:val="28"/>
        </w:rPr>
      </w:pPr>
    </w:p>
    <w:p w14:paraId="77EAC680" w14:textId="77777777" w:rsidR="00EF5CD6" w:rsidRDefault="00EF5CD6" w:rsidP="00EF5CD6">
      <w:pPr>
        <w:tabs>
          <w:tab w:val="left" w:pos="567"/>
        </w:tabs>
        <w:spacing w:after="0" w:line="240" w:lineRule="auto"/>
        <w:ind w:firstLine="567"/>
        <w:jc w:val="both"/>
        <w:rPr>
          <w:rFonts w:ascii="Times New Roman" w:hAnsi="Times New Roman"/>
          <w:sz w:val="28"/>
          <w:szCs w:val="28"/>
        </w:rPr>
      </w:pPr>
    </w:p>
    <w:p w14:paraId="04CE24E0" w14:textId="77777777" w:rsidR="00EF5CD6" w:rsidRPr="00D11BAB" w:rsidRDefault="00EF5CD6" w:rsidP="00EF5CD6">
      <w:pPr>
        <w:spacing w:after="0" w:line="240" w:lineRule="auto"/>
        <w:jc w:val="center"/>
        <w:rPr>
          <w:rFonts w:ascii="Times New Roman" w:hAnsi="Times New Roman"/>
          <w:sz w:val="28"/>
          <w:szCs w:val="28"/>
        </w:rPr>
      </w:pPr>
      <w:r w:rsidRPr="00D11BAB">
        <w:rPr>
          <w:rFonts w:ascii="Times New Roman" w:hAnsi="Times New Roman"/>
          <w:noProof/>
          <w:sz w:val="28"/>
          <w:szCs w:val="28"/>
        </w:rPr>
        <w:lastRenderedPageBreak/>
        <w:drawing>
          <wp:inline distT="0" distB="0" distL="0" distR="0" wp14:anchorId="5F2E962B" wp14:editId="1943CB69">
            <wp:extent cx="5356800" cy="3103200"/>
            <wp:effectExtent l="0" t="0" r="0" b="2540"/>
            <wp:docPr id="48" name="Рисунок 15" descr="C:\Users\admin\Downloads\2021052404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admin\Downloads\2021052404050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56800" cy="3103200"/>
                    </a:xfrm>
                    <a:prstGeom prst="rect">
                      <a:avLst/>
                    </a:prstGeom>
                    <a:noFill/>
                    <a:ln>
                      <a:noFill/>
                    </a:ln>
                  </pic:spPr>
                </pic:pic>
              </a:graphicData>
            </a:graphic>
          </wp:inline>
        </w:drawing>
      </w:r>
    </w:p>
    <w:p w14:paraId="736948F7" w14:textId="77777777" w:rsidR="00EF5CD6" w:rsidRPr="00D11BAB" w:rsidRDefault="00EF5CD6" w:rsidP="00EF5CD6">
      <w:pPr>
        <w:tabs>
          <w:tab w:val="left" w:pos="567"/>
        </w:tabs>
        <w:spacing w:after="0" w:line="240" w:lineRule="auto"/>
        <w:jc w:val="center"/>
        <w:rPr>
          <w:rFonts w:ascii="Times New Roman" w:hAnsi="Times New Roman"/>
          <w:sz w:val="16"/>
          <w:szCs w:val="16"/>
        </w:rPr>
      </w:pPr>
    </w:p>
    <w:p w14:paraId="29211049" w14:textId="77777777" w:rsidR="00EF5CD6" w:rsidRDefault="00EF5CD6" w:rsidP="00EF5CD6">
      <w:pPr>
        <w:tabs>
          <w:tab w:val="left" w:pos="567"/>
        </w:tabs>
        <w:spacing w:after="0" w:line="240" w:lineRule="auto"/>
        <w:jc w:val="center"/>
        <w:rPr>
          <w:rFonts w:ascii="Times New Roman" w:hAnsi="Times New Roman"/>
          <w:sz w:val="28"/>
          <w:szCs w:val="28"/>
        </w:rPr>
      </w:pPr>
      <w:r w:rsidRPr="00D11BAB">
        <w:rPr>
          <w:rFonts w:ascii="Times New Roman" w:hAnsi="Times New Roman"/>
          <w:sz w:val="28"/>
          <w:szCs w:val="28"/>
        </w:rPr>
        <w:t xml:space="preserve">Рисунок </w:t>
      </w:r>
      <w:r>
        <w:rPr>
          <w:rFonts w:ascii="Times New Roman" w:hAnsi="Times New Roman"/>
          <w:sz w:val="28"/>
          <w:szCs w:val="28"/>
        </w:rPr>
        <w:t>24</w:t>
      </w:r>
      <w:r w:rsidRPr="00D11BAB">
        <w:rPr>
          <w:rFonts w:ascii="Times New Roman" w:hAnsi="Times New Roman"/>
          <w:sz w:val="28"/>
          <w:szCs w:val="28"/>
        </w:rPr>
        <w:t xml:space="preserve"> – Частота электролитных нарушений у больных после радикального хирургического лечения злокачественных новообразований ободочной кишки</w:t>
      </w:r>
    </w:p>
    <w:p w14:paraId="747A915D" w14:textId="77777777" w:rsidR="00EF5CD6" w:rsidRDefault="00EF5CD6" w:rsidP="00EF5CD6">
      <w:pPr>
        <w:tabs>
          <w:tab w:val="left" w:pos="567"/>
        </w:tabs>
        <w:spacing w:after="0" w:line="240" w:lineRule="auto"/>
        <w:jc w:val="center"/>
        <w:rPr>
          <w:rFonts w:ascii="Times New Roman" w:hAnsi="Times New Roman"/>
          <w:sz w:val="28"/>
          <w:szCs w:val="28"/>
        </w:rPr>
      </w:pPr>
    </w:p>
    <w:p w14:paraId="1D279C9E" w14:textId="77777777" w:rsidR="00EF5CD6" w:rsidRDefault="00EF5CD6" w:rsidP="00EF5CD6">
      <w:pPr>
        <w:tabs>
          <w:tab w:val="left" w:pos="567"/>
        </w:tabs>
        <w:spacing w:after="0" w:line="240" w:lineRule="auto"/>
        <w:jc w:val="center"/>
        <w:rPr>
          <w:rFonts w:ascii="Times New Roman" w:hAnsi="Times New Roman"/>
          <w:sz w:val="28"/>
          <w:szCs w:val="28"/>
        </w:rPr>
      </w:pPr>
    </w:p>
    <w:p w14:paraId="13B00862" w14:textId="77777777" w:rsidR="00EF5CD6" w:rsidRPr="00D11BAB" w:rsidRDefault="00EF5CD6" w:rsidP="00EF5CD6">
      <w:pPr>
        <w:tabs>
          <w:tab w:val="left" w:pos="567"/>
        </w:tabs>
        <w:spacing w:after="0" w:line="240" w:lineRule="auto"/>
        <w:ind w:firstLine="567"/>
        <w:jc w:val="both"/>
        <w:rPr>
          <w:rFonts w:ascii="Times New Roman" w:hAnsi="Times New Roman"/>
          <w:sz w:val="28"/>
          <w:szCs w:val="28"/>
        </w:rPr>
      </w:pPr>
      <w:r w:rsidRPr="00D11BAB">
        <w:rPr>
          <w:rFonts w:ascii="Times New Roman" w:hAnsi="Times New Roman"/>
          <w:sz w:val="28"/>
          <w:szCs w:val="28"/>
        </w:rPr>
        <w:t>В большинстве случаев у одного больного определялся дисбаланс нескольких электролитов одновременно. 1 степень тяжести электролитных нарушений встречалась у 31 больных, что составляет 40%, 2 степень тяжести электролитных нарушений определена у 1/2 больных, что соответствует частоте встречаемости 38(48%). 3 степень тяжести электролитных нарушений встречалась реже 9 (12,4%).  (</w:t>
      </w:r>
      <w:proofErr w:type="gramStart"/>
      <w:r w:rsidRPr="00D11BAB">
        <w:rPr>
          <w:rFonts w:ascii="Times New Roman" w:hAnsi="Times New Roman"/>
          <w:sz w:val="28"/>
          <w:szCs w:val="28"/>
        </w:rPr>
        <w:t>рисунок</w:t>
      </w:r>
      <w:proofErr w:type="gramEnd"/>
      <w:r w:rsidRPr="00D11BAB">
        <w:rPr>
          <w:rFonts w:ascii="Times New Roman" w:hAnsi="Times New Roman"/>
          <w:sz w:val="28"/>
          <w:szCs w:val="28"/>
        </w:rPr>
        <w:t xml:space="preserve"> </w:t>
      </w:r>
      <w:r>
        <w:rPr>
          <w:rFonts w:ascii="Times New Roman" w:hAnsi="Times New Roman"/>
          <w:sz w:val="28"/>
          <w:szCs w:val="28"/>
          <w:lang w:val="kk-KZ"/>
        </w:rPr>
        <w:t>25</w:t>
      </w:r>
      <w:r w:rsidRPr="00D11BAB">
        <w:rPr>
          <w:rFonts w:ascii="Times New Roman" w:hAnsi="Times New Roman"/>
          <w:sz w:val="28"/>
          <w:szCs w:val="28"/>
        </w:rPr>
        <w:t>).</w:t>
      </w:r>
    </w:p>
    <w:p w14:paraId="633E46CE" w14:textId="77777777" w:rsidR="00EF5CD6" w:rsidRPr="00D11BAB" w:rsidRDefault="00EF5CD6" w:rsidP="00EF5CD6">
      <w:pPr>
        <w:tabs>
          <w:tab w:val="left" w:pos="567"/>
        </w:tabs>
        <w:spacing w:after="0" w:line="240" w:lineRule="auto"/>
        <w:jc w:val="center"/>
        <w:rPr>
          <w:rFonts w:ascii="Times New Roman" w:hAnsi="Times New Roman"/>
          <w:sz w:val="28"/>
          <w:szCs w:val="28"/>
        </w:rPr>
      </w:pPr>
    </w:p>
    <w:p w14:paraId="672F374F" w14:textId="77777777" w:rsidR="00EF5CD6" w:rsidRPr="00D11BAB" w:rsidRDefault="00EF5CD6" w:rsidP="00EF5CD6">
      <w:pPr>
        <w:tabs>
          <w:tab w:val="left" w:pos="567"/>
        </w:tabs>
        <w:spacing w:after="0" w:line="240" w:lineRule="auto"/>
        <w:jc w:val="center"/>
        <w:rPr>
          <w:rFonts w:ascii="Times New Roman" w:hAnsi="Times New Roman"/>
          <w:sz w:val="28"/>
          <w:szCs w:val="28"/>
        </w:rPr>
      </w:pPr>
    </w:p>
    <w:p w14:paraId="1969AFD0" w14:textId="77777777" w:rsidR="00EF5CD6" w:rsidRPr="00D11BAB" w:rsidRDefault="00EF5CD6" w:rsidP="00EF5CD6">
      <w:pPr>
        <w:spacing w:after="0" w:line="240" w:lineRule="auto"/>
        <w:jc w:val="center"/>
        <w:rPr>
          <w:rFonts w:ascii="Times New Roman" w:hAnsi="Times New Roman"/>
          <w:sz w:val="28"/>
          <w:szCs w:val="28"/>
        </w:rPr>
      </w:pPr>
      <w:r w:rsidRPr="00D11BAB">
        <w:rPr>
          <w:rFonts w:ascii="Times New Roman" w:hAnsi="Times New Roman"/>
          <w:noProof/>
          <w:sz w:val="28"/>
          <w:szCs w:val="28"/>
        </w:rPr>
        <w:drawing>
          <wp:inline distT="0" distB="0" distL="0" distR="0" wp14:anchorId="58DF422D" wp14:editId="07FA99AF">
            <wp:extent cx="4012565" cy="2679065"/>
            <wp:effectExtent l="0" t="0" r="0" b="0"/>
            <wp:docPr id="4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68A7770" w14:textId="77777777" w:rsidR="00EF5CD6" w:rsidRPr="00BB1768" w:rsidRDefault="00EF5CD6" w:rsidP="00EF5CD6">
      <w:pPr>
        <w:tabs>
          <w:tab w:val="left" w:pos="567"/>
        </w:tabs>
        <w:spacing w:after="0" w:line="240" w:lineRule="auto"/>
        <w:ind w:firstLine="709"/>
        <w:jc w:val="both"/>
        <w:rPr>
          <w:rFonts w:ascii="Times New Roman" w:hAnsi="Times New Roman"/>
          <w:sz w:val="28"/>
          <w:szCs w:val="28"/>
        </w:rPr>
      </w:pPr>
      <w:r w:rsidRPr="00D11BAB">
        <w:rPr>
          <w:rFonts w:ascii="Times New Roman" w:hAnsi="Times New Roman"/>
          <w:noProof/>
          <w:sz w:val="16"/>
          <w:szCs w:val="16"/>
        </w:rPr>
        <w:drawing>
          <wp:inline distT="0" distB="0" distL="0" distR="0" wp14:anchorId="33E6802E" wp14:editId="2CD021A1">
            <wp:extent cx="160020" cy="152400"/>
            <wp:effectExtent l="0" t="0" r="0" b="0"/>
            <wp:docPr id="50" name="Рисунок 34" descr="Просмотр диа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Просмотр диаграммы"/>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rsidRPr="00D11BAB">
        <w:rPr>
          <w:rFonts w:ascii="Times New Roman" w:hAnsi="Times New Roman"/>
          <w:noProof/>
          <w:sz w:val="16"/>
          <w:szCs w:val="16"/>
        </w:rPr>
        <w:drawing>
          <wp:inline distT="0" distB="0" distL="0" distR="0" wp14:anchorId="47A6EAD0" wp14:editId="698B18C8">
            <wp:extent cx="160020" cy="152400"/>
            <wp:effectExtent l="0" t="0" r="0" b="0"/>
            <wp:docPr id="21" name="Рисунок 35" descr="Просмотр диа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Просмотр диаграммы"/>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p>
    <w:p w14:paraId="0914B1FF" w14:textId="77777777" w:rsidR="00EF5CD6" w:rsidRPr="00D11BAB" w:rsidRDefault="00EF5CD6" w:rsidP="00EF5CD6">
      <w:pPr>
        <w:tabs>
          <w:tab w:val="left" w:pos="567"/>
        </w:tabs>
        <w:spacing w:after="0" w:line="240" w:lineRule="auto"/>
        <w:jc w:val="center"/>
        <w:rPr>
          <w:rFonts w:ascii="Times New Roman" w:hAnsi="Times New Roman"/>
          <w:sz w:val="28"/>
          <w:szCs w:val="28"/>
        </w:rPr>
      </w:pPr>
      <w:r w:rsidRPr="00D11BAB">
        <w:rPr>
          <w:rFonts w:ascii="Times New Roman" w:hAnsi="Times New Roman"/>
          <w:sz w:val="28"/>
          <w:szCs w:val="28"/>
        </w:rPr>
        <w:t xml:space="preserve">Рисунок </w:t>
      </w:r>
      <w:r>
        <w:rPr>
          <w:rFonts w:ascii="Times New Roman" w:hAnsi="Times New Roman"/>
          <w:sz w:val="28"/>
          <w:szCs w:val="28"/>
        </w:rPr>
        <w:t>25</w:t>
      </w:r>
      <w:r w:rsidRPr="00D11BAB">
        <w:rPr>
          <w:rFonts w:ascii="Times New Roman" w:hAnsi="Times New Roman"/>
          <w:sz w:val="28"/>
          <w:szCs w:val="28"/>
        </w:rPr>
        <w:t xml:space="preserve"> – Распределение больных в зависимости от степени тяжести электролитных нарушений</w:t>
      </w:r>
    </w:p>
    <w:p w14:paraId="79FD40DA" w14:textId="77777777" w:rsidR="00EF5CD6" w:rsidRDefault="00EF5CD6" w:rsidP="00EF5CD6">
      <w:pPr>
        <w:tabs>
          <w:tab w:val="left" w:pos="567"/>
        </w:tabs>
        <w:spacing w:after="0" w:line="240" w:lineRule="auto"/>
        <w:ind w:firstLine="567"/>
        <w:jc w:val="both"/>
        <w:rPr>
          <w:rFonts w:ascii="Times New Roman" w:hAnsi="Times New Roman"/>
          <w:sz w:val="28"/>
          <w:szCs w:val="28"/>
        </w:rPr>
      </w:pPr>
      <w:r w:rsidRPr="00D11BAB">
        <w:rPr>
          <w:rFonts w:ascii="Times New Roman" w:hAnsi="Times New Roman"/>
          <w:sz w:val="28"/>
          <w:szCs w:val="28"/>
        </w:rPr>
        <w:lastRenderedPageBreak/>
        <w:t>Проведен анализ частоты встречаемости электролитных нарушений в зависимости от возраста, пола и ИМТ. Статистический анализ показал, что наиболее уязвимые к развитию электролитных нарушений больные в возрастной категории старше 60 лет (</w:t>
      </w:r>
      <w:r w:rsidRPr="00D11BAB">
        <w:rPr>
          <w:rFonts w:ascii="Times New Roman" w:hAnsi="Times New Roman"/>
          <w:sz w:val="28"/>
          <w:szCs w:val="28"/>
          <w:lang w:val="en-US"/>
        </w:rPr>
        <w:t>p</w:t>
      </w:r>
      <w:r w:rsidRPr="00D11BAB">
        <w:rPr>
          <w:rFonts w:ascii="Times New Roman" w:hAnsi="Times New Roman"/>
          <w:sz w:val="28"/>
          <w:szCs w:val="28"/>
        </w:rPr>
        <w:t>=0,011). Частота развития электролитных нарушений статистический значимо не различалась между мужским и женским полом (р=0,083). У больных с низким ИМТ (˂18 кг/м</w:t>
      </w:r>
      <w:r w:rsidRPr="00D11BAB">
        <w:rPr>
          <w:rFonts w:ascii="Times New Roman" w:hAnsi="Times New Roman"/>
          <w:sz w:val="28"/>
          <w:szCs w:val="28"/>
          <w:vertAlign w:val="superscript"/>
        </w:rPr>
        <w:t>2</w:t>
      </w:r>
      <w:r w:rsidRPr="00D11BAB">
        <w:rPr>
          <w:rFonts w:ascii="Times New Roman" w:hAnsi="Times New Roman"/>
          <w:sz w:val="28"/>
          <w:szCs w:val="28"/>
        </w:rPr>
        <w:t>) наиболее часто развивались электролитные нарушения по сравнению с больными с нормальным и высоким ИМТ (р=0,001) (рисунок 2</w:t>
      </w:r>
      <w:r>
        <w:rPr>
          <w:rFonts w:ascii="Times New Roman" w:hAnsi="Times New Roman"/>
          <w:sz w:val="28"/>
          <w:szCs w:val="28"/>
        </w:rPr>
        <w:t>6</w:t>
      </w:r>
      <w:r w:rsidRPr="00D11BAB">
        <w:rPr>
          <w:rFonts w:ascii="Times New Roman" w:hAnsi="Times New Roman"/>
          <w:sz w:val="28"/>
          <w:szCs w:val="28"/>
        </w:rPr>
        <w:t>).</w:t>
      </w:r>
    </w:p>
    <w:p w14:paraId="03ADD466" w14:textId="77777777" w:rsidR="00EF5CD6" w:rsidRDefault="00EF5CD6" w:rsidP="00EF5CD6">
      <w:pPr>
        <w:tabs>
          <w:tab w:val="left" w:pos="567"/>
        </w:tabs>
        <w:spacing w:after="0" w:line="240" w:lineRule="auto"/>
        <w:ind w:firstLine="567"/>
        <w:jc w:val="both"/>
        <w:rPr>
          <w:rFonts w:ascii="Times New Roman" w:hAnsi="Times New Roman"/>
          <w:sz w:val="28"/>
          <w:szCs w:val="28"/>
        </w:rPr>
      </w:pPr>
    </w:p>
    <w:p w14:paraId="3EBA016E" w14:textId="77777777" w:rsidR="00EF5CD6" w:rsidRPr="00D11BAB" w:rsidRDefault="00EF5CD6" w:rsidP="00EF5CD6">
      <w:pPr>
        <w:tabs>
          <w:tab w:val="left" w:pos="567"/>
        </w:tabs>
        <w:spacing w:after="0" w:line="240" w:lineRule="auto"/>
        <w:ind w:firstLine="567"/>
        <w:jc w:val="both"/>
        <w:rPr>
          <w:rFonts w:ascii="Times New Roman" w:hAnsi="Times New Roman"/>
          <w:sz w:val="28"/>
          <w:szCs w:val="28"/>
        </w:rPr>
      </w:pPr>
    </w:p>
    <w:p w14:paraId="00D5B188" w14:textId="77777777" w:rsidR="00EF5CD6" w:rsidRPr="00D11BAB" w:rsidRDefault="00EF5CD6" w:rsidP="00EF5CD6">
      <w:pPr>
        <w:tabs>
          <w:tab w:val="left" w:pos="567"/>
        </w:tabs>
        <w:spacing w:after="0" w:line="240" w:lineRule="auto"/>
        <w:ind w:firstLine="709"/>
        <w:jc w:val="center"/>
        <w:rPr>
          <w:rFonts w:ascii="Times New Roman" w:hAnsi="Times New Roman"/>
          <w:sz w:val="28"/>
          <w:szCs w:val="28"/>
        </w:rPr>
      </w:pPr>
      <w:r w:rsidRPr="00D11BAB">
        <w:rPr>
          <w:rFonts w:ascii="Times New Roman" w:hAnsi="Times New Roman"/>
          <w:noProof/>
        </w:rPr>
        <w:drawing>
          <wp:inline distT="0" distB="0" distL="0" distR="0" wp14:anchorId="1842AE17" wp14:editId="511D5E61">
            <wp:extent cx="160020" cy="152400"/>
            <wp:effectExtent l="0" t="0" r="0" b="0"/>
            <wp:docPr id="22" name="Рисунок 24" descr="Просмотр диа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Просмотр диаграммы"/>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rsidRPr="00D11BAB">
        <w:rPr>
          <w:rFonts w:ascii="Times New Roman" w:hAnsi="Times New Roman"/>
          <w:noProof/>
          <w:sz w:val="28"/>
          <w:szCs w:val="28"/>
        </w:rPr>
        <w:drawing>
          <wp:inline distT="0" distB="0" distL="0" distR="0" wp14:anchorId="6EBA87A7" wp14:editId="04F2F866">
            <wp:extent cx="5836920" cy="3108960"/>
            <wp:effectExtent l="0" t="0" r="0" b="0"/>
            <wp:docPr id="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36920" cy="3108960"/>
                    </a:xfrm>
                    <a:prstGeom prst="rect">
                      <a:avLst/>
                    </a:prstGeom>
                    <a:noFill/>
                    <a:ln>
                      <a:noFill/>
                    </a:ln>
                  </pic:spPr>
                </pic:pic>
              </a:graphicData>
            </a:graphic>
          </wp:inline>
        </w:drawing>
      </w:r>
    </w:p>
    <w:p w14:paraId="21085658" w14:textId="77777777" w:rsidR="00EF5CD6" w:rsidRPr="00D11BAB" w:rsidRDefault="00EF5CD6" w:rsidP="00EF5CD6">
      <w:pPr>
        <w:tabs>
          <w:tab w:val="left" w:pos="567"/>
        </w:tabs>
        <w:spacing w:after="0" w:line="240" w:lineRule="auto"/>
        <w:jc w:val="center"/>
        <w:rPr>
          <w:rFonts w:ascii="Times New Roman" w:hAnsi="Times New Roman"/>
          <w:sz w:val="16"/>
          <w:szCs w:val="16"/>
        </w:rPr>
      </w:pPr>
    </w:p>
    <w:p w14:paraId="57E540B1" w14:textId="77777777" w:rsidR="00EF5CD6" w:rsidRPr="00D11BAB" w:rsidRDefault="00EF5CD6" w:rsidP="00EF5CD6">
      <w:pPr>
        <w:tabs>
          <w:tab w:val="left" w:pos="567"/>
        </w:tabs>
        <w:spacing w:after="0" w:line="240" w:lineRule="auto"/>
        <w:jc w:val="center"/>
        <w:rPr>
          <w:rFonts w:ascii="Times New Roman" w:hAnsi="Times New Roman"/>
          <w:sz w:val="28"/>
          <w:szCs w:val="28"/>
        </w:rPr>
      </w:pPr>
      <w:r w:rsidRPr="00D11BAB">
        <w:rPr>
          <w:rFonts w:ascii="Times New Roman" w:hAnsi="Times New Roman"/>
          <w:sz w:val="28"/>
          <w:szCs w:val="28"/>
        </w:rPr>
        <w:t>Рисунок 2</w:t>
      </w:r>
      <w:r>
        <w:rPr>
          <w:rFonts w:ascii="Times New Roman" w:hAnsi="Times New Roman"/>
          <w:sz w:val="28"/>
          <w:szCs w:val="28"/>
        </w:rPr>
        <w:t>6</w:t>
      </w:r>
      <w:r w:rsidRPr="00D11BAB">
        <w:rPr>
          <w:rFonts w:ascii="Times New Roman" w:hAnsi="Times New Roman"/>
          <w:sz w:val="28"/>
          <w:szCs w:val="28"/>
        </w:rPr>
        <w:t xml:space="preserve"> – Распространённость электролитных нарушений в зависимости от возраста, пола и ИМТ</w:t>
      </w:r>
    </w:p>
    <w:p w14:paraId="10EF99A9" w14:textId="77777777" w:rsidR="00EF5CD6" w:rsidRDefault="00EF5CD6" w:rsidP="00EF5CD6">
      <w:pPr>
        <w:tabs>
          <w:tab w:val="left" w:pos="567"/>
        </w:tabs>
        <w:spacing w:after="0" w:line="240" w:lineRule="auto"/>
        <w:ind w:firstLine="709"/>
        <w:jc w:val="both"/>
        <w:rPr>
          <w:rFonts w:ascii="Times New Roman" w:hAnsi="Times New Roman"/>
          <w:sz w:val="28"/>
          <w:szCs w:val="28"/>
        </w:rPr>
      </w:pPr>
    </w:p>
    <w:p w14:paraId="52E6B1F9" w14:textId="77777777" w:rsidR="00EF5CD6" w:rsidRDefault="00EF5CD6" w:rsidP="00EF5CD6">
      <w:pPr>
        <w:tabs>
          <w:tab w:val="left" w:pos="567"/>
        </w:tabs>
        <w:spacing w:after="0" w:line="240" w:lineRule="auto"/>
        <w:ind w:firstLine="709"/>
        <w:jc w:val="both"/>
        <w:rPr>
          <w:rFonts w:ascii="Times New Roman" w:hAnsi="Times New Roman"/>
          <w:sz w:val="28"/>
          <w:szCs w:val="28"/>
        </w:rPr>
      </w:pPr>
    </w:p>
    <w:p w14:paraId="77468588" w14:textId="1F152CF5" w:rsidR="00EF5CD6" w:rsidRDefault="00F75C91" w:rsidP="00EF5CD6">
      <w:pPr>
        <w:tabs>
          <w:tab w:val="left" w:pos="567"/>
        </w:tabs>
        <w:spacing w:after="0" w:line="240" w:lineRule="auto"/>
        <w:ind w:firstLine="709"/>
        <w:jc w:val="both"/>
        <w:rPr>
          <w:rFonts w:ascii="Times New Roman" w:hAnsi="Times New Roman"/>
          <w:sz w:val="28"/>
          <w:szCs w:val="28"/>
        </w:rPr>
      </w:pPr>
      <w:r w:rsidRPr="00D11BAB">
        <w:rPr>
          <w:rFonts w:ascii="Times New Roman" w:hAnsi="Times New Roman"/>
          <w:sz w:val="28"/>
          <w:szCs w:val="28"/>
        </w:rPr>
        <w:t>Согласно тепловой карте,</w:t>
      </w:r>
      <w:r w:rsidR="00EF5CD6" w:rsidRPr="00D11BAB">
        <w:rPr>
          <w:rFonts w:ascii="Times New Roman" w:hAnsi="Times New Roman"/>
          <w:sz w:val="28"/>
          <w:szCs w:val="28"/>
        </w:rPr>
        <w:t xml:space="preserve"> распространенность электролитных нарушений варьирует после различных операций (рисунок 2</w:t>
      </w:r>
      <w:r w:rsidR="00EF5CD6">
        <w:rPr>
          <w:rFonts w:ascii="Times New Roman" w:hAnsi="Times New Roman"/>
          <w:sz w:val="28"/>
          <w:szCs w:val="28"/>
        </w:rPr>
        <w:t>7</w:t>
      </w:r>
      <w:r w:rsidR="00EF5CD6" w:rsidRPr="00D11BAB">
        <w:rPr>
          <w:rFonts w:ascii="Times New Roman" w:hAnsi="Times New Roman"/>
          <w:sz w:val="28"/>
          <w:szCs w:val="28"/>
        </w:rPr>
        <w:t xml:space="preserve">). Большинство показателей электролитного баланса были снижены у больных при локализациях рака в восходящей ободочной кишке и в печеночном изгибе ободочной кишки. В частности, при раке восходящей ободочной кишки </w:t>
      </w:r>
      <w:proofErr w:type="spellStart"/>
      <w:r w:rsidR="00EF5CD6" w:rsidRPr="00D11BAB">
        <w:rPr>
          <w:rFonts w:ascii="Times New Roman" w:hAnsi="Times New Roman"/>
          <w:sz w:val="28"/>
          <w:szCs w:val="28"/>
        </w:rPr>
        <w:t>гипонатриемия</w:t>
      </w:r>
      <w:proofErr w:type="spellEnd"/>
      <w:r w:rsidR="00EF5CD6" w:rsidRPr="00D11BAB">
        <w:rPr>
          <w:rFonts w:ascii="Times New Roman" w:hAnsi="Times New Roman"/>
          <w:sz w:val="28"/>
          <w:szCs w:val="28"/>
        </w:rPr>
        <w:t xml:space="preserve"> встречалась в 14, </w:t>
      </w:r>
      <w:proofErr w:type="spellStart"/>
      <w:r w:rsidR="00EF5CD6" w:rsidRPr="00D11BAB">
        <w:rPr>
          <w:rFonts w:ascii="Times New Roman" w:hAnsi="Times New Roman"/>
          <w:sz w:val="28"/>
          <w:szCs w:val="28"/>
        </w:rPr>
        <w:t>гипохлоремия</w:t>
      </w:r>
      <w:proofErr w:type="spellEnd"/>
      <w:r w:rsidR="00EF5CD6" w:rsidRPr="00D11BAB">
        <w:rPr>
          <w:rFonts w:ascii="Times New Roman" w:hAnsi="Times New Roman"/>
          <w:sz w:val="28"/>
          <w:szCs w:val="28"/>
        </w:rPr>
        <w:t xml:space="preserve"> в 8 и </w:t>
      </w:r>
      <w:proofErr w:type="spellStart"/>
      <w:r w:rsidR="00EF5CD6" w:rsidRPr="00D11BAB">
        <w:rPr>
          <w:rFonts w:ascii="Times New Roman" w:hAnsi="Times New Roman"/>
          <w:sz w:val="28"/>
          <w:szCs w:val="28"/>
        </w:rPr>
        <w:t>гипокалиемия</w:t>
      </w:r>
      <w:proofErr w:type="spellEnd"/>
      <w:r w:rsidR="00EF5CD6" w:rsidRPr="00D11BAB">
        <w:rPr>
          <w:rFonts w:ascii="Times New Roman" w:hAnsi="Times New Roman"/>
          <w:sz w:val="28"/>
          <w:szCs w:val="28"/>
        </w:rPr>
        <w:t xml:space="preserve"> в 7 случаях. Основными причинами </w:t>
      </w:r>
      <w:proofErr w:type="spellStart"/>
      <w:r w:rsidR="00EF5CD6" w:rsidRPr="00D11BAB">
        <w:rPr>
          <w:rFonts w:ascii="Times New Roman" w:hAnsi="Times New Roman"/>
          <w:sz w:val="28"/>
          <w:szCs w:val="28"/>
        </w:rPr>
        <w:t>гипонатриемии</w:t>
      </w:r>
      <w:proofErr w:type="spellEnd"/>
      <w:r w:rsidR="00EF5CD6" w:rsidRPr="00D11BAB">
        <w:rPr>
          <w:rFonts w:ascii="Times New Roman" w:hAnsi="Times New Roman"/>
          <w:sz w:val="28"/>
          <w:szCs w:val="28"/>
        </w:rPr>
        <w:t xml:space="preserve"> у больных со злокачественными новообразованиями являются диарея, рвота, кровотечения, асцит, перитонит или кишечная непроходимость. Потеря калия через желудочно-кишечный тракт возможна у онкологических больных при диареи, лучевом энтерите и висцеральных опухолях </w:t>
      </w:r>
      <w:r w:rsidR="00EF5CD6" w:rsidRPr="00D11BAB">
        <w:rPr>
          <w:rFonts w:ascii="Times New Roman" w:hAnsi="Times New Roman"/>
          <w:sz w:val="28"/>
          <w:szCs w:val="28"/>
        </w:rPr>
        <w:fldChar w:fldCharType="begin"/>
      </w:r>
      <w:r w:rsidR="00EF5CD6" w:rsidRPr="00D11BAB">
        <w:rPr>
          <w:rFonts w:ascii="Times New Roman" w:hAnsi="Times New Roman"/>
          <w:sz w:val="28"/>
          <w:szCs w:val="28"/>
        </w:rPr>
        <w:instrText xml:space="preserve"> ADDIN ZOTERO_ITEM CSL_CITATION {"citationID":"a17tsgfoe2o","properties":{"formattedCitation":"[129]","plainCitation":"[129]","noteIndex":0},"citationItems":[{"id":33,"uris":["http://zotero.org/users/7388323/items/WJ9EKZ9K"],"uri":["http://zotero.org/users/7388323/items/WJ9EKZ9K"],"itemData":{"id":33,"type":"article-journal","abstract":"Patients with cancer frequently exhibit acid-base and electrolyte disturbances that complicate their management and prolong their hospitalization. The mechanisms encountered for these abnormalities are multifactorial in origin. Both the underlying disease and the therapeutic interventions can contribute to the development of these disturbances. An understanding of the mechanisms involved in their pathogenesis is of paramount importance for their prevention and treatment in cancer patients. This article briefly reviews the causes and the pathophysiology of acid-base and electrolyte abnormalities observed in cancer patients.","container-title":"European Journal of Internal Medicine","DOI":"10.1016/j.ejim.2007.04.016","ISSN":"1879-0828","issue":"1","journalAbbreviation":"Eur J Intern Med","language":"eng","note":"PMID: 18206594","page":"1-7","source":"PubMed","title":"Causes and mechanisms of acid-base and electrolyte abnormalities in cancer patients","volume":"19","author":[{"family":"Miltiadous","given":"George"},{"family":"Christidis","given":"Dimitrios"},{"family":"Kalogirou","given":"Michalis"},{"family":"Elisaf","given":"Moses"}],"issued":{"date-parts":[["2008",1]]}}}],"schema":"https://github.com/citation-style-language/schema/raw/master/csl-citation.json"} </w:instrText>
      </w:r>
      <w:r w:rsidR="00EF5CD6" w:rsidRPr="00D11BAB">
        <w:rPr>
          <w:rFonts w:ascii="Times New Roman" w:hAnsi="Times New Roman"/>
          <w:sz w:val="28"/>
          <w:szCs w:val="28"/>
        </w:rPr>
        <w:fldChar w:fldCharType="separate"/>
      </w:r>
      <w:r w:rsidR="00EF5CD6" w:rsidRPr="00D11BAB">
        <w:rPr>
          <w:rFonts w:ascii="Times New Roman" w:hAnsi="Times New Roman"/>
          <w:sz w:val="28"/>
          <w:szCs w:val="24"/>
        </w:rPr>
        <w:t xml:space="preserve">[140,                            </w:t>
      </w:r>
      <w:r w:rsidR="00EF5CD6" w:rsidRPr="00D11BAB">
        <w:rPr>
          <w:rFonts w:ascii="Times New Roman" w:hAnsi="Times New Roman"/>
          <w:sz w:val="28"/>
          <w:szCs w:val="24"/>
          <w:lang w:val="en-US"/>
        </w:rPr>
        <w:t>p</w:t>
      </w:r>
      <w:r w:rsidR="00EF5CD6" w:rsidRPr="00D11BAB">
        <w:rPr>
          <w:rFonts w:ascii="Times New Roman" w:hAnsi="Times New Roman"/>
          <w:sz w:val="28"/>
          <w:szCs w:val="24"/>
        </w:rPr>
        <w:t>. 5]</w:t>
      </w:r>
      <w:r w:rsidR="00EF5CD6" w:rsidRPr="00D11BAB">
        <w:rPr>
          <w:rFonts w:ascii="Times New Roman" w:hAnsi="Times New Roman"/>
          <w:sz w:val="28"/>
          <w:szCs w:val="28"/>
        </w:rPr>
        <w:fldChar w:fldCharType="end"/>
      </w:r>
      <w:r w:rsidR="00EF5CD6" w:rsidRPr="00D11BAB">
        <w:rPr>
          <w:rFonts w:ascii="Times New Roman" w:hAnsi="Times New Roman"/>
          <w:sz w:val="28"/>
          <w:szCs w:val="28"/>
        </w:rPr>
        <w:t>.</w:t>
      </w:r>
    </w:p>
    <w:p w14:paraId="677D97B5" w14:textId="77777777" w:rsidR="00EF5CD6" w:rsidRDefault="00EF5CD6" w:rsidP="00EF5CD6">
      <w:pPr>
        <w:tabs>
          <w:tab w:val="left" w:pos="567"/>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Более реже встречались </w:t>
      </w:r>
      <w:proofErr w:type="spellStart"/>
      <w:r w:rsidRPr="00D11BAB">
        <w:rPr>
          <w:rFonts w:ascii="Times New Roman" w:hAnsi="Times New Roman"/>
          <w:sz w:val="28"/>
          <w:szCs w:val="28"/>
        </w:rPr>
        <w:t>гипомагниемия</w:t>
      </w:r>
      <w:proofErr w:type="spellEnd"/>
      <w:r w:rsidRPr="00D11BAB">
        <w:rPr>
          <w:rFonts w:ascii="Times New Roman" w:hAnsi="Times New Roman"/>
          <w:sz w:val="28"/>
          <w:szCs w:val="28"/>
        </w:rPr>
        <w:t xml:space="preserve"> – в 3 случаях. </w:t>
      </w:r>
      <w:proofErr w:type="spellStart"/>
      <w:r w:rsidRPr="00D11BAB">
        <w:rPr>
          <w:rFonts w:ascii="Times New Roman" w:hAnsi="Times New Roman"/>
          <w:sz w:val="28"/>
          <w:szCs w:val="28"/>
        </w:rPr>
        <w:t>Гипомагниемия</w:t>
      </w:r>
      <w:proofErr w:type="spellEnd"/>
      <w:r w:rsidRPr="00D11BAB">
        <w:rPr>
          <w:rFonts w:ascii="Times New Roman" w:hAnsi="Times New Roman"/>
          <w:sz w:val="28"/>
          <w:szCs w:val="28"/>
        </w:rPr>
        <w:t xml:space="preserve"> развивается в результате ингибирования химиотерапевтическими препаратами </w:t>
      </w:r>
      <w:proofErr w:type="spellStart"/>
      <w:r w:rsidRPr="00D11BAB">
        <w:rPr>
          <w:rFonts w:ascii="Times New Roman" w:hAnsi="Times New Roman"/>
          <w:sz w:val="28"/>
          <w:szCs w:val="28"/>
        </w:rPr>
        <w:t>реабсорбцию</w:t>
      </w:r>
      <w:proofErr w:type="spellEnd"/>
      <w:r w:rsidRPr="00D11BAB">
        <w:rPr>
          <w:rFonts w:ascii="Times New Roman" w:hAnsi="Times New Roman"/>
          <w:sz w:val="28"/>
          <w:szCs w:val="28"/>
        </w:rPr>
        <w:t xml:space="preserve"> магния </w:t>
      </w:r>
      <w:r w:rsidRPr="00D11BAB">
        <w:rPr>
          <w:rFonts w:ascii="Times New Roman" w:hAnsi="Times New Roman"/>
          <w:sz w:val="28"/>
          <w:szCs w:val="28"/>
        </w:rPr>
        <w:fldChar w:fldCharType="begin"/>
      </w:r>
      <w:r w:rsidRPr="00D11BAB">
        <w:rPr>
          <w:rFonts w:ascii="Times New Roman" w:hAnsi="Times New Roman"/>
          <w:sz w:val="28"/>
          <w:szCs w:val="28"/>
        </w:rPr>
        <w:instrText xml:space="preserve"> ADDIN ZOTERO_ITEM CSL_CITATION {"citationID":"an15ailmau","properties":{"formattedCitation":"[217]","plainCitation":"[217]","noteIndex":0},"citationItems":[{"id":890,"uris":["http://zotero.org/users/7388323/items/7BCE33IR"],"uri":["http://zotero.org/users/7388323/items/7BCE33IR"],"itemData":{"id":890,"type":"article-journal","abstract":"Cisplatin is not directly toxic to bone, but cisplatin nephrotoxicity leading to magnesium wasting may affect magnesium and calcium metabolism, both of which contribute to bone integrity. The specificity of the magnesium lesion suggests that cisplatin may have an affinity for proteins that regulate magnesium absorption. Sulfhydryls such as amifostine can reduce the toxicity of cisplatin in adults, but current pediatric data do not indicate a role for sulfhydryl therapy to reduce cisplatin toxicity in children.","container-title":"Medical and Pediatric Oncology","DOI":"10.1002/mpo.10335","ISSN":"0098-1532","issue":"3","journalAbbreviation":"Med Pediatr Oncol","language":"eng","note":"PMID: 12868117","page":"186-189","source":"PubMed","title":"Cisplatin nephrotoxicity affects magnesium and calcium metabolism","volume":"41","author":[{"family":"Goren","given":"Marshall P."}],"issued":{"date-parts":[["2003",9]]}}}],"schema":"https://github.com/citation-style-language/schema/raw/master/csl-citation.json"} </w:instrText>
      </w:r>
      <w:r w:rsidRPr="00D11BAB">
        <w:rPr>
          <w:rFonts w:ascii="Times New Roman" w:hAnsi="Times New Roman"/>
          <w:sz w:val="28"/>
          <w:szCs w:val="28"/>
        </w:rPr>
        <w:fldChar w:fldCharType="separate"/>
      </w:r>
      <w:r w:rsidRPr="00D11BAB">
        <w:rPr>
          <w:rFonts w:ascii="Times New Roman" w:hAnsi="Times New Roman"/>
          <w:sz w:val="28"/>
          <w:szCs w:val="24"/>
        </w:rPr>
        <w:t>[239]</w:t>
      </w:r>
      <w:r w:rsidRPr="00D11BAB">
        <w:rPr>
          <w:rFonts w:ascii="Times New Roman" w:hAnsi="Times New Roman"/>
          <w:sz w:val="28"/>
          <w:szCs w:val="28"/>
        </w:rPr>
        <w:fldChar w:fldCharType="end"/>
      </w:r>
      <w:r w:rsidRPr="00D11BAB">
        <w:rPr>
          <w:rFonts w:ascii="Times New Roman" w:hAnsi="Times New Roman"/>
          <w:sz w:val="28"/>
          <w:szCs w:val="28"/>
        </w:rPr>
        <w:t>.</w:t>
      </w:r>
    </w:p>
    <w:p w14:paraId="5831EAC5" w14:textId="77777777" w:rsidR="00EF5CD6" w:rsidRPr="00D11BAB" w:rsidRDefault="00EF5CD6" w:rsidP="00EF5CD6">
      <w:pPr>
        <w:tabs>
          <w:tab w:val="left" w:pos="567"/>
        </w:tabs>
        <w:spacing w:after="0" w:line="240" w:lineRule="auto"/>
        <w:ind w:firstLine="709"/>
        <w:jc w:val="both"/>
        <w:rPr>
          <w:rFonts w:ascii="Times New Roman" w:hAnsi="Times New Roman"/>
          <w:sz w:val="28"/>
          <w:szCs w:val="28"/>
        </w:rPr>
      </w:pPr>
    </w:p>
    <w:p w14:paraId="0E08769D" w14:textId="77777777" w:rsidR="00EF5CD6" w:rsidRPr="00D11BAB" w:rsidRDefault="00EF5CD6" w:rsidP="00EF5CD6">
      <w:pPr>
        <w:tabs>
          <w:tab w:val="left" w:pos="567"/>
        </w:tabs>
        <w:spacing w:after="0" w:line="240" w:lineRule="auto"/>
        <w:jc w:val="center"/>
        <w:rPr>
          <w:rFonts w:ascii="Times New Roman" w:hAnsi="Times New Roman"/>
          <w:sz w:val="28"/>
          <w:szCs w:val="28"/>
        </w:rPr>
      </w:pPr>
      <w:r w:rsidRPr="00D11BAB">
        <w:rPr>
          <w:rFonts w:ascii="Times New Roman" w:hAnsi="Times New Roman"/>
          <w:noProof/>
          <w:sz w:val="28"/>
          <w:szCs w:val="28"/>
        </w:rPr>
        <w:drawing>
          <wp:inline distT="0" distB="0" distL="0" distR="0" wp14:anchorId="783015BA" wp14:editId="67BE7502">
            <wp:extent cx="5943600" cy="3406140"/>
            <wp:effectExtent l="0" t="0" r="0" b="0"/>
            <wp:docPr id="24" name="Рисунок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1" descr="Char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406140"/>
                    </a:xfrm>
                    <a:prstGeom prst="rect">
                      <a:avLst/>
                    </a:prstGeom>
                    <a:noFill/>
                    <a:ln>
                      <a:noFill/>
                    </a:ln>
                  </pic:spPr>
                </pic:pic>
              </a:graphicData>
            </a:graphic>
          </wp:inline>
        </w:drawing>
      </w:r>
    </w:p>
    <w:p w14:paraId="75BB1FDA" w14:textId="77777777" w:rsidR="00EF5CD6" w:rsidRPr="00D11BAB" w:rsidRDefault="00EF5CD6" w:rsidP="00EF5CD6">
      <w:pPr>
        <w:tabs>
          <w:tab w:val="left" w:pos="567"/>
        </w:tabs>
        <w:spacing w:after="0" w:line="240" w:lineRule="auto"/>
        <w:ind w:firstLine="709"/>
        <w:jc w:val="center"/>
        <w:rPr>
          <w:rFonts w:ascii="Times New Roman" w:hAnsi="Times New Roman"/>
          <w:sz w:val="16"/>
          <w:szCs w:val="16"/>
        </w:rPr>
      </w:pPr>
    </w:p>
    <w:p w14:paraId="26C1DE97" w14:textId="77777777" w:rsidR="00EF5CD6" w:rsidRPr="00D11BAB" w:rsidRDefault="00EF5CD6" w:rsidP="00EF5CD6">
      <w:pPr>
        <w:tabs>
          <w:tab w:val="left" w:pos="567"/>
        </w:tabs>
        <w:spacing w:after="0" w:line="240" w:lineRule="auto"/>
        <w:ind w:firstLine="709"/>
        <w:jc w:val="both"/>
        <w:rPr>
          <w:rFonts w:ascii="Times New Roman" w:hAnsi="Times New Roman"/>
          <w:sz w:val="28"/>
          <w:szCs w:val="28"/>
        </w:rPr>
      </w:pPr>
      <w:r w:rsidRPr="00D11BAB">
        <w:rPr>
          <w:rFonts w:ascii="Times New Roman" w:hAnsi="Times New Roman"/>
          <w:sz w:val="24"/>
          <w:szCs w:val="24"/>
        </w:rPr>
        <w:t xml:space="preserve">* – данные представлены в </w:t>
      </w:r>
      <w:r w:rsidRPr="00D11BAB">
        <w:rPr>
          <w:rFonts w:ascii="Times New Roman" w:hAnsi="Times New Roman"/>
          <w:sz w:val="24"/>
          <w:szCs w:val="24"/>
          <w:lang w:val="en-US"/>
        </w:rPr>
        <w:t>n</w:t>
      </w:r>
    </w:p>
    <w:p w14:paraId="76850C03" w14:textId="77777777" w:rsidR="00EF5CD6" w:rsidRPr="00BB1768" w:rsidRDefault="00EF5CD6" w:rsidP="00EF5CD6">
      <w:pPr>
        <w:tabs>
          <w:tab w:val="left" w:pos="567"/>
        </w:tabs>
        <w:spacing w:after="0" w:line="240" w:lineRule="auto"/>
        <w:jc w:val="center"/>
        <w:rPr>
          <w:rFonts w:ascii="Times New Roman" w:hAnsi="Times New Roman"/>
          <w:sz w:val="28"/>
          <w:szCs w:val="28"/>
        </w:rPr>
      </w:pPr>
    </w:p>
    <w:p w14:paraId="692AC207" w14:textId="77777777" w:rsidR="00EF5CD6" w:rsidRPr="00D11BAB" w:rsidRDefault="00EF5CD6" w:rsidP="00EF5CD6">
      <w:pPr>
        <w:tabs>
          <w:tab w:val="left" w:pos="567"/>
        </w:tabs>
        <w:spacing w:after="0" w:line="240" w:lineRule="auto"/>
        <w:jc w:val="center"/>
        <w:rPr>
          <w:rFonts w:ascii="Times New Roman" w:hAnsi="Times New Roman"/>
          <w:sz w:val="28"/>
          <w:szCs w:val="28"/>
        </w:rPr>
      </w:pPr>
      <w:r w:rsidRPr="00D11BAB">
        <w:rPr>
          <w:rFonts w:ascii="Times New Roman" w:hAnsi="Times New Roman"/>
          <w:sz w:val="28"/>
          <w:szCs w:val="28"/>
        </w:rPr>
        <w:t>Рисунок 2</w:t>
      </w:r>
      <w:r>
        <w:rPr>
          <w:rFonts w:ascii="Times New Roman" w:hAnsi="Times New Roman"/>
          <w:sz w:val="28"/>
          <w:szCs w:val="28"/>
        </w:rPr>
        <w:t>7</w:t>
      </w:r>
      <w:r w:rsidRPr="00D11BAB">
        <w:rPr>
          <w:rFonts w:ascii="Times New Roman" w:hAnsi="Times New Roman"/>
          <w:sz w:val="28"/>
          <w:szCs w:val="28"/>
        </w:rPr>
        <w:t xml:space="preserve"> – Тепловая карта распространенности электролитных нарушений в зависимости от операций</w:t>
      </w:r>
    </w:p>
    <w:p w14:paraId="286278F6" w14:textId="77777777" w:rsidR="00EF5CD6" w:rsidRPr="00D11BAB" w:rsidRDefault="00EF5CD6" w:rsidP="00EF5CD6">
      <w:pPr>
        <w:tabs>
          <w:tab w:val="left" w:pos="567"/>
        </w:tabs>
        <w:spacing w:after="0" w:line="240" w:lineRule="auto"/>
        <w:ind w:firstLine="709"/>
        <w:jc w:val="both"/>
        <w:rPr>
          <w:rFonts w:ascii="Times New Roman" w:hAnsi="Times New Roman"/>
          <w:sz w:val="28"/>
          <w:szCs w:val="28"/>
        </w:rPr>
      </w:pPr>
    </w:p>
    <w:p w14:paraId="64C736DA" w14:textId="77777777" w:rsidR="00EF5CD6" w:rsidRDefault="00EF5CD6" w:rsidP="00EF5CD6">
      <w:pPr>
        <w:tabs>
          <w:tab w:val="left" w:pos="567"/>
        </w:tabs>
        <w:spacing w:after="0" w:line="240" w:lineRule="auto"/>
        <w:ind w:firstLine="709"/>
        <w:jc w:val="both"/>
        <w:rPr>
          <w:rFonts w:ascii="Times New Roman" w:hAnsi="Times New Roman"/>
          <w:sz w:val="28"/>
          <w:szCs w:val="28"/>
        </w:rPr>
      </w:pPr>
    </w:p>
    <w:p w14:paraId="49903FF5" w14:textId="77777777" w:rsidR="00EF5CD6" w:rsidRPr="00D11BAB" w:rsidRDefault="00EF5CD6" w:rsidP="00EF5CD6">
      <w:pPr>
        <w:tabs>
          <w:tab w:val="left" w:pos="567"/>
        </w:tabs>
        <w:spacing w:after="0" w:line="240" w:lineRule="auto"/>
        <w:ind w:firstLine="709"/>
        <w:jc w:val="both"/>
        <w:rPr>
          <w:rFonts w:ascii="Times New Roman" w:hAnsi="Times New Roman"/>
          <w:sz w:val="28"/>
          <w:szCs w:val="28"/>
          <w:lang w:val="kk-KZ"/>
        </w:rPr>
      </w:pPr>
      <w:r w:rsidRPr="00D11BAB">
        <w:rPr>
          <w:rFonts w:ascii="Times New Roman" w:hAnsi="Times New Roman"/>
          <w:sz w:val="28"/>
          <w:szCs w:val="28"/>
        </w:rPr>
        <w:t xml:space="preserve">При локализации рака в печеночном изгибе ободочной кишки </w:t>
      </w:r>
      <w:proofErr w:type="spellStart"/>
      <w:r w:rsidRPr="00D11BAB">
        <w:rPr>
          <w:rFonts w:ascii="Times New Roman" w:hAnsi="Times New Roman"/>
          <w:sz w:val="28"/>
          <w:szCs w:val="28"/>
        </w:rPr>
        <w:t>гипонатриемия</w:t>
      </w:r>
      <w:proofErr w:type="spellEnd"/>
      <w:r w:rsidRPr="00D11BAB">
        <w:rPr>
          <w:rFonts w:ascii="Times New Roman" w:hAnsi="Times New Roman"/>
          <w:sz w:val="28"/>
          <w:szCs w:val="28"/>
        </w:rPr>
        <w:t xml:space="preserve"> наблюдалась в 8, </w:t>
      </w:r>
      <w:proofErr w:type="spellStart"/>
      <w:r w:rsidRPr="00D11BAB">
        <w:rPr>
          <w:rFonts w:ascii="Times New Roman" w:hAnsi="Times New Roman"/>
          <w:sz w:val="28"/>
          <w:szCs w:val="28"/>
        </w:rPr>
        <w:t>гипокалиемия</w:t>
      </w:r>
      <w:proofErr w:type="spellEnd"/>
      <w:r w:rsidRPr="00D11BAB">
        <w:rPr>
          <w:rFonts w:ascii="Times New Roman" w:hAnsi="Times New Roman"/>
          <w:sz w:val="28"/>
          <w:szCs w:val="28"/>
        </w:rPr>
        <w:t xml:space="preserve"> в 4 и </w:t>
      </w:r>
      <w:proofErr w:type="spellStart"/>
      <w:r w:rsidRPr="00D11BAB">
        <w:rPr>
          <w:rFonts w:ascii="Times New Roman" w:hAnsi="Times New Roman"/>
          <w:sz w:val="28"/>
          <w:szCs w:val="28"/>
        </w:rPr>
        <w:t>гипомагниемия</w:t>
      </w:r>
      <w:proofErr w:type="spellEnd"/>
      <w:r w:rsidRPr="00D11BAB">
        <w:rPr>
          <w:rFonts w:ascii="Times New Roman" w:hAnsi="Times New Roman"/>
          <w:sz w:val="28"/>
          <w:szCs w:val="28"/>
        </w:rPr>
        <w:t xml:space="preserve"> в 3 случаях. При левосторонней локализации рака ободочной кишки электролитные нарушения развивались значительно реже.</w:t>
      </w:r>
    </w:p>
    <w:p w14:paraId="3DF27006" w14:textId="77777777" w:rsidR="00EF5CD6" w:rsidRPr="00D11BAB" w:rsidRDefault="00EF5CD6" w:rsidP="00EF5CD6">
      <w:pPr>
        <w:tabs>
          <w:tab w:val="left" w:pos="567"/>
        </w:tabs>
        <w:spacing w:after="0" w:line="240" w:lineRule="auto"/>
        <w:ind w:firstLine="709"/>
        <w:jc w:val="both"/>
        <w:rPr>
          <w:rFonts w:ascii="Times New Roman" w:hAnsi="Times New Roman"/>
          <w:sz w:val="28"/>
          <w:szCs w:val="28"/>
          <w:lang w:val="kk-KZ"/>
        </w:rPr>
      </w:pPr>
      <w:r w:rsidRPr="00D11BAB">
        <w:rPr>
          <w:rFonts w:ascii="Times New Roman" w:hAnsi="Times New Roman"/>
          <w:sz w:val="28"/>
          <w:szCs w:val="28"/>
          <w:lang w:val="kk-KZ"/>
        </w:rPr>
        <w:t>У 79 больных после радикального хирургического лечения рака ободочной кишки были изучены факторы риска</w:t>
      </w:r>
      <w:r w:rsidRPr="00D11BAB">
        <w:rPr>
          <w:rFonts w:ascii="Times New Roman" w:hAnsi="Times New Roman"/>
          <w:sz w:val="28"/>
          <w:szCs w:val="28"/>
        </w:rPr>
        <w:t xml:space="preserve"> развития электролитных нарушений. К факторам риска</w:t>
      </w:r>
      <w:r w:rsidRPr="00D11BAB">
        <w:rPr>
          <w:rFonts w:ascii="Times New Roman" w:hAnsi="Times New Roman"/>
          <w:sz w:val="28"/>
          <w:szCs w:val="28"/>
          <w:lang w:val="kk-KZ"/>
        </w:rPr>
        <w:t xml:space="preserve">, имеющих достоверное влияние на развитие электролитных нарушений, были отнесены: распространенность злокачественного процесса (стадия рака), вид хирургического вмешательства, сопутствующая патология, энтероколит после хирургического лечения рака ободочной кишки. </w:t>
      </w:r>
      <w:r w:rsidRPr="00D11BAB">
        <w:rPr>
          <w:rFonts w:ascii="Times New Roman" w:hAnsi="Times New Roman"/>
          <w:sz w:val="28"/>
          <w:szCs w:val="28"/>
        </w:rPr>
        <w:t xml:space="preserve">Как показано в таблице </w:t>
      </w:r>
      <w:r>
        <w:rPr>
          <w:rFonts w:ascii="Times New Roman" w:hAnsi="Times New Roman"/>
          <w:sz w:val="28"/>
          <w:szCs w:val="28"/>
        </w:rPr>
        <w:t>40</w:t>
      </w:r>
      <w:r w:rsidRPr="00D11BAB">
        <w:rPr>
          <w:rFonts w:ascii="Times New Roman" w:hAnsi="Times New Roman"/>
          <w:sz w:val="28"/>
          <w:szCs w:val="28"/>
        </w:rPr>
        <w:t xml:space="preserve"> больные с </w:t>
      </w:r>
      <w:r w:rsidRPr="00D11BAB">
        <w:rPr>
          <w:rFonts w:ascii="Times New Roman" w:hAnsi="Times New Roman"/>
          <w:sz w:val="28"/>
          <w:szCs w:val="28"/>
          <w:lang w:val="en-US"/>
        </w:rPr>
        <w:t>III</w:t>
      </w:r>
      <w:r w:rsidRPr="00D11BAB">
        <w:rPr>
          <w:rFonts w:ascii="Times New Roman" w:hAnsi="Times New Roman"/>
          <w:sz w:val="28"/>
          <w:szCs w:val="28"/>
        </w:rPr>
        <w:t xml:space="preserve"> стадией (</w:t>
      </w:r>
      <w:r w:rsidRPr="00D11BAB">
        <w:rPr>
          <w:rFonts w:ascii="Times New Roman" w:hAnsi="Times New Roman"/>
          <w:sz w:val="28"/>
          <w:szCs w:val="28"/>
          <w:lang w:val="en-US"/>
        </w:rPr>
        <w:t>RR</w:t>
      </w:r>
      <w:r w:rsidRPr="00D11BAB">
        <w:rPr>
          <w:rFonts w:ascii="Times New Roman" w:hAnsi="Times New Roman"/>
          <w:sz w:val="28"/>
          <w:szCs w:val="28"/>
        </w:rPr>
        <w:t xml:space="preserve"> 1,764 [</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 xml:space="preserve">ДИ </w:t>
      </w:r>
      <w:r w:rsidRPr="00D11BAB">
        <w:rPr>
          <w:rFonts w:ascii="Times New Roman" w:hAnsi="Times New Roman"/>
          <w:sz w:val="28"/>
          <w:szCs w:val="28"/>
        </w:rPr>
        <w:t xml:space="preserve">1,347-2,310]) рака ободочной кишки более подвержены развитию электролитных нарушений по сравнению с </w:t>
      </w:r>
      <w:r w:rsidRPr="00D11BAB">
        <w:rPr>
          <w:rFonts w:ascii="Times New Roman" w:hAnsi="Times New Roman"/>
          <w:sz w:val="28"/>
          <w:szCs w:val="28"/>
          <w:lang w:val="en-US"/>
        </w:rPr>
        <w:t>I</w:t>
      </w:r>
      <w:r w:rsidRPr="00D11BAB">
        <w:rPr>
          <w:rFonts w:ascii="Times New Roman" w:hAnsi="Times New Roman"/>
          <w:sz w:val="28"/>
          <w:szCs w:val="28"/>
        </w:rPr>
        <w:t xml:space="preserve"> </w:t>
      </w:r>
      <w:r w:rsidRPr="00D11BAB">
        <w:rPr>
          <w:rFonts w:ascii="Times New Roman" w:hAnsi="Times New Roman"/>
          <w:sz w:val="28"/>
          <w:szCs w:val="28"/>
          <w:lang w:val="en-US"/>
        </w:rPr>
        <w:t>RR</w:t>
      </w:r>
      <w:r w:rsidRPr="00D11BAB">
        <w:rPr>
          <w:rFonts w:ascii="Times New Roman" w:hAnsi="Times New Roman"/>
          <w:sz w:val="28"/>
          <w:szCs w:val="28"/>
        </w:rPr>
        <w:t xml:space="preserve"> </w:t>
      </w:r>
      <w:r w:rsidRPr="00D11BAB">
        <w:rPr>
          <w:rFonts w:ascii="Times New Roman" w:hAnsi="Times New Roman"/>
          <w:sz w:val="28"/>
          <w:szCs w:val="28"/>
          <w:lang w:val="kk-KZ"/>
        </w:rPr>
        <w:t>0,531</w:t>
      </w:r>
      <w:r w:rsidRPr="00D11BAB">
        <w:rPr>
          <w:rFonts w:ascii="Times New Roman" w:hAnsi="Times New Roman"/>
          <w:sz w:val="28"/>
          <w:szCs w:val="28"/>
        </w:rPr>
        <w:t>[</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 xml:space="preserve">ДИ </w:t>
      </w:r>
      <w:r w:rsidRPr="00D11BAB">
        <w:rPr>
          <w:rFonts w:ascii="Times New Roman" w:hAnsi="Times New Roman"/>
          <w:sz w:val="28"/>
          <w:szCs w:val="28"/>
        </w:rPr>
        <w:t xml:space="preserve">0,235-1,196]) и </w:t>
      </w:r>
      <w:r w:rsidRPr="00D11BAB">
        <w:rPr>
          <w:rFonts w:ascii="Times New Roman" w:hAnsi="Times New Roman"/>
          <w:sz w:val="28"/>
          <w:szCs w:val="28"/>
          <w:lang w:val="en-US"/>
        </w:rPr>
        <w:t>II</w:t>
      </w:r>
      <w:r w:rsidRPr="00D11BAB">
        <w:rPr>
          <w:rFonts w:ascii="Times New Roman" w:hAnsi="Times New Roman"/>
          <w:sz w:val="28"/>
          <w:szCs w:val="28"/>
        </w:rPr>
        <w:t xml:space="preserve"> (</w:t>
      </w:r>
      <w:r w:rsidRPr="00D11BAB">
        <w:rPr>
          <w:rFonts w:ascii="Times New Roman" w:hAnsi="Times New Roman"/>
          <w:sz w:val="28"/>
          <w:szCs w:val="28"/>
          <w:lang w:val="en-US"/>
        </w:rPr>
        <w:t>RR</w:t>
      </w:r>
      <w:r w:rsidRPr="00D11BAB">
        <w:rPr>
          <w:rFonts w:ascii="Times New Roman" w:hAnsi="Times New Roman"/>
          <w:sz w:val="28"/>
          <w:szCs w:val="28"/>
        </w:rPr>
        <w:t xml:space="preserve"> </w:t>
      </w:r>
      <w:r w:rsidRPr="00D11BAB">
        <w:rPr>
          <w:rFonts w:ascii="Times New Roman" w:hAnsi="Times New Roman"/>
          <w:sz w:val="28"/>
          <w:szCs w:val="28"/>
          <w:lang w:val="kk-KZ"/>
        </w:rPr>
        <w:t xml:space="preserve">0,680 </w:t>
      </w:r>
      <w:r w:rsidRPr="00D11BAB">
        <w:rPr>
          <w:rFonts w:ascii="Times New Roman" w:hAnsi="Times New Roman"/>
          <w:sz w:val="28"/>
          <w:szCs w:val="28"/>
        </w:rPr>
        <w:t>[</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 xml:space="preserve">ДИ </w:t>
      </w:r>
      <w:r w:rsidRPr="00D11BAB">
        <w:rPr>
          <w:rFonts w:ascii="Times New Roman" w:hAnsi="Times New Roman"/>
          <w:sz w:val="28"/>
          <w:szCs w:val="28"/>
        </w:rPr>
        <w:t xml:space="preserve">0,509-0,909]) </w:t>
      </w:r>
      <w:r w:rsidRPr="00D11BAB">
        <w:rPr>
          <w:rFonts w:ascii="Times New Roman" w:hAnsi="Times New Roman"/>
          <w:sz w:val="28"/>
          <w:szCs w:val="28"/>
          <w:lang w:val="kk-KZ"/>
        </w:rPr>
        <w:t>стадиями</w:t>
      </w:r>
      <w:r w:rsidRPr="00D11BAB">
        <w:rPr>
          <w:rFonts w:ascii="Times New Roman" w:hAnsi="Times New Roman"/>
          <w:sz w:val="28"/>
          <w:szCs w:val="28"/>
        </w:rPr>
        <w:t>. Больные после правосторонней гемиколэктомии (</w:t>
      </w:r>
      <w:r w:rsidRPr="00D11BAB">
        <w:rPr>
          <w:rFonts w:ascii="Times New Roman" w:hAnsi="Times New Roman"/>
          <w:sz w:val="28"/>
          <w:szCs w:val="28"/>
          <w:lang w:val="en-US"/>
        </w:rPr>
        <w:t>RR</w:t>
      </w:r>
      <w:r w:rsidRPr="00D11BAB">
        <w:rPr>
          <w:rFonts w:ascii="Times New Roman" w:hAnsi="Times New Roman"/>
          <w:sz w:val="28"/>
          <w:szCs w:val="28"/>
        </w:rPr>
        <w:t>1,611[</w:t>
      </w:r>
      <w:r w:rsidRPr="00D11BAB">
        <w:rPr>
          <w:rFonts w:ascii="Times New Roman" w:hAnsi="Times New Roman"/>
          <w:sz w:val="28"/>
          <w:szCs w:val="28"/>
          <w:lang w:val="kk-KZ" w:eastAsia="en-US"/>
        </w:rPr>
        <w:t xml:space="preserve">95 % </w:t>
      </w:r>
      <w:r w:rsidRPr="00D11BAB">
        <w:rPr>
          <w:rFonts w:ascii="Times New Roman" w:hAnsi="Times New Roman"/>
          <w:sz w:val="28"/>
          <w:szCs w:val="28"/>
          <w:lang w:eastAsia="en-US"/>
        </w:rPr>
        <w:t xml:space="preserve">ДИ </w:t>
      </w:r>
      <w:r w:rsidRPr="00D11BAB">
        <w:rPr>
          <w:rFonts w:ascii="Times New Roman" w:hAnsi="Times New Roman"/>
          <w:sz w:val="28"/>
          <w:szCs w:val="28"/>
        </w:rPr>
        <w:t xml:space="preserve">1,234-2,103]) и после </w:t>
      </w:r>
      <w:r w:rsidRPr="00D11BAB">
        <w:rPr>
          <w:rFonts w:ascii="Times New Roman" w:hAnsi="Times New Roman"/>
          <w:sz w:val="28"/>
          <w:szCs w:val="28"/>
          <w:lang w:eastAsia="en-US"/>
        </w:rPr>
        <w:t xml:space="preserve">резекции кишечника с формирование стомы </w:t>
      </w:r>
      <w:r w:rsidRPr="00D11BAB">
        <w:rPr>
          <w:rFonts w:ascii="Times New Roman" w:hAnsi="Times New Roman"/>
          <w:sz w:val="28"/>
          <w:szCs w:val="28"/>
        </w:rPr>
        <w:t>(</w:t>
      </w:r>
      <w:r w:rsidRPr="00D11BAB">
        <w:rPr>
          <w:rFonts w:ascii="Times New Roman" w:hAnsi="Times New Roman"/>
          <w:sz w:val="28"/>
          <w:szCs w:val="28"/>
          <w:lang w:val="en-US"/>
        </w:rPr>
        <w:t>RR</w:t>
      </w:r>
      <w:r w:rsidRPr="00D11BAB">
        <w:rPr>
          <w:rFonts w:ascii="Times New Roman" w:hAnsi="Times New Roman"/>
          <w:sz w:val="28"/>
          <w:szCs w:val="28"/>
        </w:rPr>
        <w:t xml:space="preserve"> 1,364 [</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 xml:space="preserve">ДИ </w:t>
      </w:r>
      <w:r w:rsidRPr="00D11BAB">
        <w:rPr>
          <w:rFonts w:ascii="Times New Roman" w:hAnsi="Times New Roman"/>
          <w:sz w:val="28"/>
          <w:szCs w:val="28"/>
        </w:rPr>
        <w:t>1,014-1,836]) были более предрасположены к развитию электролитных нарушений по сравнению с больными после левосторонней гемиколэктомии (</w:t>
      </w:r>
      <w:r w:rsidRPr="00D11BAB">
        <w:rPr>
          <w:rFonts w:ascii="Times New Roman" w:hAnsi="Times New Roman"/>
          <w:sz w:val="28"/>
          <w:szCs w:val="28"/>
          <w:lang w:val="en-US"/>
        </w:rPr>
        <w:t>RR</w:t>
      </w:r>
      <w:r w:rsidRPr="00D11BAB">
        <w:rPr>
          <w:rFonts w:ascii="Times New Roman" w:hAnsi="Times New Roman"/>
          <w:sz w:val="28"/>
          <w:szCs w:val="28"/>
        </w:rPr>
        <w:t xml:space="preserve"> 0,706 [</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 xml:space="preserve">ДИ </w:t>
      </w:r>
      <w:r w:rsidRPr="00D11BAB">
        <w:rPr>
          <w:rFonts w:ascii="Times New Roman" w:hAnsi="Times New Roman"/>
          <w:sz w:val="28"/>
          <w:szCs w:val="28"/>
        </w:rPr>
        <w:t>0,509-0,980] и резекции поперечно-ободочной кишки (</w:t>
      </w:r>
      <w:r w:rsidRPr="00D11BAB">
        <w:rPr>
          <w:rFonts w:ascii="Times New Roman" w:hAnsi="Times New Roman"/>
          <w:sz w:val="28"/>
          <w:szCs w:val="28"/>
          <w:lang w:val="en-US"/>
        </w:rPr>
        <w:t>RR</w:t>
      </w:r>
      <w:r w:rsidRPr="00D11BAB">
        <w:rPr>
          <w:rFonts w:ascii="Times New Roman" w:hAnsi="Times New Roman"/>
          <w:sz w:val="28"/>
          <w:szCs w:val="28"/>
        </w:rPr>
        <w:t xml:space="preserve"> 0,413 [</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ДИ</w:t>
      </w:r>
      <w:r w:rsidRPr="00D11BAB">
        <w:rPr>
          <w:rFonts w:ascii="Times New Roman" w:hAnsi="Times New Roman"/>
          <w:sz w:val="28"/>
          <w:szCs w:val="28"/>
        </w:rPr>
        <w:t>0,176-0,967]).  Энтероколит, возникший в реабилитационном периоде, был основным фактором риска, способствующим развитию электролитных нарушений (</w:t>
      </w:r>
      <w:r w:rsidRPr="00D11BAB">
        <w:rPr>
          <w:rFonts w:ascii="Times New Roman" w:hAnsi="Times New Roman"/>
          <w:sz w:val="28"/>
          <w:szCs w:val="28"/>
          <w:lang w:val="en-US"/>
        </w:rPr>
        <w:t>RR</w:t>
      </w:r>
      <w:r w:rsidRPr="00D11BAB">
        <w:rPr>
          <w:rFonts w:ascii="Times New Roman" w:hAnsi="Times New Roman"/>
          <w:sz w:val="28"/>
          <w:szCs w:val="28"/>
        </w:rPr>
        <w:t xml:space="preserve"> 1,832 [</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ДИ</w:t>
      </w:r>
      <w:r w:rsidRPr="00D11BAB">
        <w:rPr>
          <w:rFonts w:ascii="Times New Roman" w:hAnsi="Times New Roman"/>
          <w:sz w:val="28"/>
          <w:szCs w:val="28"/>
        </w:rPr>
        <w:t xml:space="preserve">1,352-2,483]). </w:t>
      </w:r>
    </w:p>
    <w:p w14:paraId="18C05DBD" w14:textId="77777777" w:rsidR="00EF5CD6" w:rsidRPr="00D11BAB" w:rsidRDefault="00EF5CD6" w:rsidP="00EF5CD6">
      <w:pPr>
        <w:tabs>
          <w:tab w:val="left" w:pos="567"/>
        </w:tabs>
        <w:spacing w:after="0" w:line="240" w:lineRule="auto"/>
        <w:ind w:firstLine="709"/>
        <w:jc w:val="both"/>
        <w:rPr>
          <w:rFonts w:ascii="Times New Roman" w:hAnsi="Times New Roman"/>
          <w:sz w:val="28"/>
          <w:szCs w:val="28"/>
          <w:lang w:val="kk-KZ"/>
        </w:rPr>
      </w:pPr>
    </w:p>
    <w:p w14:paraId="26D8E10C" w14:textId="77777777" w:rsidR="00EF5CD6" w:rsidRPr="00D11BAB" w:rsidRDefault="00EF5CD6" w:rsidP="00EF5CD6">
      <w:pPr>
        <w:tabs>
          <w:tab w:val="left" w:pos="567"/>
        </w:tabs>
        <w:spacing w:after="0" w:line="240" w:lineRule="auto"/>
        <w:jc w:val="both"/>
        <w:rPr>
          <w:rFonts w:ascii="Times New Roman" w:hAnsi="Times New Roman"/>
          <w:sz w:val="28"/>
          <w:szCs w:val="28"/>
        </w:rPr>
      </w:pPr>
      <w:r w:rsidRPr="00D11BAB">
        <w:rPr>
          <w:rFonts w:ascii="Times New Roman" w:hAnsi="Times New Roman"/>
          <w:sz w:val="28"/>
          <w:szCs w:val="28"/>
        </w:rPr>
        <w:t xml:space="preserve">Таблица </w:t>
      </w:r>
      <w:r>
        <w:rPr>
          <w:rFonts w:ascii="Times New Roman" w:hAnsi="Times New Roman"/>
          <w:sz w:val="28"/>
          <w:szCs w:val="28"/>
        </w:rPr>
        <w:t>40</w:t>
      </w:r>
      <w:r w:rsidRPr="00D11BAB">
        <w:rPr>
          <w:rFonts w:ascii="Times New Roman" w:hAnsi="Times New Roman"/>
          <w:sz w:val="28"/>
          <w:szCs w:val="28"/>
        </w:rPr>
        <w:t xml:space="preserve"> – Риск развития электролитных нарушений в зависимости от клинических факторов</w:t>
      </w:r>
    </w:p>
    <w:p w14:paraId="693E447A" w14:textId="77777777" w:rsidR="00EF5CD6" w:rsidRPr="00D11BAB" w:rsidRDefault="00EF5CD6" w:rsidP="00EF5CD6">
      <w:pPr>
        <w:tabs>
          <w:tab w:val="left" w:pos="567"/>
        </w:tabs>
        <w:spacing w:after="0" w:line="240" w:lineRule="auto"/>
        <w:jc w:val="right"/>
        <w:rPr>
          <w:rFonts w:ascii="Times New Roman" w:hAnsi="Times New Roman"/>
          <w:sz w:val="16"/>
          <w:szCs w:val="16"/>
        </w:rPr>
      </w:pPr>
    </w:p>
    <w:tbl>
      <w:tblPr>
        <w:tblW w:w="9617" w:type="dxa"/>
        <w:jc w:val="center"/>
        <w:tblCellMar>
          <w:left w:w="0" w:type="dxa"/>
          <w:right w:w="0" w:type="dxa"/>
        </w:tblCellMar>
        <w:tblLook w:val="04A0" w:firstRow="1" w:lastRow="0" w:firstColumn="1" w:lastColumn="0" w:noHBand="0" w:noVBand="1"/>
      </w:tblPr>
      <w:tblGrid>
        <w:gridCol w:w="3084"/>
        <w:gridCol w:w="879"/>
        <w:gridCol w:w="1456"/>
        <w:gridCol w:w="1596"/>
        <w:gridCol w:w="2602"/>
      </w:tblGrid>
      <w:tr w:rsidR="00EF5CD6" w:rsidRPr="00D11BAB" w14:paraId="00B59077" w14:textId="77777777" w:rsidTr="00094F6F">
        <w:trPr>
          <w:trHeight w:val="340"/>
          <w:jc w:val="center"/>
        </w:trPr>
        <w:tc>
          <w:tcPr>
            <w:tcW w:w="3084" w:type="dxa"/>
            <w:vMerge w:val="restart"/>
            <w:tcBorders>
              <w:top w:val="single" w:sz="8" w:space="0" w:color="000000"/>
              <w:left w:val="single" w:sz="8" w:space="0" w:color="000000"/>
              <w:right w:val="single" w:sz="8" w:space="0" w:color="000000"/>
            </w:tcBorders>
            <w:shd w:val="clear" w:color="auto" w:fill="FFFFFF"/>
            <w:tcMar>
              <w:top w:w="15" w:type="dxa"/>
              <w:left w:w="83" w:type="dxa"/>
              <w:bottom w:w="0" w:type="dxa"/>
              <w:right w:w="83" w:type="dxa"/>
            </w:tcMar>
            <w:vAlign w:val="center"/>
          </w:tcPr>
          <w:p w14:paraId="14D5E23A" w14:textId="77777777" w:rsidR="00EF5CD6" w:rsidRPr="00D11BAB" w:rsidRDefault="00EF5CD6" w:rsidP="00094F6F">
            <w:pPr>
              <w:spacing w:after="0" w:line="240" w:lineRule="auto"/>
              <w:jc w:val="center"/>
              <w:rPr>
                <w:rFonts w:ascii="Times New Roman" w:hAnsi="Times New Roman"/>
                <w:sz w:val="24"/>
                <w:szCs w:val="24"/>
                <w:lang w:val="kk-KZ"/>
              </w:rPr>
            </w:pPr>
            <w:r w:rsidRPr="00D11BAB">
              <w:rPr>
                <w:rFonts w:ascii="Times New Roman" w:hAnsi="Times New Roman"/>
                <w:sz w:val="24"/>
                <w:szCs w:val="24"/>
                <w:lang w:val="kk-KZ"/>
              </w:rPr>
              <w:t>Факторы риска</w:t>
            </w:r>
          </w:p>
        </w:tc>
        <w:tc>
          <w:tcPr>
            <w:tcW w:w="6533" w:type="dxa"/>
            <w:gridSpan w:val="4"/>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vAlign w:val="center"/>
            <w:hideMark/>
          </w:tcPr>
          <w:p w14:paraId="6C547FBE"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bCs/>
                <w:sz w:val="24"/>
                <w:szCs w:val="24"/>
              </w:rPr>
              <w:t>Электролитные нарушения (</w:t>
            </w:r>
            <w:r w:rsidRPr="00D11BAB">
              <w:rPr>
                <w:rFonts w:ascii="Times New Roman" w:hAnsi="Times New Roman"/>
                <w:bCs/>
                <w:sz w:val="24"/>
                <w:szCs w:val="24"/>
                <w:lang w:val="en-US"/>
              </w:rPr>
              <w:t>n</w:t>
            </w:r>
            <w:r w:rsidRPr="00D11BAB">
              <w:rPr>
                <w:rFonts w:ascii="Times New Roman" w:hAnsi="Times New Roman"/>
                <w:bCs/>
                <w:sz w:val="24"/>
                <w:szCs w:val="24"/>
              </w:rPr>
              <w:t>=79)</w:t>
            </w:r>
          </w:p>
        </w:tc>
      </w:tr>
      <w:tr w:rsidR="00EF5CD6" w:rsidRPr="00D11BAB" w14:paraId="5C441E66" w14:textId="77777777" w:rsidTr="00094F6F">
        <w:trPr>
          <w:trHeight w:val="340"/>
          <w:jc w:val="center"/>
        </w:trPr>
        <w:tc>
          <w:tcPr>
            <w:tcW w:w="3084" w:type="dxa"/>
            <w:vMerge/>
            <w:tcBorders>
              <w:left w:val="single" w:sz="8" w:space="0" w:color="000000"/>
              <w:right w:val="single" w:sz="8" w:space="0" w:color="000000"/>
            </w:tcBorders>
            <w:shd w:val="clear" w:color="auto" w:fill="FFFFFF"/>
            <w:tcMar>
              <w:top w:w="15" w:type="dxa"/>
              <w:left w:w="83" w:type="dxa"/>
              <w:bottom w:w="0" w:type="dxa"/>
              <w:right w:w="83" w:type="dxa"/>
            </w:tcMar>
            <w:vAlign w:val="center"/>
            <w:hideMark/>
          </w:tcPr>
          <w:p w14:paraId="5073E332" w14:textId="77777777" w:rsidR="00EF5CD6" w:rsidRPr="00D11BAB" w:rsidRDefault="00EF5CD6" w:rsidP="00094F6F">
            <w:pPr>
              <w:spacing w:after="0" w:line="240" w:lineRule="auto"/>
              <w:jc w:val="center"/>
              <w:rPr>
                <w:rFonts w:ascii="Times New Roman" w:hAnsi="Times New Roman"/>
              </w:rPr>
            </w:pPr>
          </w:p>
        </w:tc>
        <w:tc>
          <w:tcPr>
            <w:tcW w:w="8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vAlign w:val="center"/>
            <w:hideMark/>
          </w:tcPr>
          <w:p w14:paraId="08DFD753" w14:textId="77777777" w:rsidR="00EF5CD6" w:rsidRPr="00D11BAB" w:rsidRDefault="00EF5CD6" w:rsidP="00094F6F">
            <w:pPr>
              <w:tabs>
                <w:tab w:val="left" w:pos="567"/>
              </w:tabs>
              <w:spacing w:after="0" w:line="240" w:lineRule="auto"/>
              <w:jc w:val="center"/>
              <w:rPr>
                <w:rFonts w:ascii="Times New Roman" w:hAnsi="Times New Roman"/>
                <w:sz w:val="24"/>
                <w:szCs w:val="24"/>
              </w:rPr>
            </w:pPr>
            <w:proofErr w:type="gramStart"/>
            <w:r w:rsidRPr="00D11BAB">
              <w:rPr>
                <w:rFonts w:ascii="Times New Roman" w:hAnsi="Times New Roman"/>
                <w:sz w:val="24"/>
                <w:szCs w:val="24"/>
              </w:rPr>
              <w:t>всего</w:t>
            </w:r>
            <w:proofErr w:type="gramEnd"/>
          </w:p>
        </w:tc>
        <w:tc>
          <w:tcPr>
            <w:tcW w:w="3052"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vAlign w:val="center"/>
            <w:hideMark/>
          </w:tcPr>
          <w:p w14:paraId="0E544826" w14:textId="77777777" w:rsidR="00EF5CD6" w:rsidRPr="00D11BAB" w:rsidRDefault="00EF5CD6" w:rsidP="00094F6F">
            <w:pPr>
              <w:tabs>
                <w:tab w:val="left" w:pos="567"/>
              </w:tabs>
              <w:spacing w:after="0" w:line="240" w:lineRule="auto"/>
              <w:jc w:val="center"/>
              <w:rPr>
                <w:rFonts w:ascii="Times New Roman" w:hAnsi="Times New Roman"/>
                <w:sz w:val="24"/>
                <w:szCs w:val="24"/>
              </w:rPr>
            </w:pPr>
            <w:proofErr w:type="gramStart"/>
            <w:r w:rsidRPr="00D11BAB">
              <w:rPr>
                <w:rFonts w:ascii="Times New Roman" w:hAnsi="Times New Roman"/>
                <w:sz w:val="24"/>
                <w:szCs w:val="24"/>
              </w:rPr>
              <w:t>есть</w:t>
            </w:r>
            <w:proofErr w:type="gramEnd"/>
          </w:p>
        </w:tc>
        <w:tc>
          <w:tcPr>
            <w:tcW w:w="2602" w:type="dxa"/>
            <w:vMerge w:val="restart"/>
            <w:tcBorders>
              <w:top w:val="single" w:sz="8" w:space="0" w:color="000000"/>
              <w:left w:val="single" w:sz="8" w:space="0" w:color="000000"/>
              <w:right w:val="single" w:sz="8" w:space="0" w:color="000000"/>
            </w:tcBorders>
            <w:shd w:val="clear" w:color="auto" w:fill="FFFFFF"/>
            <w:tcMar>
              <w:top w:w="15" w:type="dxa"/>
              <w:left w:w="83" w:type="dxa"/>
              <w:bottom w:w="0" w:type="dxa"/>
              <w:right w:w="83" w:type="dxa"/>
            </w:tcMar>
            <w:vAlign w:val="center"/>
            <w:hideMark/>
          </w:tcPr>
          <w:p w14:paraId="526087BC"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en-US"/>
              </w:rPr>
              <w:t>RR [</w:t>
            </w:r>
            <w:r w:rsidRPr="00D11BAB">
              <w:rPr>
                <w:rFonts w:ascii="Times New Roman" w:hAnsi="Times New Roman"/>
                <w:sz w:val="24"/>
                <w:szCs w:val="24"/>
                <w:lang w:val="kk-KZ"/>
              </w:rPr>
              <w:t xml:space="preserve">95% </w:t>
            </w:r>
            <w:r w:rsidRPr="00D11BAB">
              <w:rPr>
                <w:rFonts w:ascii="Times New Roman" w:hAnsi="Times New Roman"/>
                <w:sz w:val="24"/>
                <w:szCs w:val="24"/>
                <w:lang w:val="en-US"/>
              </w:rPr>
              <w:t>CI]</w:t>
            </w:r>
          </w:p>
        </w:tc>
      </w:tr>
      <w:tr w:rsidR="00EF5CD6" w:rsidRPr="00D11BAB" w14:paraId="60ED0000" w14:textId="77777777" w:rsidTr="00094F6F">
        <w:trPr>
          <w:trHeight w:val="340"/>
          <w:jc w:val="center"/>
        </w:trPr>
        <w:tc>
          <w:tcPr>
            <w:tcW w:w="3084" w:type="dxa"/>
            <w:vMerge/>
            <w:tcBorders>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3C4F067F" w14:textId="77777777" w:rsidR="00EF5CD6" w:rsidRPr="00D11BAB" w:rsidRDefault="00EF5CD6" w:rsidP="00094F6F">
            <w:pPr>
              <w:spacing w:after="0" w:line="240" w:lineRule="auto"/>
              <w:jc w:val="center"/>
              <w:rPr>
                <w:rFonts w:ascii="Times New Roman" w:hAnsi="Times New Roman"/>
              </w:rPr>
            </w:pPr>
          </w:p>
        </w:tc>
        <w:tc>
          <w:tcPr>
            <w:tcW w:w="8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3EB90F01"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en-US"/>
              </w:rPr>
              <w:t>n</w:t>
            </w:r>
          </w:p>
        </w:tc>
        <w:tc>
          <w:tcPr>
            <w:tcW w:w="14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5C815D2C"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en-US"/>
              </w:rPr>
              <w:t>n</w:t>
            </w:r>
          </w:p>
        </w:tc>
        <w:tc>
          <w:tcPr>
            <w:tcW w:w="15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69E04995"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en-US"/>
              </w:rPr>
              <w:t>%</w:t>
            </w:r>
          </w:p>
        </w:tc>
        <w:tc>
          <w:tcPr>
            <w:tcW w:w="2602" w:type="dxa"/>
            <w:vMerge/>
            <w:tcBorders>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5C73C8D8" w14:textId="77777777" w:rsidR="00EF5CD6" w:rsidRPr="00D11BAB" w:rsidRDefault="00EF5CD6" w:rsidP="00094F6F">
            <w:pPr>
              <w:tabs>
                <w:tab w:val="left" w:pos="567"/>
              </w:tabs>
              <w:spacing w:after="0" w:line="240" w:lineRule="auto"/>
              <w:jc w:val="center"/>
              <w:rPr>
                <w:rFonts w:ascii="Times New Roman" w:hAnsi="Times New Roman"/>
                <w:sz w:val="24"/>
                <w:szCs w:val="24"/>
              </w:rPr>
            </w:pPr>
          </w:p>
        </w:tc>
      </w:tr>
      <w:tr w:rsidR="00EF5CD6" w:rsidRPr="00D11BAB" w14:paraId="6DB4F5A6" w14:textId="77777777" w:rsidTr="00094F6F">
        <w:trPr>
          <w:trHeight w:val="340"/>
          <w:jc w:val="center"/>
        </w:trPr>
        <w:tc>
          <w:tcPr>
            <w:tcW w:w="9617" w:type="dxa"/>
            <w:gridSpan w:val="5"/>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7F25F1AA"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Стадии рака ободочной кишки</w:t>
            </w:r>
          </w:p>
        </w:tc>
      </w:tr>
      <w:tr w:rsidR="00EF5CD6" w:rsidRPr="00D11BAB" w14:paraId="14DE09F6" w14:textId="77777777" w:rsidTr="00094F6F">
        <w:trPr>
          <w:trHeight w:val="340"/>
          <w:jc w:val="center"/>
        </w:trPr>
        <w:tc>
          <w:tcPr>
            <w:tcW w:w="3084"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5240DAEA"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lang w:val="en-US"/>
              </w:rPr>
              <w:t>I</w:t>
            </w:r>
          </w:p>
        </w:tc>
        <w:tc>
          <w:tcPr>
            <w:tcW w:w="8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1D1B155B"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kk-KZ"/>
              </w:rPr>
              <w:t>12</w:t>
            </w:r>
          </w:p>
        </w:tc>
        <w:tc>
          <w:tcPr>
            <w:tcW w:w="14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330F0F70"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kk-KZ"/>
              </w:rPr>
              <w:t>4</w:t>
            </w:r>
          </w:p>
        </w:tc>
        <w:tc>
          <w:tcPr>
            <w:tcW w:w="15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63D00B2F"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kk-KZ"/>
              </w:rPr>
              <w:t>33,3</w:t>
            </w:r>
          </w:p>
        </w:tc>
        <w:tc>
          <w:tcPr>
            <w:tcW w:w="2602"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3F49FF90"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kk-KZ"/>
              </w:rPr>
              <w:t xml:space="preserve">0,531 </w:t>
            </w:r>
            <w:r w:rsidRPr="00D11BAB">
              <w:rPr>
                <w:rFonts w:ascii="Times New Roman" w:hAnsi="Times New Roman"/>
                <w:sz w:val="24"/>
                <w:szCs w:val="24"/>
                <w:lang w:val="en-US"/>
              </w:rPr>
              <w:t>[</w:t>
            </w:r>
            <w:r w:rsidRPr="00D11BAB">
              <w:rPr>
                <w:rFonts w:ascii="Times New Roman" w:hAnsi="Times New Roman"/>
                <w:sz w:val="24"/>
                <w:szCs w:val="24"/>
              </w:rPr>
              <w:t>0,235-1,196</w:t>
            </w:r>
            <w:r w:rsidRPr="00D11BAB">
              <w:rPr>
                <w:rFonts w:ascii="Times New Roman" w:hAnsi="Times New Roman"/>
                <w:sz w:val="24"/>
                <w:szCs w:val="24"/>
                <w:lang w:val="en-US"/>
              </w:rPr>
              <w:t>]</w:t>
            </w:r>
          </w:p>
        </w:tc>
      </w:tr>
      <w:tr w:rsidR="00EF5CD6" w:rsidRPr="00D11BAB" w14:paraId="78F03618" w14:textId="77777777" w:rsidTr="00094F6F">
        <w:trPr>
          <w:trHeight w:val="340"/>
          <w:jc w:val="center"/>
        </w:trPr>
        <w:tc>
          <w:tcPr>
            <w:tcW w:w="3084"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2530E342"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lang w:val="en-US"/>
              </w:rPr>
              <w:t>II</w:t>
            </w:r>
          </w:p>
        </w:tc>
        <w:tc>
          <w:tcPr>
            <w:tcW w:w="8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5F8B19FD"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kk-KZ"/>
              </w:rPr>
              <w:t>67</w:t>
            </w:r>
          </w:p>
        </w:tc>
        <w:tc>
          <w:tcPr>
            <w:tcW w:w="1456"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7670F5E5"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kk-KZ"/>
              </w:rPr>
              <w:t>33</w:t>
            </w:r>
          </w:p>
        </w:tc>
        <w:tc>
          <w:tcPr>
            <w:tcW w:w="1596"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66963D1D"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kk-KZ"/>
              </w:rPr>
              <w:t>49,2</w:t>
            </w:r>
          </w:p>
        </w:tc>
        <w:tc>
          <w:tcPr>
            <w:tcW w:w="2602" w:type="dxa"/>
            <w:tcBorders>
              <w:top w:val="single" w:sz="8" w:space="0" w:color="000000"/>
              <w:left w:val="single" w:sz="8" w:space="0" w:color="000000"/>
              <w:bottom w:val="single" w:sz="8" w:space="0" w:color="000000"/>
              <w:right w:val="single" w:sz="8" w:space="0" w:color="000000"/>
            </w:tcBorders>
            <w:shd w:val="clear" w:color="auto" w:fill="FFFFFF"/>
            <w:tcMar>
              <w:top w:w="15" w:type="dxa"/>
              <w:left w:w="83" w:type="dxa"/>
              <w:bottom w:w="0" w:type="dxa"/>
              <w:right w:w="83" w:type="dxa"/>
            </w:tcMar>
            <w:hideMark/>
          </w:tcPr>
          <w:p w14:paraId="2CB3632B"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kk-KZ"/>
              </w:rPr>
              <w:t xml:space="preserve">0,680 </w:t>
            </w:r>
            <w:r w:rsidRPr="00D11BAB">
              <w:rPr>
                <w:rFonts w:ascii="Times New Roman" w:hAnsi="Times New Roman"/>
                <w:sz w:val="24"/>
                <w:szCs w:val="24"/>
                <w:lang w:val="en-US"/>
              </w:rPr>
              <w:t>[</w:t>
            </w:r>
            <w:r w:rsidRPr="00D11BAB">
              <w:rPr>
                <w:rFonts w:ascii="Times New Roman" w:hAnsi="Times New Roman"/>
                <w:sz w:val="24"/>
                <w:szCs w:val="24"/>
              </w:rPr>
              <w:t>0,509-0,909</w:t>
            </w:r>
            <w:r w:rsidRPr="00D11BAB">
              <w:rPr>
                <w:rFonts w:ascii="Times New Roman" w:hAnsi="Times New Roman"/>
                <w:sz w:val="24"/>
                <w:szCs w:val="24"/>
                <w:lang w:val="en-US"/>
              </w:rPr>
              <w:t>]</w:t>
            </w:r>
          </w:p>
        </w:tc>
      </w:tr>
      <w:tr w:rsidR="00EF5CD6" w:rsidRPr="00D11BAB" w14:paraId="72D863A6" w14:textId="77777777" w:rsidTr="00094F6F">
        <w:trPr>
          <w:trHeight w:val="340"/>
          <w:jc w:val="center"/>
        </w:trPr>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32582FE1"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lang w:val="en-US"/>
              </w:rPr>
              <w:t>III</w:t>
            </w:r>
          </w:p>
        </w:tc>
        <w:tc>
          <w:tcPr>
            <w:tcW w:w="879"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7C3199A2"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kk-KZ"/>
              </w:rPr>
              <w:t>46</w:t>
            </w:r>
          </w:p>
        </w:tc>
        <w:tc>
          <w:tcPr>
            <w:tcW w:w="145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15DFE652"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kk-KZ"/>
              </w:rPr>
              <w:t>42</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4993A50A"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kk-KZ"/>
              </w:rPr>
              <w:t>91,3</w:t>
            </w:r>
          </w:p>
        </w:tc>
        <w:tc>
          <w:tcPr>
            <w:tcW w:w="2602"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402F54E3"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kk-KZ"/>
              </w:rPr>
              <w:t xml:space="preserve">1,764  </w:t>
            </w:r>
            <w:r w:rsidRPr="00D11BAB">
              <w:rPr>
                <w:rFonts w:ascii="Times New Roman" w:hAnsi="Times New Roman"/>
                <w:sz w:val="24"/>
                <w:szCs w:val="24"/>
                <w:lang w:val="en-US"/>
              </w:rPr>
              <w:t>[</w:t>
            </w:r>
            <w:r w:rsidRPr="00D11BAB">
              <w:rPr>
                <w:rFonts w:ascii="Times New Roman" w:hAnsi="Times New Roman"/>
                <w:sz w:val="24"/>
                <w:szCs w:val="24"/>
              </w:rPr>
              <w:t>1,347-2,310</w:t>
            </w:r>
            <w:r w:rsidRPr="00D11BAB">
              <w:rPr>
                <w:rFonts w:ascii="Times New Roman" w:hAnsi="Times New Roman"/>
                <w:sz w:val="24"/>
                <w:szCs w:val="24"/>
                <w:lang w:val="en-US"/>
              </w:rPr>
              <w:t>]</w:t>
            </w:r>
          </w:p>
        </w:tc>
      </w:tr>
      <w:tr w:rsidR="00EF5CD6" w:rsidRPr="00D11BAB" w14:paraId="6172C425" w14:textId="77777777" w:rsidTr="00094F6F">
        <w:trPr>
          <w:trHeight w:val="340"/>
          <w:jc w:val="center"/>
        </w:trPr>
        <w:tc>
          <w:tcPr>
            <w:tcW w:w="9617"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7273D9AD"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Вид хирургического вмешательства</w:t>
            </w:r>
          </w:p>
        </w:tc>
      </w:tr>
      <w:tr w:rsidR="00EF5CD6" w:rsidRPr="00D11BAB" w14:paraId="591ED2BF" w14:textId="77777777" w:rsidTr="00094F6F">
        <w:trPr>
          <w:trHeight w:val="340"/>
          <w:jc w:val="center"/>
        </w:trPr>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0ADBBADA"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Правостороння гемиколэктомия</w:t>
            </w:r>
          </w:p>
        </w:tc>
        <w:tc>
          <w:tcPr>
            <w:tcW w:w="879"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2A9BF6E4"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44</w:t>
            </w:r>
          </w:p>
        </w:tc>
        <w:tc>
          <w:tcPr>
            <w:tcW w:w="145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3C5B5D6C"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lang w:val="kk-KZ"/>
              </w:rPr>
              <w:t>37</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181BD4D9"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84</w:t>
            </w:r>
          </w:p>
        </w:tc>
        <w:tc>
          <w:tcPr>
            <w:tcW w:w="2602"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7EC14FC9"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1,611</w:t>
            </w:r>
            <w:r w:rsidRPr="00D11BAB">
              <w:rPr>
                <w:rFonts w:ascii="Times New Roman" w:hAnsi="Times New Roman"/>
                <w:sz w:val="24"/>
                <w:szCs w:val="24"/>
                <w:lang w:val="en-US"/>
              </w:rPr>
              <w:t>[</w:t>
            </w:r>
            <w:r w:rsidRPr="00D11BAB">
              <w:rPr>
                <w:rFonts w:ascii="Times New Roman" w:hAnsi="Times New Roman"/>
                <w:sz w:val="24"/>
                <w:szCs w:val="24"/>
              </w:rPr>
              <w:t>1,234-2,103</w:t>
            </w:r>
            <w:r w:rsidRPr="00D11BAB">
              <w:rPr>
                <w:rFonts w:ascii="Times New Roman" w:hAnsi="Times New Roman"/>
                <w:sz w:val="24"/>
                <w:szCs w:val="24"/>
                <w:lang w:val="en-US"/>
              </w:rPr>
              <w:t>]</w:t>
            </w:r>
          </w:p>
        </w:tc>
      </w:tr>
      <w:tr w:rsidR="00EF5CD6" w:rsidRPr="00D11BAB" w14:paraId="7C9EA6B4" w14:textId="77777777" w:rsidTr="00094F6F">
        <w:trPr>
          <w:trHeight w:val="340"/>
          <w:jc w:val="center"/>
        </w:trPr>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0E87C5A0"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Левостороння гемиколэктомия</w:t>
            </w:r>
          </w:p>
        </w:tc>
        <w:tc>
          <w:tcPr>
            <w:tcW w:w="879"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09B5559B"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50</w:t>
            </w:r>
          </w:p>
        </w:tc>
        <w:tc>
          <w:tcPr>
            <w:tcW w:w="145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0CA1E3EB"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26</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39B16239"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52</w:t>
            </w:r>
          </w:p>
        </w:tc>
        <w:tc>
          <w:tcPr>
            <w:tcW w:w="2602"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6511F2DB"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 xml:space="preserve">0,706 </w:t>
            </w:r>
            <w:r w:rsidRPr="00D11BAB">
              <w:rPr>
                <w:rFonts w:ascii="Times New Roman" w:hAnsi="Times New Roman"/>
                <w:sz w:val="24"/>
                <w:szCs w:val="24"/>
                <w:lang w:val="en-US"/>
              </w:rPr>
              <w:t>[</w:t>
            </w:r>
            <w:r w:rsidRPr="00D11BAB">
              <w:rPr>
                <w:rFonts w:ascii="Times New Roman" w:hAnsi="Times New Roman"/>
                <w:sz w:val="24"/>
                <w:szCs w:val="24"/>
              </w:rPr>
              <w:t>0,509-0,980</w:t>
            </w:r>
            <w:r w:rsidRPr="00D11BAB">
              <w:rPr>
                <w:rFonts w:ascii="Times New Roman" w:hAnsi="Times New Roman"/>
                <w:sz w:val="24"/>
                <w:szCs w:val="24"/>
                <w:lang w:val="en-US"/>
              </w:rPr>
              <w:t>]</w:t>
            </w:r>
          </w:p>
        </w:tc>
      </w:tr>
      <w:tr w:rsidR="00EF5CD6" w:rsidRPr="00D11BAB" w14:paraId="30570A76" w14:textId="77777777" w:rsidTr="00094F6F">
        <w:trPr>
          <w:trHeight w:val="340"/>
          <w:jc w:val="center"/>
        </w:trPr>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6D6E3DDA"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Резекция поперечно-ободочной кишки</w:t>
            </w:r>
          </w:p>
        </w:tc>
        <w:tc>
          <w:tcPr>
            <w:tcW w:w="879"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3947B4C7"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15</w:t>
            </w:r>
          </w:p>
        </w:tc>
        <w:tc>
          <w:tcPr>
            <w:tcW w:w="145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0EEF1561"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4</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0513F0F9"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26,6</w:t>
            </w:r>
          </w:p>
        </w:tc>
        <w:tc>
          <w:tcPr>
            <w:tcW w:w="2602"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691045EA"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 xml:space="preserve">0,413 </w:t>
            </w:r>
            <w:r w:rsidRPr="00D11BAB">
              <w:rPr>
                <w:rFonts w:ascii="Times New Roman" w:hAnsi="Times New Roman"/>
                <w:sz w:val="24"/>
                <w:szCs w:val="24"/>
                <w:lang w:val="en-US"/>
              </w:rPr>
              <w:t>[</w:t>
            </w:r>
            <w:r w:rsidRPr="00D11BAB">
              <w:rPr>
                <w:rFonts w:ascii="Times New Roman" w:hAnsi="Times New Roman"/>
                <w:sz w:val="24"/>
                <w:szCs w:val="24"/>
              </w:rPr>
              <w:t>0,176-0,967</w:t>
            </w:r>
            <w:r w:rsidRPr="00D11BAB">
              <w:rPr>
                <w:rFonts w:ascii="Times New Roman" w:hAnsi="Times New Roman"/>
                <w:sz w:val="24"/>
                <w:szCs w:val="24"/>
                <w:lang w:val="en-US"/>
              </w:rPr>
              <w:t>]</w:t>
            </w:r>
          </w:p>
        </w:tc>
      </w:tr>
      <w:tr w:rsidR="00EF5CD6" w:rsidRPr="00D11BAB" w14:paraId="15830E4D" w14:textId="77777777" w:rsidTr="00094F6F">
        <w:trPr>
          <w:trHeight w:val="340"/>
          <w:jc w:val="center"/>
        </w:trPr>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16390C4A"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Резекция кишечника с формирование стомы</w:t>
            </w:r>
          </w:p>
        </w:tc>
        <w:tc>
          <w:tcPr>
            <w:tcW w:w="879"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259927EF"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16</w:t>
            </w:r>
          </w:p>
        </w:tc>
        <w:tc>
          <w:tcPr>
            <w:tcW w:w="145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7F9DC660"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12</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62D046CF"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75,0</w:t>
            </w:r>
          </w:p>
        </w:tc>
        <w:tc>
          <w:tcPr>
            <w:tcW w:w="2602"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6B396FCD"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 xml:space="preserve">1,364 </w:t>
            </w:r>
            <w:r w:rsidRPr="00D11BAB">
              <w:rPr>
                <w:rFonts w:ascii="Times New Roman" w:hAnsi="Times New Roman"/>
                <w:sz w:val="24"/>
                <w:szCs w:val="24"/>
                <w:lang w:val="en-US"/>
              </w:rPr>
              <w:t>[</w:t>
            </w:r>
            <w:r w:rsidRPr="00D11BAB">
              <w:rPr>
                <w:rFonts w:ascii="Times New Roman" w:hAnsi="Times New Roman"/>
                <w:sz w:val="24"/>
                <w:szCs w:val="24"/>
              </w:rPr>
              <w:t>1,014-1,836</w:t>
            </w:r>
            <w:r w:rsidRPr="00D11BAB">
              <w:rPr>
                <w:rFonts w:ascii="Times New Roman" w:hAnsi="Times New Roman"/>
                <w:sz w:val="24"/>
                <w:szCs w:val="24"/>
                <w:lang w:val="en-US"/>
              </w:rPr>
              <w:t>]</w:t>
            </w:r>
          </w:p>
        </w:tc>
      </w:tr>
      <w:tr w:rsidR="00EF5CD6" w:rsidRPr="00D11BAB" w14:paraId="2410AA9F" w14:textId="77777777" w:rsidTr="00094F6F">
        <w:trPr>
          <w:trHeight w:val="340"/>
          <w:jc w:val="center"/>
        </w:trPr>
        <w:tc>
          <w:tcPr>
            <w:tcW w:w="9617"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5FC85924"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Сопутствующие заболевания</w:t>
            </w:r>
          </w:p>
        </w:tc>
      </w:tr>
      <w:tr w:rsidR="00EF5CD6" w:rsidRPr="00D11BAB" w14:paraId="7446D8FE" w14:textId="77777777" w:rsidTr="00094F6F">
        <w:trPr>
          <w:trHeight w:val="340"/>
          <w:jc w:val="center"/>
        </w:trPr>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2E6E68DC"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Сердечно-сосудистая система</w:t>
            </w:r>
          </w:p>
        </w:tc>
        <w:tc>
          <w:tcPr>
            <w:tcW w:w="879"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5CB98441"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52</w:t>
            </w:r>
          </w:p>
        </w:tc>
        <w:tc>
          <w:tcPr>
            <w:tcW w:w="145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5413A4A1"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38</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109F875D"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73,0</w:t>
            </w:r>
          </w:p>
        </w:tc>
        <w:tc>
          <w:tcPr>
            <w:tcW w:w="2602"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5318AA37"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 xml:space="preserve">1,442 </w:t>
            </w:r>
            <w:r w:rsidRPr="00D11BAB">
              <w:rPr>
                <w:rFonts w:ascii="Times New Roman" w:hAnsi="Times New Roman"/>
                <w:sz w:val="24"/>
                <w:szCs w:val="24"/>
                <w:lang w:val="en-US"/>
              </w:rPr>
              <w:t>[</w:t>
            </w:r>
            <w:r w:rsidRPr="00D11BAB">
              <w:rPr>
                <w:rFonts w:ascii="Times New Roman" w:hAnsi="Times New Roman"/>
                <w:sz w:val="24"/>
                <w:szCs w:val="24"/>
              </w:rPr>
              <w:t>1,090-1,908</w:t>
            </w:r>
            <w:r w:rsidRPr="00D11BAB">
              <w:rPr>
                <w:rFonts w:ascii="Times New Roman" w:hAnsi="Times New Roman"/>
                <w:sz w:val="24"/>
                <w:szCs w:val="24"/>
                <w:lang w:val="en-US"/>
              </w:rPr>
              <w:t>]</w:t>
            </w:r>
          </w:p>
        </w:tc>
      </w:tr>
      <w:tr w:rsidR="00EF5CD6" w:rsidRPr="00D11BAB" w14:paraId="568F836C" w14:textId="77777777" w:rsidTr="00094F6F">
        <w:trPr>
          <w:trHeight w:val="340"/>
          <w:jc w:val="center"/>
        </w:trPr>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5CFF8062"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Дыхательная система</w:t>
            </w:r>
          </w:p>
        </w:tc>
        <w:tc>
          <w:tcPr>
            <w:tcW w:w="879"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50ED1009"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25</w:t>
            </w:r>
          </w:p>
        </w:tc>
        <w:tc>
          <w:tcPr>
            <w:tcW w:w="145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318CFA58"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8</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086CC9FB"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32,0</w:t>
            </w:r>
          </w:p>
        </w:tc>
        <w:tc>
          <w:tcPr>
            <w:tcW w:w="2602"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508D44A6"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 xml:space="preserve">0,478 </w:t>
            </w:r>
            <w:r w:rsidRPr="00D11BAB">
              <w:rPr>
                <w:rFonts w:ascii="Times New Roman" w:hAnsi="Times New Roman"/>
                <w:sz w:val="24"/>
                <w:szCs w:val="24"/>
                <w:lang w:val="en-US"/>
              </w:rPr>
              <w:t>[</w:t>
            </w:r>
            <w:r w:rsidRPr="00D11BAB">
              <w:rPr>
                <w:rFonts w:ascii="Times New Roman" w:hAnsi="Times New Roman"/>
                <w:sz w:val="24"/>
                <w:szCs w:val="24"/>
              </w:rPr>
              <w:t>0,2,65-0,860</w:t>
            </w:r>
            <w:r w:rsidRPr="00D11BAB">
              <w:rPr>
                <w:rFonts w:ascii="Times New Roman" w:hAnsi="Times New Roman"/>
                <w:sz w:val="24"/>
                <w:szCs w:val="24"/>
                <w:lang w:val="en-US"/>
              </w:rPr>
              <w:t>]</w:t>
            </w:r>
          </w:p>
        </w:tc>
      </w:tr>
      <w:tr w:rsidR="00EF5CD6" w:rsidRPr="00D11BAB" w14:paraId="699105B9" w14:textId="77777777" w:rsidTr="00094F6F">
        <w:trPr>
          <w:trHeight w:val="340"/>
          <w:jc w:val="center"/>
        </w:trPr>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5AB1AE62"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Пищеварительная система</w:t>
            </w:r>
          </w:p>
        </w:tc>
        <w:tc>
          <w:tcPr>
            <w:tcW w:w="879"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6D7BD1DF"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50</w:t>
            </w:r>
          </w:p>
        </w:tc>
        <w:tc>
          <w:tcPr>
            <w:tcW w:w="145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422F43E9"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4</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2A4D0AB4"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8,0</w:t>
            </w:r>
          </w:p>
        </w:tc>
        <w:tc>
          <w:tcPr>
            <w:tcW w:w="2602"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68A052B0"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 xml:space="preserve">0,085 </w:t>
            </w:r>
            <w:r w:rsidRPr="00D11BAB">
              <w:rPr>
                <w:rFonts w:ascii="Times New Roman" w:hAnsi="Times New Roman"/>
                <w:sz w:val="24"/>
                <w:szCs w:val="24"/>
                <w:lang w:val="en-US"/>
              </w:rPr>
              <w:t>[</w:t>
            </w:r>
            <w:r w:rsidRPr="00D11BAB">
              <w:rPr>
                <w:rFonts w:ascii="Times New Roman" w:hAnsi="Times New Roman"/>
                <w:sz w:val="24"/>
                <w:szCs w:val="24"/>
              </w:rPr>
              <w:t>0,033-0,217</w:t>
            </w:r>
            <w:r w:rsidRPr="00D11BAB">
              <w:rPr>
                <w:rFonts w:ascii="Times New Roman" w:hAnsi="Times New Roman"/>
                <w:sz w:val="24"/>
                <w:szCs w:val="24"/>
                <w:lang w:val="en-US"/>
              </w:rPr>
              <w:t>]</w:t>
            </w:r>
          </w:p>
        </w:tc>
      </w:tr>
      <w:tr w:rsidR="00EF5CD6" w:rsidRPr="00D11BAB" w14:paraId="5BDEAAA3" w14:textId="77777777" w:rsidTr="00094F6F">
        <w:trPr>
          <w:trHeight w:val="340"/>
          <w:jc w:val="center"/>
        </w:trPr>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7B957799"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Мочеполовая система</w:t>
            </w:r>
          </w:p>
        </w:tc>
        <w:tc>
          <w:tcPr>
            <w:tcW w:w="879"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301A3047"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12</w:t>
            </w:r>
          </w:p>
        </w:tc>
        <w:tc>
          <w:tcPr>
            <w:tcW w:w="145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77BAEBD5"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3</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58F634A0"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16,6</w:t>
            </w:r>
          </w:p>
        </w:tc>
        <w:tc>
          <w:tcPr>
            <w:tcW w:w="2602"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784DCDD7"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 xml:space="preserve">0,392 </w:t>
            </w:r>
            <w:r w:rsidRPr="00D11BAB">
              <w:rPr>
                <w:rFonts w:ascii="Times New Roman" w:hAnsi="Times New Roman"/>
                <w:sz w:val="24"/>
                <w:szCs w:val="24"/>
                <w:lang w:val="en-US"/>
              </w:rPr>
              <w:t>[</w:t>
            </w:r>
            <w:r w:rsidRPr="00D11BAB">
              <w:rPr>
                <w:rFonts w:ascii="Times New Roman" w:hAnsi="Times New Roman"/>
                <w:sz w:val="24"/>
                <w:szCs w:val="24"/>
              </w:rPr>
              <w:t>0,146-1,056</w:t>
            </w:r>
            <w:r w:rsidRPr="00D11BAB">
              <w:rPr>
                <w:rFonts w:ascii="Times New Roman" w:hAnsi="Times New Roman"/>
                <w:sz w:val="24"/>
                <w:szCs w:val="24"/>
                <w:lang w:val="en-US"/>
              </w:rPr>
              <w:t>]</w:t>
            </w:r>
          </w:p>
        </w:tc>
      </w:tr>
      <w:tr w:rsidR="00EF5CD6" w:rsidRPr="00D11BAB" w14:paraId="6D434106" w14:textId="77777777" w:rsidTr="00094F6F">
        <w:trPr>
          <w:trHeight w:val="340"/>
          <w:jc w:val="center"/>
        </w:trPr>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08452109"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Сахарный диабет</w:t>
            </w:r>
          </w:p>
        </w:tc>
        <w:tc>
          <w:tcPr>
            <w:tcW w:w="879"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5F11065F"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17</w:t>
            </w:r>
          </w:p>
        </w:tc>
        <w:tc>
          <w:tcPr>
            <w:tcW w:w="145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2B2E5BE1"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15</w:t>
            </w:r>
          </w:p>
        </w:tc>
        <w:tc>
          <w:tcPr>
            <w:tcW w:w="1596"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2C8799C3"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88,2</w:t>
            </w:r>
          </w:p>
        </w:tc>
        <w:tc>
          <w:tcPr>
            <w:tcW w:w="2602"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14:paraId="69228B34"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 xml:space="preserve">1,588 </w:t>
            </w:r>
            <w:r w:rsidRPr="00D11BAB">
              <w:rPr>
                <w:rFonts w:ascii="Times New Roman" w:hAnsi="Times New Roman"/>
                <w:sz w:val="24"/>
                <w:szCs w:val="24"/>
                <w:lang w:val="en-US"/>
              </w:rPr>
              <w:t>[</w:t>
            </w:r>
            <w:r w:rsidRPr="00D11BAB">
              <w:rPr>
                <w:rFonts w:ascii="Times New Roman" w:hAnsi="Times New Roman"/>
                <w:sz w:val="24"/>
                <w:szCs w:val="24"/>
              </w:rPr>
              <w:t>1,247-2,023</w:t>
            </w:r>
            <w:r w:rsidRPr="00D11BAB">
              <w:rPr>
                <w:rFonts w:ascii="Times New Roman" w:hAnsi="Times New Roman"/>
                <w:sz w:val="24"/>
                <w:szCs w:val="24"/>
                <w:lang w:val="en-US"/>
              </w:rPr>
              <w:t>]</w:t>
            </w:r>
          </w:p>
        </w:tc>
      </w:tr>
      <w:tr w:rsidR="00EF5CD6" w:rsidRPr="00D11BAB" w14:paraId="6DFD6505" w14:textId="77777777" w:rsidTr="00094F6F">
        <w:trPr>
          <w:trHeight w:val="340"/>
          <w:jc w:val="center"/>
        </w:trPr>
        <w:tc>
          <w:tcPr>
            <w:tcW w:w="9617" w:type="dxa"/>
            <w:gridSpan w:val="5"/>
            <w:tcBorders>
              <w:top w:val="single" w:sz="8" w:space="0" w:color="000000"/>
              <w:left w:val="single" w:sz="8" w:space="0" w:color="000000"/>
              <w:bottom w:val="single" w:sz="4" w:space="0" w:color="auto"/>
              <w:right w:val="single" w:sz="8" w:space="0" w:color="000000"/>
            </w:tcBorders>
            <w:shd w:val="clear" w:color="auto" w:fill="auto"/>
            <w:tcMar>
              <w:top w:w="15" w:type="dxa"/>
              <w:left w:w="83" w:type="dxa"/>
              <w:bottom w:w="0" w:type="dxa"/>
              <w:right w:w="83" w:type="dxa"/>
            </w:tcMar>
            <w:hideMark/>
          </w:tcPr>
          <w:p w14:paraId="48227C0A"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 xml:space="preserve">Функциональные осложнения </w:t>
            </w:r>
          </w:p>
        </w:tc>
      </w:tr>
      <w:tr w:rsidR="00EF5CD6" w:rsidRPr="00D11BAB" w14:paraId="0D64C023" w14:textId="77777777" w:rsidTr="00094F6F">
        <w:trPr>
          <w:trHeight w:val="340"/>
          <w:jc w:val="center"/>
        </w:trPr>
        <w:tc>
          <w:tcPr>
            <w:tcW w:w="3084" w:type="dxa"/>
            <w:tcBorders>
              <w:top w:val="single" w:sz="4" w:space="0" w:color="auto"/>
              <w:left w:val="single" w:sz="4" w:space="0" w:color="auto"/>
              <w:bottom w:val="single" w:sz="4" w:space="0" w:color="auto"/>
              <w:right w:val="single" w:sz="4" w:space="0" w:color="auto"/>
            </w:tcBorders>
            <w:shd w:val="clear" w:color="auto" w:fill="auto"/>
            <w:tcMar>
              <w:top w:w="15" w:type="dxa"/>
              <w:left w:w="83" w:type="dxa"/>
              <w:bottom w:w="0" w:type="dxa"/>
              <w:right w:w="83" w:type="dxa"/>
            </w:tcMar>
            <w:hideMark/>
          </w:tcPr>
          <w:p w14:paraId="2D196568"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 xml:space="preserve">Вторичный энтероколит </w:t>
            </w:r>
          </w:p>
        </w:tc>
        <w:tc>
          <w:tcPr>
            <w:tcW w:w="879" w:type="dxa"/>
            <w:tcBorders>
              <w:top w:val="single" w:sz="4" w:space="0" w:color="auto"/>
              <w:left w:val="single" w:sz="4" w:space="0" w:color="auto"/>
              <w:bottom w:val="single" w:sz="4" w:space="0" w:color="auto"/>
              <w:right w:val="single" w:sz="4" w:space="0" w:color="auto"/>
            </w:tcBorders>
            <w:shd w:val="clear" w:color="auto" w:fill="auto"/>
            <w:tcMar>
              <w:top w:w="15" w:type="dxa"/>
              <w:left w:w="83" w:type="dxa"/>
              <w:bottom w:w="0" w:type="dxa"/>
              <w:right w:w="83" w:type="dxa"/>
            </w:tcMar>
            <w:vAlign w:val="center"/>
            <w:hideMark/>
          </w:tcPr>
          <w:p w14:paraId="42541289"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58</w:t>
            </w:r>
          </w:p>
        </w:tc>
        <w:tc>
          <w:tcPr>
            <w:tcW w:w="1456" w:type="dxa"/>
            <w:tcBorders>
              <w:top w:val="single" w:sz="4" w:space="0" w:color="auto"/>
              <w:left w:val="single" w:sz="4" w:space="0" w:color="auto"/>
              <w:bottom w:val="single" w:sz="4" w:space="0" w:color="auto"/>
              <w:right w:val="single" w:sz="4" w:space="0" w:color="auto"/>
            </w:tcBorders>
            <w:shd w:val="clear" w:color="auto" w:fill="auto"/>
            <w:tcMar>
              <w:top w:w="15" w:type="dxa"/>
              <w:left w:w="83" w:type="dxa"/>
              <w:bottom w:w="0" w:type="dxa"/>
              <w:right w:w="83" w:type="dxa"/>
            </w:tcMar>
            <w:vAlign w:val="center"/>
            <w:hideMark/>
          </w:tcPr>
          <w:p w14:paraId="2E57DDC0"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46</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15" w:type="dxa"/>
              <w:left w:w="83" w:type="dxa"/>
              <w:bottom w:w="0" w:type="dxa"/>
              <w:right w:w="83" w:type="dxa"/>
            </w:tcMar>
            <w:vAlign w:val="center"/>
            <w:hideMark/>
          </w:tcPr>
          <w:p w14:paraId="7BE2C944"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79,3</w:t>
            </w:r>
          </w:p>
        </w:tc>
        <w:tc>
          <w:tcPr>
            <w:tcW w:w="2602" w:type="dxa"/>
            <w:tcBorders>
              <w:top w:val="single" w:sz="4" w:space="0" w:color="auto"/>
              <w:left w:val="single" w:sz="4" w:space="0" w:color="auto"/>
              <w:bottom w:val="single" w:sz="4" w:space="0" w:color="auto"/>
              <w:right w:val="single" w:sz="4" w:space="0" w:color="auto"/>
            </w:tcBorders>
            <w:shd w:val="clear" w:color="auto" w:fill="auto"/>
            <w:tcMar>
              <w:top w:w="15" w:type="dxa"/>
              <w:left w:w="83" w:type="dxa"/>
              <w:bottom w:w="0" w:type="dxa"/>
              <w:right w:w="83" w:type="dxa"/>
            </w:tcMar>
            <w:vAlign w:val="center"/>
            <w:hideMark/>
          </w:tcPr>
          <w:p w14:paraId="46503096" w14:textId="77777777" w:rsidR="00EF5CD6" w:rsidRPr="00D11BAB" w:rsidRDefault="00EF5CD6" w:rsidP="00094F6F">
            <w:pPr>
              <w:tabs>
                <w:tab w:val="left" w:pos="567"/>
              </w:tabs>
              <w:spacing w:after="0" w:line="240" w:lineRule="auto"/>
              <w:jc w:val="center"/>
              <w:rPr>
                <w:rFonts w:ascii="Times New Roman" w:hAnsi="Times New Roman"/>
                <w:sz w:val="24"/>
                <w:szCs w:val="24"/>
              </w:rPr>
            </w:pPr>
            <w:r w:rsidRPr="00D11BAB">
              <w:rPr>
                <w:rFonts w:ascii="Times New Roman" w:hAnsi="Times New Roman"/>
                <w:sz w:val="24"/>
                <w:szCs w:val="24"/>
              </w:rPr>
              <w:t xml:space="preserve">1,832 </w:t>
            </w:r>
            <w:r w:rsidRPr="00D11BAB">
              <w:rPr>
                <w:rFonts w:ascii="Times New Roman" w:hAnsi="Times New Roman"/>
                <w:sz w:val="24"/>
                <w:szCs w:val="24"/>
                <w:lang w:val="en-US"/>
              </w:rPr>
              <w:t>[</w:t>
            </w:r>
            <w:r w:rsidRPr="00D11BAB">
              <w:rPr>
                <w:rFonts w:ascii="Times New Roman" w:hAnsi="Times New Roman"/>
                <w:sz w:val="24"/>
                <w:szCs w:val="24"/>
              </w:rPr>
              <w:t>1,352-2,483</w:t>
            </w:r>
            <w:r w:rsidRPr="00D11BAB">
              <w:rPr>
                <w:rFonts w:ascii="Times New Roman" w:hAnsi="Times New Roman"/>
                <w:sz w:val="24"/>
                <w:szCs w:val="24"/>
                <w:lang w:val="en-US"/>
              </w:rPr>
              <w:t>]</w:t>
            </w:r>
          </w:p>
        </w:tc>
      </w:tr>
      <w:tr w:rsidR="00EF5CD6" w:rsidRPr="00D11BAB" w14:paraId="548A8E4C" w14:textId="77777777" w:rsidTr="00094F6F">
        <w:trPr>
          <w:trHeight w:val="340"/>
          <w:jc w:val="center"/>
        </w:trPr>
        <w:tc>
          <w:tcPr>
            <w:tcW w:w="9617" w:type="dxa"/>
            <w:gridSpan w:val="5"/>
            <w:tcBorders>
              <w:top w:val="single" w:sz="4" w:space="0" w:color="auto"/>
              <w:left w:val="single" w:sz="4" w:space="0" w:color="auto"/>
              <w:bottom w:val="single" w:sz="4" w:space="0" w:color="auto"/>
              <w:right w:val="single" w:sz="4" w:space="0" w:color="auto"/>
            </w:tcBorders>
            <w:shd w:val="clear" w:color="auto" w:fill="auto"/>
            <w:tcMar>
              <w:top w:w="15" w:type="dxa"/>
              <w:left w:w="83" w:type="dxa"/>
              <w:bottom w:w="0" w:type="dxa"/>
              <w:right w:w="83" w:type="dxa"/>
            </w:tcMar>
            <w:hideMark/>
          </w:tcPr>
          <w:p w14:paraId="6D2BC9CA" w14:textId="77777777" w:rsidR="00EF5CD6" w:rsidRPr="00D11BAB" w:rsidRDefault="00EF5CD6" w:rsidP="00094F6F">
            <w:pPr>
              <w:tabs>
                <w:tab w:val="left" w:pos="567"/>
              </w:tabs>
              <w:spacing w:after="0" w:line="240" w:lineRule="auto"/>
              <w:ind w:firstLine="626"/>
              <w:jc w:val="both"/>
              <w:rPr>
                <w:rFonts w:ascii="Times New Roman" w:hAnsi="Times New Roman"/>
                <w:bCs/>
                <w:sz w:val="24"/>
                <w:szCs w:val="24"/>
              </w:rPr>
            </w:pPr>
            <w:r w:rsidRPr="00D11BAB">
              <w:rPr>
                <w:rFonts w:ascii="Times New Roman" w:hAnsi="Times New Roman"/>
                <w:bCs/>
                <w:sz w:val="24"/>
                <w:szCs w:val="24"/>
              </w:rPr>
              <w:t>Примечания:</w:t>
            </w:r>
          </w:p>
          <w:p w14:paraId="43E94ABC" w14:textId="77777777" w:rsidR="00EF5CD6" w:rsidRPr="00D11BAB" w:rsidRDefault="00EF5CD6" w:rsidP="00094F6F">
            <w:pPr>
              <w:tabs>
                <w:tab w:val="left" w:pos="567"/>
              </w:tabs>
              <w:spacing w:after="0" w:line="240" w:lineRule="auto"/>
              <w:jc w:val="both"/>
              <w:rPr>
                <w:rFonts w:ascii="Times New Roman" w:hAnsi="Times New Roman"/>
                <w:bCs/>
                <w:sz w:val="24"/>
                <w:szCs w:val="24"/>
              </w:rPr>
            </w:pPr>
            <w:r w:rsidRPr="00D11BAB">
              <w:rPr>
                <w:rFonts w:ascii="Times New Roman" w:hAnsi="Times New Roman"/>
                <w:bCs/>
                <w:sz w:val="24"/>
                <w:szCs w:val="24"/>
              </w:rPr>
              <w:t xml:space="preserve">1. </w:t>
            </w:r>
            <w:r w:rsidRPr="00D11BAB">
              <w:rPr>
                <w:rFonts w:ascii="Times New Roman" w:hAnsi="Times New Roman"/>
                <w:bCs/>
                <w:sz w:val="24"/>
                <w:szCs w:val="24"/>
                <w:lang w:val="en-US"/>
              </w:rPr>
              <w:t>RR</w:t>
            </w:r>
            <w:r w:rsidRPr="00D11BAB">
              <w:rPr>
                <w:rFonts w:ascii="Times New Roman" w:hAnsi="Times New Roman"/>
                <w:bCs/>
                <w:sz w:val="24"/>
                <w:szCs w:val="24"/>
              </w:rPr>
              <w:t xml:space="preserve"> - относительный риск. </w:t>
            </w:r>
          </w:p>
          <w:p w14:paraId="67E4EDFA" w14:textId="77777777" w:rsidR="00EF5CD6" w:rsidRPr="00D11BAB" w:rsidRDefault="00EF5CD6" w:rsidP="00094F6F">
            <w:pPr>
              <w:tabs>
                <w:tab w:val="left" w:pos="567"/>
              </w:tabs>
              <w:spacing w:after="0" w:line="240" w:lineRule="auto"/>
              <w:jc w:val="both"/>
              <w:rPr>
                <w:rFonts w:ascii="Times New Roman" w:hAnsi="Times New Roman"/>
                <w:sz w:val="24"/>
                <w:szCs w:val="24"/>
              </w:rPr>
            </w:pPr>
            <w:r w:rsidRPr="00D11BAB">
              <w:rPr>
                <w:rFonts w:ascii="Times New Roman" w:hAnsi="Times New Roman"/>
                <w:bCs/>
                <w:sz w:val="24"/>
                <w:szCs w:val="24"/>
              </w:rPr>
              <w:t xml:space="preserve">2. 95% </w:t>
            </w:r>
            <w:r w:rsidRPr="00D11BAB">
              <w:rPr>
                <w:rFonts w:ascii="Times New Roman" w:hAnsi="Times New Roman"/>
                <w:bCs/>
                <w:sz w:val="24"/>
                <w:szCs w:val="24"/>
                <w:lang w:val="en-US"/>
              </w:rPr>
              <w:t>CI</w:t>
            </w:r>
            <w:r w:rsidRPr="00D11BAB">
              <w:rPr>
                <w:rFonts w:ascii="Times New Roman" w:hAnsi="Times New Roman"/>
                <w:bCs/>
                <w:sz w:val="24"/>
                <w:szCs w:val="24"/>
              </w:rPr>
              <w:t>-95% доверительный интервал</w:t>
            </w:r>
          </w:p>
        </w:tc>
      </w:tr>
    </w:tbl>
    <w:p w14:paraId="6281EAD3" w14:textId="77777777" w:rsidR="00EF5CD6" w:rsidRPr="00D11BAB" w:rsidRDefault="00EF5CD6" w:rsidP="00EF5CD6">
      <w:pPr>
        <w:tabs>
          <w:tab w:val="left" w:pos="567"/>
        </w:tabs>
        <w:spacing w:after="0" w:line="240" w:lineRule="auto"/>
        <w:ind w:firstLine="709"/>
        <w:jc w:val="both"/>
        <w:rPr>
          <w:rFonts w:ascii="Times New Roman" w:hAnsi="Times New Roman"/>
          <w:sz w:val="28"/>
          <w:szCs w:val="28"/>
        </w:rPr>
      </w:pPr>
    </w:p>
    <w:p w14:paraId="2D1A8C1A" w14:textId="77777777" w:rsidR="00EF5CD6" w:rsidRPr="00D11BAB" w:rsidRDefault="00EF5CD6" w:rsidP="00EF5CD6">
      <w:pPr>
        <w:tabs>
          <w:tab w:val="left" w:pos="567"/>
        </w:tabs>
        <w:spacing w:after="0" w:line="240" w:lineRule="auto"/>
        <w:ind w:firstLine="709"/>
        <w:jc w:val="both"/>
        <w:rPr>
          <w:rFonts w:ascii="Times New Roman" w:hAnsi="Times New Roman"/>
          <w:sz w:val="28"/>
          <w:szCs w:val="28"/>
          <w:lang w:val="kk-KZ"/>
        </w:rPr>
      </w:pPr>
      <w:r w:rsidRPr="00D11BAB">
        <w:rPr>
          <w:rFonts w:ascii="Times New Roman" w:hAnsi="Times New Roman"/>
          <w:sz w:val="28"/>
          <w:szCs w:val="28"/>
        </w:rPr>
        <w:t>Из сопутствующих заболеваний сердечно-сосудистая патология (</w:t>
      </w:r>
      <w:r w:rsidRPr="00D11BAB">
        <w:rPr>
          <w:rFonts w:ascii="Times New Roman" w:hAnsi="Times New Roman"/>
          <w:sz w:val="28"/>
          <w:szCs w:val="28"/>
          <w:lang w:val="en-US"/>
        </w:rPr>
        <w:t>RR</w:t>
      </w:r>
      <w:r w:rsidRPr="00D11BAB">
        <w:rPr>
          <w:rFonts w:ascii="Times New Roman" w:hAnsi="Times New Roman"/>
          <w:sz w:val="28"/>
          <w:szCs w:val="28"/>
        </w:rPr>
        <w:t xml:space="preserve"> 1,442 [</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 xml:space="preserve">ДИ </w:t>
      </w:r>
      <w:r w:rsidRPr="00D11BAB">
        <w:rPr>
          <w:rFonts w:ascii="Times New Roman" w:hAnsi="Times New Roman"/>
          <w:sz w:val="28"/>
          <w:szCs w:val="28"/>
        </w:rPr>
        <w:t>1,090-1,908]) и сахарный диабет (</w:t>
      </w:r>
      <w:r w:rsidRPr="00D11BAB">
        <w:rPr>
          <w:rFonts w:ascii="Times New Roman" w:hAnsi="Times New Roman"/>
          <w:sz w:val="28"/>
          <w:szCs w:val="28"/>
          <w:lang w:val="en-US"/>
        </w:rPr>
        <w:t>RR</w:t>
      </w:r>
      <w:r w:rsidRPr="00D11BAB">
        <w:rPr>
          <w:rFonts w:ascii="Times New Roman" w:hAnsi="Times New Roman"/>
          <w:sz w:val="28"/>
          <w:szCs w:val="28"/>
        </w:rPr>
        <w:t xml:space="preserve"> 1,588 [</w:t>
      </w:r>
      <w:r w:rsidRPr="00D11BAB">
        <w:rPr>
          <w:rFonts w:ascii="Times New Roman" w:hAnsi="Times New Roman"/>
          <w:sz w:val="28"/>
          <w:szCs w:val="28"/>
          <w:lang w:val="kk-KZ" w:eastAsia="en-US"/>
        </w:rPr>
        <w:t>95% ДИ</w:t>
      </w:r>
      <w:r w:rsidRPr="00D11BAB">
        <w:rPr>
          <w:rFonts w:ascii="Times New Roman" w:hAnsi="Times New Roman"/>
          <w:sz w:val="28"/>
          <w:szCs w:val="28"/>
        </w:rPr>
        <w:t xml:space="preserve"> 1,247-2,023]) также были ассоциированы с риском развития электролитных нарушений по сравнению с заболеваниями дыхательной системы (</w:t>
      </w:r>
      <w:r w:rsidRPr="00D11BAB">
        <w:rPr>
          <w:rFonts w:ascii="Times New Roman" w:hAnsi="Times New Roman"/>
          <w:sz w:val="28"/>
          <w:szCs w:val="28"/>
          <w:lang w:val="en-US"/>
        </w:rPr>
        <w:t>RR</w:t>
      </w:r>
      <w:r w:rsidRPr="00D11BAB">
        <w:rPr>
          <w:rFonts w:ascii="Times New Roman" w:hAnsi="Times New Roman"/>
          <w:sz w:val="28"/>
          <w:szCs w:val="28"/>
        </w:rPr>
        <w:t xml:space="preserve"> 0,478 [</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 xml:space="preserve">ДИ </w:t>
      </w:r>
      <w:r w:rsidRPr="00D11BAB">
        <w:rPr>
          <w:rFonts w:ascii="Times New Roman" w:hAnsi="Times New Roman"/>
          <w:sz w:val="28"/>
          <w:szCs w:val="28"/>
        </w:rPr>
        <w:t>0,265-0,860]), пищеварительной системы (</w:t>
      </w:r>
      <w:r w:rsidRPr="00D11BAB">
        <w:rPr>
          <w:rFonts w:ascii="Times New Roman" w:hAnsi="Times New Roman"/>
          <w:sz w:val="28"/>
          <w:szCs w:val="28"/>
          <w:lang w:val="en-US"/>
        </w:rPr>
        <w:t>RR</w:t>
      </w:r>
      <w:r w:rsidRPr="00D11BAB">
        <w:rPr>
          <w:rFonts w:ascii="Times New Roman" w:hAnsi="Times New Roman"/>
          <w:sz w:val="28"/>
          <w:szCs w:val="28"/>
        </w:rPr>
        <w:t xml:space="preserve"> 0,085 [</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ДИ</w:t>
      </w:r>
      <w:r w:rsidRPr="00D11BAB">
        <w:rPr>
          <w:rFonts w:ascii="Times New Roman" w:hAnsi="Times New Roman"/>
          <w:sz w:val="28"/>
          <w:szCs w:val="28"/>
        </w:rPr>
        <w:t xml:space="preserve"> 0,033-0,217]) и мочеполовой системы (</w:t>
      </w:r>
      <w:r w:rsidRPr="00D11BAB">
        <w:rPr>
          <w:rFonts w:ascii="Times New Roman" w:hAnsi="Times New Roman"/>
          <w:sz w:val="28"/>
          <w:szCs w:val="28"/>
          <w:lang w:val="en-US"/>
        </w:rPr>
        <w:t>RR</w:t>
      </w:r>
      <w:r w:rsidRPr="00D11BAB">
        <w:rPr>
          <w:rFonts w:ascii="Times New Roman" w:hAnsi="Times New Roman"/>
          <w:sz w:val="28"/>
          <w:szCs w:val="28"/>
        </w:rPr>
        <w:t xml:space="preserve"> 0,392 [</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ДИ</w:t>
      </w:r>
      <w:r w:rsidRPr="00D11BAB">
        <w:rPr>
          <w:rFonts w:ascii="Times New Roman" w:hAnsi="Times New Roman"/>
          <w:sz w:val="28"/>
          <w:szCs w:val="28"/>
        </w:rPr>
        <w:t xml:space="preserve"> 0,146-1,056]), которые не показали статический достоверной ассоциации с электролитными нарушениями у больных после хирургического лечения рака ободочной кишки.</w:t>
      </w:r>
      <w:r w:rsidRPr="00D11BAB">
        <w:rPr>
          <w:rFonts w:ascii="Times New Roman" w:hAnsi="Times New Roman"/>
          <w:sz w:val="28"/>
          <w:szCs w:val="28"/>
          <w:lang w:val="kk-KZ"/>
        </w:rPr>
        <w:t xml:space="preserve"> </w:t>
      </w:r>
    </w:p>
    <w:p w14:paraId="6E7D870D" w14:textId="77777777" w:rsidR="00EF5CD6" w:rsidRPr="00D11BAB" w:rsidRDefault="00EF5CD6" w:rsidP="00EF5CD6">
      <w:pPr>
        <w:tabs>
          <w:tab w:val="left" w:pos="567"/>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Проведенные ранее большинство крупных исследований преследовали цель изучить электролитные нарушения у больных со злокачественными новообразованиями различных локализации </w:t>
      </w:r>
      <w:r w:rsidRPr="00D11BAB">
        <w:rPr>
          <w:rFonts w:ascii="Times New Roman" w:hAnsi="Times New Roman"/>
          <w:sz w:val="28"/>
          <w:szCs w:val="28"/>
        </w:rPr>
        <w:fldChar w:fldCharType="begin"/>
      </w:r>
      <w:r w:rsidRPr="00D11BAB">
        <w:rPr>
          <w:rFonts w:ascii="Times New Roman" w:hAnsi="Times New Roman"/>
          <w:sz w:val="28"/>
          <w:szCs w:val="28"/>
        </w:rPr>
        <w:instrText xml:space="preserve"> ADDIN ZOTERO_ITEM CSL_CITATION {"citationID":"a25th62g0i8","properties":{"formattedCitation":"[218]","plainCitation":"[218]","noteIndex":0},"citationItems":[{"id":41,"uris":["http://zotero.org/users/7388323/items/XET8N9DI"],"uri":["http://zotero.org/users/7388323/items/XET8N9DI"],"itemData":{"id":41,"type":"article-journal","abstract":"Background: This study aims to delineate the incidence of electrolyte and acid-base disorders (EAD) in cancer patients, to figure out the risk factors of EAD, then to assess the impact of EAD on patients’ in-hospital clinical outcomes., Methods: Patients with the diagnosis of malignancies hospitalized during 1 October 2014 and 30 September 2015 were recruited in Zhongshan Hospital, Fudan University in Shanghai of China. Demographic characteristics, comorbidities, and clinical data, including survival, length of stay and hospital cost, were extracted from the electronic medical record system. Electrolyte and acid-base data were acquired from the hospital laboratory database., Results: Of 25,881 cancer patients with electrolyte data, 15,000 (58.0%) cases had at least one electrolyte and acid-base abnormity. Hypocalcemia (27.8%) was the most common electrolyte disorder, followed by hypophosphatemia (26.7%), hypochloremia (24.5%) and hyponatremia (22.5%). The incidence of simple metabolic acidosis (MAC) and metabolic alkalosis (MAL) was 12.8% and 22.1% respectively. Patients with mixed metabolic acid-base disorders (MAC + MAL) accounted for 30.2%. Lower BMI score, preexisting hypertension and diabetes, renal dysfunction, receiving surgery/chemotherapy, anemia and hypoalbuminemia were screened out as the major risk factors of EAD. In-hospital mortality in patients with EAD was 2.1% as compared to those with normal electrolytes (0.3%). The risk of death significantly increased among patients with severe EAD. Similarly, the length of stay and hospital cost also tripled as the number and grade of EAD increased., Conclusion: EAD is commonly encountered in cancer patients and associated with an ominous prognosis. Patients with comorbidities, renal/liver dysfunction, and anti-tumor therapy have a higher risk of EAD. Regular monitoring of electrolytes, optimum regimen for intravenous infusion, timely correction of modifiable factors and appropriate management of EAD should not be neglected during anti-tumor treatment.","container-title":"Renal Failure","DOI":"10.1080/0886022X.2020.1735417","ISSN":"0886-022X","issue":"1","journalAbbreviation":"Ren Fail","note":"PMID: 32138574\nPMCID: PMC7067195","page":"234-243","source":"PubMed Central","title":"Electrolyte and acid-base disorders in cancer patients and its impact on clinical outcomes: evidence from a real-world study in China","title-short":"Electrolyte and acid-base disorders in cancer patients and its impact on clinical outcomes","URL":"https://www.ncbi.nlm.nih.gov/pmc/articles/PMC7067195/","volume":"42","author":[{"family":"Li","given":"Yang"},{"family":"Chen","given":"Xiaohong"},{"family":"Shen","given":"Ziyan"},{"family":"Wang","given":"Yimei"},{"family":"Hu","given":"Jiachang"},{"family":"Xu","given":"Jiarui"},{"family":"Shen","given":"Bo"},{"family":"Ding","given":"Xiaoqiang"}],"accessed":{"date-parts":[["2021",1,10]]},"issued":{"date-parts":[["2020",3,5]]}}}],"schema":"https://github.com/citation-style-language/schema/raw/master/csl-citation.json"} </w:instrText>
      </w:r>
      <w:r w:rsidRPr="00D11BAB">
        <w:rPr>
          <w:rFonts w:ascii="Times New Roman" w:hAnsi="Times New Roman"/>
          <w:sz w:val="28"/>
          <w:szCs w:val="28"/>
        </w:rPr>
        <w:fldChar w:fldCharType="separate"/>
      </w:r>
      <w:r w:rsidRPr="00D11BAB">
        <w:rPr>
          <w:rFonts w:ascii="Times New Roman" w:hAnsi="Times New Roman"/>
          <w:sz w:val="28"/>
          <w:szCs w:val="24"/>
        </w:rPr>
        <w:t>[240]</w:t>
      </w:r>
      <w:r w:rsidRPr="00D11BAB">
        <w:rPr>
          <w:rFonts w:ascii="Times New Roman" w:hAnsi="Times New Roman"/>
          <w:sz w:val="28"/>
          <w:szCs w:val="28"/>
        </w:rPr>
        <w:fldChar w:fldCharType="end"/>
      </w:r>
      <w:r w:rsidRPr="00D11BAB">
        <w:rPr>
          <w:rFonts w:ascii="Times New Roman" w:hAnsi="Times New Roman"/>
          <w:sz w:val="28"/>
          <w:szCs w:val="28"/>
        </w:rPr>
        <w:t xml:space="preserve">. </w:t>
      </w:r>
      <w:r w:rsidRPr="00D11BAB">
        <w:rPr>
          <w:rFonts w:ascii="Times New Roman" w:hAnsi="Times New Roman"/>
          <w:sz w:val="28"/>
          <w:szCs w:val="28"/>
          <w:lang w:val="kk-KZ"/>
        </w:rPr>
        <w:t xml:space="preserve">Полученные результаты </w:t>
      </w:r>
      <w:r w:rsidRPr="00D11BAB">
        <w:rPr>
          <w:rFonts w:ascii="Times New Roman" w:hAnsi="Times New Roman"/>
          <w:sz w:val="28"/>
          <w:szCs w:val="28"/>
          <w:lang w:val="kk-KZ"/>
        </w:rPr>
        <w:lastRenderedPageBreak/>
        <w:t>совпадают с данными мировой литературы</w:t>
      </w:r>
      <w:r w:rsidRPr="00D11BAB">
        <w:rPr>
          <w:rFonts w:ascii="Times New Roman" w:hAnsi="Times New Roman"/>
          <w:sz w:val="28"/>
          <w:szCs w:val="28"/>
        </w:rPr>
        <w:t xml:space="preserve">, где доказана неоспоримая роль артериальной гипертензии </w:t>
      </w:r>
      <w:r w:rsidRPr="00D11BAB">
        <w:rPr>
          <w:rFonts w:ascii="Times New Roman" w:hAnsi="Times New Roman"/>
          <w:sz w:val="28"/>
          <w:szCs w:val="28"/>
          <w:lang w:val="en-US"/>
        </w:rPr>
        <w:fldChar w:fldCharType="begin"/>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ADDIN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ZOTERO</w:instrText>
      </w:r>
      <w:r w:rsidRPr="00D11BAB">
        <w:rPr>
          <w:rFonts w:ascii="Times New Roman" w:hAnsi="Times New Roman"/>
          <w:sz w:val="28"/>
          <w:szCs w:val="28"/>
        </w:rPr>
        <w:instrText>_</w:instrText>
      </w:r>
      <w:r w:rsidRPr="00D11BAB">
        <w:rPr>
          <w:rFonts w:ascii="Times New Roman" w:hAnsi="Times New Roman"/>
          <w:sz w:val="28"/>
          <w:szCs w:val="28"/>
          <w:lang w:val="en-US"/>
        </w:rPr>
        <w:instrText>ITEM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CSL</w:instrText>
      </w:r>
      <w:r w:rsidRPr="00D11BAB">
        <w:rPr>
          <w:rFonts w:ascii="Times New Roman" w:hAnsi="Times New Roman"/>
          <w:sz w:val="28"/>
          <w:szCs w:val="28"/>
        </w:rPr>
        <w:instrText>_</w:instrText>
      </w:r>
      <w:r w:rsidRPr="00D11BAB">
        <w:rPr>
          <w:rFonts w:ascii="Times New Roman" w:hAnsi="Times New Roman"/>
          <w:sz w:val="28"/>
          <w:szCs w:val="28"/>
          <w:lang w:val="en-US"/>
        </w:rPr>
        <w:instrText>CITATION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citationID</w:instrText>
      </w:r>
      <w:r w:rsidRPr="00D11BAB">
        <w:rPr>
          <w:rFonts w:ascii="Times New Roman" w:hAnsi="Times New Roman"/>
          <w:sz w:val="28"/>
          <w:szCs w:val="28"/>
        </w:rPr>
        <w:instrText>":"</w:instrText>
      </w:r>
      <w:r w:rsidRPr="00D11BAB">
        <w:rPr>
          <w:rFonts w:ascii="Times New Roman" w:hAnsi="Times New Roman"/>
          <w:sz w:val="28"/>
          <w:szCs w:val="28"/>
          <w:lang w:val="en-US"/>
        </w:rPr>
        <w:instrText>a</w:instrText>
      </w:r>
      <w:r w:rsidRPr="00D11BAB">
        <w:rPr>
          <w:rFonts w:ascii="Times New Roman" w:hAnsi="Times New Roman"/>
          <w:sz w:val="28"/>
          <w:szCs w:val="28"/>
        </w:rPr>
        <w:instrText>24</w:instrText>
      </w:r>
      <w:r w:rsidRPr="00D11BAB">
        <w:rPr>
          <w:rFonts w:ascii="Times New Roman" w:hAnsi="Times New Roman"/>
          <w:sz w:val="28"/>
          <w:szCs w:val="28"/>
          <w:lang w:val="en-US"/>
        </w:rPr>
        <w:instrText>oct</w:instrText>
      </w:r>
      <w:r w:rsidRPr="00D11BAB">
        <w:rPr>
          <w:rFonts w:ascii="Times New Roman" w:hAnsi="Times New Roman"/>
          <w:sz w:val="28"/>
          <w:szCs w:val="28"/>
        </w:rPr>
        <w:instrText>2</w:instrText>
      </w:r>
      <w:r w:rsidRPr="00D11BAB">
        <w:rPr>
          <w:rFonts w:ascii="Times New Roman" w:hAnsi="Times New Roman"/>
          <w:sz w:val="28"/>
          <w:szCs w:val="28"/>
          <w:lang w:val="en-US"/>
        </w:rPr>
        <w:instrText>f</w:instrText>
      </w:r>
      <w:r w:rsidRPr="00D11BAB">
        <w:rPr>
          <w:rFonts w:ascii="Times New Roman" w:hAnsi="Times New Roman"/>
          <w:sz w:val="28"/>
          <w:szCs w:val="28"/>
        </w:rPr>
        <w:instrText>4</w:instrText>
      </w:r>
      <w:r w:rsidRPr="00D11BAB">
        <w:rPr>
          <w:rFonts w:ascii="Times New Roman" w:hAnsi="Times New Roman"/>
          <w:sz w:val="28"/>
          <w:szCs w:val="28"/>
          <w:lang w:val="en-US"/>
        </w:rPr>
        <w:instrText>kl</w:instrText>
      </w:r>
      <w:r w:rsidRPr="00D11BAB">
        <w:rPr>
          <w:rFonts w:ascii="Times New Roman" w:hAnsi="Times New Roman"/>
          <w:sz w:val="28"/>
          <w:szCs w:val="28"/>
        </w:rPr>
        <w:instrText>","</w:instrText>
      </w:r>
      <w:r w:rsidRPr="00D11BAB">
        <w:rPr>
          <w:rFonts w:ascii="Times New Roman" w:hAnsi="Times New Roman"/>
          <w:sz w:val="28"/>
          <w:szCs w:val="28"/>
          <w:lang w:val="en-US"/>
        </w:rPr>
        <w:instrText>properties</w:instrText>
      </w:r>
      <w:r w:rsidRPr="00D11BAB">
        <w:rPr>
          <w:rFonts w:ascii="Times New Roman" w:hAnsi="Times New Roman"/>
          <w:sz w:val="28"/>
          <w:szCs w:val="28"/>
        </w:rPr>
        <w:instrText>":{"</w:instrText>
      </w:r>
      <w:r w:rsidRPr="00D11BAB">
        <w:rPr>
          <w:rFonts w:ascii="Times New Roman" w:hAnsi="Times New Roman"/>
          <w:sz w:val="28"/>
          <w:szCs w:val="28"/>
          <w:lang w:val="en-US"/>
        </w:rPr>
        <w:instrText>formattedCitation</w:instrText>
      </w:r>
      <w:r w:rsidRPr="00D11BAB">
        <w:rPr>
          <w:rFonts w:ascii="Times New Roman" w:hAnsi="Times New Roman"/>
          <w:sz w:val="28"/>
          <w:szCs w:val="28"/>
        </w:rPr>
        <w:instrText>":"[220]","</w:instrText>
      </w:r>
      <w:r w:rsidRPr="00D11BAB">
        <w:rPr>
          <w:rFonts w:ascii="Times New Roman" w:hAnsi="Times New Roman"/>
          <w:sz w:val="28"/>
          <w:szCs w:val="28"/>
          <w:lang w:val="en-US"/>
        </w:rPr>
        <w:instrText>plainCitation</w:instrText>
      </w:r>
      <w:r w:rsidRPr="00D11BAB">
        <w:rPr>
          <w:rFonts w:ascii="Times New Roman" w:hAnsi="Times New Roman"/>
          <w:sz w:val="28"/>
          <w:szCs w:val="28"/>
        </w:rPr>
        <w:instrText>":"[220]","</w:instrText>
      </w:r>
      <w:r w:rsidRPr="00D11BAB">
        <w:rPr>
          <w:rFonts w:ascii="Times New Roman" w:hAnsi="Times New Roman"/>
          <w:sz w:val="28"/>
          <w:szCs w:val="28"/>
          <w:lang w:val="en-US"/>
        </w:rPr>
        <w:instrText>noteIndex</w:instrText>
      </w:r>
      <w:r w:rsidRPr="00D11BAB">
        <w:rPr>
          <w:rFonts w:ascii="Times New Roman" w:hAnsi="Times New Roman"/>
          <w:sz w:val="28"/>
          <w:szCs w:val="28"/>
        </w:rPr>
        <w:instrText>":0},"</w:instrText>
      </w:r>
      <w:r w:rsidRPr="00D11BAB">
        <w:rPr>
          <w:rFonts w:ascii="Times New Roman" w:hAnsi="Times New Roman"/>
          <w:sz w:val="28"/>
          <w:szCs w:val="28"/>
          <w:lang w:val="en-US"/>
        </w:rPr>
        <w:instrText>citationItems</w:instrText>
      </w:r>
      <w:r w:rsidRPr="00D11BAB">
        <w:rPr>
          <w:rFonts w:ascii="Times New Roman" w:hAnsi="Times New Roman"/>
          <w:sz w:val="28"/>
          <w:szCs w:val="28"/>
        </w:rPr>
        <w:instrText>":[{"</w:instrText>
      </w:r>
      <w:r w:rsidRPr="00D11BAB">
        <w:rPr>
          <w:rFonts w:ascii="Times New Roman" w:hAnsi="Times New Roman"/>
          <w:sz w:val="28"/>
          <w:szCs w:val="28"/>
          <w:lang w:val="en-US"/>
        </w:rPr>
        <w:instrText>id</w:instrText>
      </w:r>
      <w:r w:rsidRPr="00D11BAB">
        <w:rPr>
          <w:rFonts w:ascii="Times New Roman" w:hAnsi="Times New Roman"/>
          <w:sz w:val="28"/>
          <w:szCs w:val="28"/>
        </w:rPr>
        <w:instrText>":895,"</w:instrText>
      </w:r>
      <w:r w:rsidRPr="00D11BAB">
        <w:rPr>
          <w:rFonts w:ascii="Times New Roman" w:hAnsi="Times New Roman"/>
          <w:sz w:val="28"/>
          <w:szCs w:val="28"/>
          <w:lang w:val="en-US"/>
        </w:rPr>
        <w:instrText>uris</w:instrText>
      </w:r>
      <w:r w:rsidRPr="00D11BAB">
        <w:rPr>
          <w:rFonts w:ascii="Times New Roman" w:hAnsi="Times New Roman"/>
          <w:sz w:val="28"/>
          <w:szCs w:val="28"/>
        </w:rPr>
        <w:instrText>":["</w:instrText>
      </w:r>
      <w:r w:rsidRPr="00D11BAB">
        <w:rPr>
          <w:rFonts w:ascii="Times New Roman" w:hAnsi="Times New Roman"/>
          <w:sz w:val="28"/>
          <w:szCs w:val="28"/>
          <w:lang w:val="en-US"/>
        </w:rPr>
        <w:instrText>http</w:instrText>
      </w:r>
      <w:r w:rsidRPr="00D11BAB">
        <w:rPr>
          <w:rFonts w:ascii="Times New Roman" w:hAnsi="Times New Roman"/>
          <w:sz w:val="28"/>
          <w:szCs w:val="28"/>
        </w:rPr>
        <w:instrText>://</w:instrText>
      </w:r>
      <w:r w:rsidRPr="00D11BAB">
        <w:rPr>
          <w:rFonts w:ascii="Times New Roman" w:hAnsi="Times New Roman"/>
          <w:sz w:val="28"/>
          <w:szCs w:val="28"/>
          <w:lang w:val="en-US"/>
        </w:rPr>
        <w:instrText>zotero</w:instrText>
      </w:r>
      <w:r w:rsidRPr="00D11BAB">
        <w:rPr>
          <w:rFonts w:ascii="Times New Roman" w:hAnsi="Times New Roman"/>
          <w:sz w:val="28"/>
          <w:szCs w:val="28"/>
        </w:rPr>
        <w:instrText>.</w:instrText>
      </w:r>
      <w:r w:rsidRPr="00D11BAB">
        <w:rPr>
          <w:rFonts w:ascii="Times New Roman" w:hAnsi="Times New Roman"/>
          <w:sz w:val="28"/>
          <w:szCs w:val="28"/>
          <w:lang w:val="en-US"/>
        </w:rPr>
        <w:instrText>org</w:instrText>
      </w:r>
      <w:r w:rsidRPr="00D11BAB">
        <w:rPr>
          <w:rFonts w:ascii="Times New Roman" w:hAnsi="Times New Roman"/>
          <w:sz w:val="28"/>
          <w:szCs w:val="28"/>
        </w:rPr>
        <w:instrText>/</w:instrText>
      </w:r>
      <w:r w:rsidRPr="00D11BAB">
        <w:rPr>
          <w:rFonts w:ascii="Times New Roman" w:hAnsi="Times New Roman"/>
          <w:sz w:val="28"/>
          <w:szCs w:val="28"/>
          <w:lang w:val="en-US"/>
        </w:rPr>
        <w:instrText>users</w:instrText>
      </w:r>
      <w:r w:rsidRPr="00D11BAB">
        <w:rPr>
          <w:rFonts w:ascii="Times New Roman" w:hAnsi="Times New Roman"/>
          <w:sz w:val="28"/>
          <w:szCs w:val="28"/>
        </w:rPr>
        <w:instrText>/7388323/</w:instrText>
      </w:r>
      <w:r w:rsidRPr="00D11BAB">
        <w:rPr>
          <w:rFonts w:ascii="Times New Roman" w:hAnsi="Times New Roman"/>
          <w:sz w:val="28"/>
          <w:szCs w:val="28"/>
          <w:lang w:val="en-US"/>
        </w:rPr>
        <w:instrText>items</w:instrText>
      </w:r>
      <w:r w:rsidRPr="00D11BAB">
        <w:rPr>
          <w:rFonts w:ascii="Times New Roman" w:hAnsi="Times New Roman"/>
          <w:sz w:val="28"/>
          <w:szCs w:val="28"/>
        </w:rPr>
        <w:instrText>/</w:instrText>
      </w:r>
      <w:r w:rsidRPr="00D11BAB">
        <w:rPr>
          <w:rFonts w:ascii="Times New Roman" w:hAnsi="Times New Roman"/>
          <w:sz w:val="28"/>
          <w:szCs w:val="28"/>
          <w:lang w:val="en-US"/>
        </w:rPr>
        <w:instrText>HBI</w:instrText>
      </w:r>
      <w:r w:rsidRPr="00D11BAB">
        <w:rPr>
          <w:rFonts w:ascii="Times New Roman" w:hAnsi="Times New Roman"/>
          <w:sz w:val="28"/>
          <w:szCs w:val="28"/>
        </w:rPr>
        <w:instrText>5</w:instrText>
      </w:r>
      <w:r w:rsidRPr="00D11BAB">
        <w:rPr>
          <w:rFonts w:ascii="Times New Roman" w:hAnsi="Times New Roman"/>
          <w:sz w:val="28"/>
          <w:szCs w:val="28"/>
          <w:lang w:val="en-US"/>
        </w:rPr>
        <w:instrText>K</w:instrText>
      </w:r>
      <w:r w:rsidRPr="00D11BAB">
        <w:rPr>
          <w:rFonts w:ascii="Times New Roman" w:hAnsi="Times New Roman"/>
          <w:sz w:val="28"/>
          <w:szCs w:val="28"/>
        </w:rPr>
        <w:instrText>7</w:instrText>
      </w:r>
      <w:r w:rsidRPr="00D11BAB">
        <w:rPr>
          <w:rFonts w:ascii="Times New Roman" w:hAnsi="Times New Roman"/>
          <w:sz w:val="28"/>
          <w:szCs w:val="28"/>
          <w:lang w:val="en-US"/>
        </w:rPr>
        <w:instrText>UG</w:instrText>
      </w:r>
      <w:r w:rsidRPr="00D11BAB">
        <w:rPr>
          <w:rFonts w:ascii="Times New Roman" w:hAnsi="Times New Roman"/>
          <w:sz w:val="28"/>
          <w:szCs w:val="28"/>
        </w:rPr>
        <w:instrText>"],"</w:instrText>
      </w:r>
      <w:r w:rsidRPr="00D11BAB">
        <w:rPr>
          <w:rFonts w:ascii="Times New Roman" w:hAnsi="Times New Roman"/>
          <w:sz w:val="28"/>
          <w:szCs w:val="28"/>
          <w:lang w:val="en-US"/>
        </w:rPr>
        <w:instrText>uri</w:instrText>
      </w:r>
      <w:r w:rsidRPr="00D11BAB">
        <w:rPr>
          <w:rFonts w:ascii="Times New Roman" w:hAnsi="Times New Roman"/>
          <w:sz w:val="28"/>
          <w:szCs w:val="28"/>
        </w:rPr>
        <w:instrText>":["</w:instrText>
      </w:r>
      <w:r w:rsidRPr="00D11BAB">
        <w:rPr>
          <w:rFonts w:ascii="Times New Roman" w:hAnsi="Times New Roman"/>
          <w:sz w:val="28"/>
          <w:szCs w:val="28"/>
          <w:lang w:val="en-US"/>
        </w:rPr>
        <w:instrText>http</w:instrText>
      </w:r>
      <w:r w:rsidRPr="00D11BAB">
        <w:rPr>
          <w:rFonts w:ascii="Times New Roman" w:hAnsi="Times New Roman"/>
          <w:sz w:val="28"/>
          <w:szCs w:val="28"/>
        </w:rPr>
        <w:instrText>://</w:instrText>
      </w:r>
      <w:r w:rsidRPr="00D11BAB">
        <w:rPr>
          <w:rFonts w:ascii="Times New Roman" w:hAnsi="Times New Roman"/>
          <w:sz w:val="28"/>
          <w:szCs w:val="28"/>
          <w:lang w:val="en-US"/>
        </w:rPr>
        <w:instrText>zotero</w:instrText>
      </w:r>
      <w:r w:rsidRPr="00D11BAB">
        <w:rPr>
          <w:rFonts w:ascii="Times New Roman" w:hAnsi="Times New Roman"/>
          <w:sz w:val="28"/>
          <w:szCs w:val="28"/>
        </w:rPr>
        <w:instrText>.</w:instrText>
      </w:r>
      <w:r w:rsidRPr="00D11BAB">
        <w:rPr>
          <w:rFonts w:ascii="Times New Roman" w:hAnsi="Times New Roman"/>
          <w:sz w:val="28"/>
          <w:szCs w:val="28"/>
          <w:lang w:val="en-US"/>
        </w:rPr>
        <w:instrText>org</w:instrText>
      </w:r>
      <w:r w:rsidRPr="00D11BAB">
        <w:rPr>
          <w:rFonts w:ascii="Times New Roman" w:hAnsi="Times New Roman"/>
          <w:sz w:val="28"/>
          <w:szCs w:val="28"/>
        </w:rPr>
        <w:instrText>/</w:instrText>
      </w:r>
      <w:r w:rsidRPr="00D11BAB">
        <w:rPr>
          <w:rFonts w:ascii="Times New Roman" w:hAnsi="Times New Roman"/>
          <w:sz w:val="28"/>
          <w:szCs w:val="28"/>
          <w:lang w:val="en-US"/>
        </w:rPr>
        <w:instrText>users</w:instrText>
      </w:r>
      <w:r w:rsidRPr="00D11BAB">
        <w:rPr>
          <w:rFonts w:ascii="Times New Roman" w:hAnsi="Times New Roman"/>
          <w:sz w:val="28"/>
          <w:szCs w:val="28"/>
        </w:rPr>
        <w:instrText>/7388323/</w:instrText>
      </w:r>
      <w:r w:rsidRPr="00D11BAB">
        <w:rPr>
          <w:rFonts w:ascii="Times New Roman" w:hAnsi="Times New Roman"/>
          <w:sz w:val="28"/>
          <w:szCs w:val="28"/>
          <w:lang w:val="en-US"/>
        </w:rPr>
        <w:instrText>items</w:instrText>
      </w:r>
      <w:r w:rsidRPr="00D11BAB">
        <w:rPr>
          <w:rFonts w:ascii="Times New Roman" w:hAnsi="Times New Roman"/>
          <w:sz w:val="28"/>
          <w:szCs w:val="28"/>
        </w:rPr>
        <w:instrText>/</w:instrText>
      </w:r>
      <w:r w:rsidRPr="00D11BAB">
        <w:rPr>
          <w:rFonts w:ascii="Times New Roman" w:hAnsi="Times New Roman"/>
          <w:sz w:val="28"/>
          <w:szCs w:val="28"/>
          <w:lang w:val="en-US"/>
        </w:rPr>
        <w:instrText>HBI</w:instrText>
      </w:r>
      <w:r w:rsidRPr="00D11BAB">
        <w:rPr>
          <w:rFonts w:ascii="Times New Roman" w:hAnsi="Times New Roman"/>
          <w:sz w:val="28"/>
          <w:szCs w:val="28"/>
        </w:rPr>
        <w:instrText>5</w:instrText>
      </w:r>
      <w:r w:rsidRPr="00D11BAB">
        <w:rPr>
          <w:rFonts w:ascii="Times New Roman" w:hAnsi="Times New Roman"/>
          <w:sz w:val="28"/>
          <w:szCs w:val="28"/>
          <w:lang w:val="en-US"/>
        </w:rPr>
        <w:instrText>K</w:instrText>
      </w:r>
      <w:r w:rsidRPr="00D11BAB">
        <w:rPr>
          <w:rFonts w:ascii="Times New Roman" w:hAnsi="Times New Roman"/>
          <w:sz w:val="28"/>
          <w:szCs w:val="28"/>
        </w:rPr>
        <w:instrText>7</w:instrText>
      </w:r>
      <w:r w:rsidRPr="00D11BAB">
        <w:rPr>
          <w:rFonts w:ascii="Times New Roman" w:hAnsi="Times New Roman"/>
          <w:sz w:val="28"/>
          <w:szCs w:val="28"/>
          <w:lang w:val="en-US"/>
        </w:rPr>
        <w:instrText>UG</w:instrText>
      </w:r>
      <w:r w:rsidRPr="00D11BAB">
        <w:rPr>
          <w:rFonts w:ascii="Times New Roman" w:hAnsi="Times New Roman"/>
          <w:sz w:val="28"/>
          <w:szCs w:val="28"/>
        </w:rPr>
        <w:instrText>"],"</w:instrText>
      </w:r>
      <w:r w:rsidRPr="00D11BAB">
        <w:rPr>
          <w:rFonts w:ascii="Times New Roman" w:hAnsi="Times New Roman"/>
          <w:sz w:val="28"/>
          <w:szCs w:val="28"/>
          <w:lang w:val="en-US"/>
        </w:rPr>
        <w:instrText>itemData</w:instrText>
      </w:r>
      <w:r w:rsidRPr="00D11BAB">
        <w:rPr>
          <w:rFonts w:ascii="Times New Roman" w:hAnsi="Times New Roman"/>
          <w:sz w:val="28"/>
          <w:szCs w:val="28"/>
        </w:rPr>
        <w:instrText>":{"</w:instrText>
      </w:r>
      <w:r w:rsidRPr="00D11BAB">
        <w:rPr>
          <w:rFonts w:ascii="Times New Roman" w:hAnsi="Times New Roman"/>
          <w:sz w:val="28"/>
          <w:szCs w:val="28"/>
          <w:lang w:val="en-US"/>
        </w:rPr>
        <w:instrText>id</w:instrText>
      </w:r>
      <w:r w:rsidRPr="00D11BAB">
        <w:rPr>
          <w:rFonts w:ascii="Times New Roman" w:hAnsi="Times New Roman"/>
          <w:sz w:val="28"/>
          <w:szCs w:val="28"/>
        </w:rPr>
        <w:instrText>":895,"</w:instrText>
      </w:r>
      <w:r w:rsidRPr="00D11BAB">
        <w:rPr>
          <w:rFonts w:ascii="Times New Roman" w:hAnsi="Times New Roman"/>
          <w:sz w:val="28"/>
          <w:szCs w:val="28"/>
          <w:lang w:val="en-US"/>
        </w:rPr>
        <w:instrText>type</w:instrText>
      </w:r>
      <w:r w:rsidRPr="00D11BAB">
        <w:rPr>
          <w:rFonts w:ascii="Times New Roman" w:hAnsi="Times New Roman"/>
          <w:sz w:val="28"/>
          <w:szCs w:val="28"/>
        </w:rPr>
        <w:instrText>":"</w:instrText>
      </w:r>
      <w:r w:rsidRPr="00D11BAB">
        <w:rPr>
          <w:rFonts w:ascii="Times New Roman" w:hAnsi="Times New Roman"/>
          <w:sz w:val="28"/>
          <w:szCs w:val="28"/>
          <w:lang w:val="en-US"/>
        </w:rPr>
        <w:instrText>article</w:instrText>
      </w:r>
      <w:r w:rsidRPr="00D11BAB">
        <w:rPr>
          <w:rFonts w:ascii="Times New Roman" w:hAnsi="Times New Roman"/>
          <w:sz w:val="28"/>
          <w:szCs w:val="28"/>
        </w:rPr>
        <w:instrText>-</w:instrText>
      </w:r>
      <w:r w:rsidRPr="00D11BAB">
        <w:rPr>
          <w:rFonts w:ascii="Times New Roman" w:hAnsi="Times New Roman"/>
          <w:sz w:val="28"/>
          <w:szCs w:val="28"/>
          <w:lang w:val="en-US"/>
        </w:rPr>
        <w:instrText>journal</w:instrText>
      </w:r>
      <w:r w:rsidRPr="00D11BAB">
        <w:rPr>
          <w:rFonts w:ascii="Times New Roman" w:hAnsi="Times New Roman"/>
          <w:sz w:val="28"/>
          <w:szCs w:val="28"/>
        </w:rPr>
        <w:instrText>","</w:instrText>
      </w:r>
      <w:r w:rsidRPr="00D11BAB">
        <w:rPr>
          <w:rFonts w:ascii="Times New Roman" w:hAnsi="Times New Roman"/>
          <w:sz w:val="28"/>
          <w:szCs w:val="28"/>
          <w:lang w:val="en-US"/>
        </w:rPr>
        <w:instrText>abstract</w:instrText>
      </w:r>
      <w:r w:rsidRPr="00D11BAB">
        <w:rPr>
          <w:rFonts w:ascii="Times New Roman" w:hAnsi="Times New Roman"/>
          <w:sz w:val="28"/>
          <w:szCs w:val="28"/>
        </w:rPr>
        <w:instrText>":"</w:instrText>
      </w:r>
      <w:r w:rsidRPr="00D11BAB">
        <w:rPr>
          <w:rFonts w:ascii="Times New Roman" w:hAnsi="Times New Roman"/>
          <w:sz w:val="28"/>
          <w:szCs w:val="28"/>
          <w:lang w:val="en-US"/>
        </w:rPr>
        <w:instrText>PURPOSE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There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are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no</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controlled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experimental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data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that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assess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accuracy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commonly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used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w:instrText>
      </w:r>
      <w:r w:rsidRPr="00D11BAB">
        <w:rPr>
          <w:rFonts w:ascii="Times New Roman" w:hAnsi="Times New Roman"/>
          <w:sz w:val="28"/>
          <w:szCs w:val="28"/>
        </w:rPr>
        <w:instrText xml:space="preserve"> 1.6 </w:instrText>
      </w:r>
      <w:r w:rsidRPr="00D11BAB">
        <w:rPr>
          <w:rFonts w:ascii="Times New Roman" w:hAnsi="Times New Roman"/>
          <w:sz w:val="28"/>
          <w:szCs w:val="28"/>
          <w:lang w:val="en-US"/>
        </w:rPr>
        <w:instrText>meq</w:instrText>
      </w:r>
      <w:r w:rsidRPr="00D11BAB">
        <w:rPr>
          <w:rFonts w:ascii="Times New Roman" w:hAnsi="Times New Roman"/>
          <w:sz w:val="28"/>
          <w:szCs w:val="28"/>
        </w:rPr>
        <w:instrText>/</w:instrText>
      </w:r>
      <w:r w:rsidRPr="00D11BAB">
        <w:rPr>
          <w:rFonts w:ascii="Times New Roman" w:hAnsi="Times New Roman"/>
          <w:sz w:val="28"/>
          <w:szCs w:val="28"/>
          <w:lang w:val="en-US"/>
        </w:rPr>
        <w:instrText>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serum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sodium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every</w:instrText>
      </w:r>
      <w:r w:rsidRPr="00D11BAB">
        <w:rPr>
          <w:rFonts w:ascii="Times New Roman" w:hAnsi="Times New Roman"/>
          <w:sz w:val="28"/>
          <w:szCs w:val="28"/>
        </w:rPr>
        <w:instrText xml:space="preserve"> 100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plasma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purpose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study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evaluate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experimentally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hyponatremic</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response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acute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hyperglycemia</w:instrText>
      </w:r>
      <w:r w:rsidRPr="00D11BAB">
        <w:rPr>
          <w:rFonts w:ascii="Times New Roman" w:hAnsi="Times New Roman"/>
          <w:sz w:val="28"/>
          <w:szCs w:val="28"/>
        </w:rPr>
        <w:instrText>.\</w:instrText>
      </w:r>
      <w:r w:rsidRPr="00D11BAB">
        <w:rPr>
          <w:rFonts w:ascii="Times New Roman" w:hAnsi="Times New Roman"/>
          <w:sz w:val="28"/>
          <w:szCs w:val="28"/>
          <w:lang w:val="en-US"/>
        </w:rPr>
        <w:instrText>nSUBJECTS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AND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METHODS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Somatostatin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infused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block</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endogenous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insulin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secretion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6 </w:instrText>
      </w:r>
      <w:r w:rsidRPr="00D11BAB">
        <w:rPr>
          <w:rFonts w:ascii="Times New Roman" w:hAnsi="Times New Roman"/>
          <w:sz w:val="28"/>
          <w:szCs w:val="28"/>
          <w:lang w:val="en-US"/>
        </w:rPr>
        <w:instrText>healthy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subjects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Plasma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were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increased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&gt;600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within</w:instrText>
      </w:r>
      <w:r w:rsidRPr="00D11BAB">
        <w:rPr>
          <w:rFonts w:ascii="Times New Roman" w:hAnsi="Times New Roman"/>
          <w:sz w:val="28"/>
          <w:szCs w:val="28"/>
        </w:rPr>
        <w:instrText xml:space="preserve"> 1 </w:instrText>
      </w:r>
      <w:r w:rsidRPr="00D11BAB">
        <w:rPr>
          <w:rFonts w:ascii="Times New Roman" w:hAnsi="Times New Roman"/>
          <w:sz w:val="28"/>
          <w:szCs w:val="28"/>
          <w:lang w:val="en-US"/>
        </w:rPr>
        <w:instrText>hour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infusing</w:instrText>
      </w:r>
      <w:r w:rsidRPr="00D11BAB">
        <w:rPr>
          <w:rFonts w:ascii="Times New Roman" w:hAnsi="Times New Roman"/>
          <w:sz w:val="28"/>
          <w:szCs w:val="28"/>
        </w:rPr>
        <w:instrText xml:space="preserve"> 20% </w:instrText>
      </w:r>
      <w:r w:rsidRPr="00D11BAB">
        <w:rPr>
          <w:rFonts w:ascii="Times New Roman" w:hAnsi="Times New Roman"/>
          <w:sz w:val="28"/>
          <w:szCs w:val="28"/>
          <w:lang w:val="en-US"/>
        </w:rPr>
        <w:instrText>dextrose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infusion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stopped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and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insulin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until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plasma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decreased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140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Plasma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and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serum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sodium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were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measured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every</w:instrText>
      </w:r>
      <w:r w:rsidRPr="00D11BAB">
        <w:rPr>
          <w:rFonts w:ascii="Times New Roman" w:hAnsi="Times New Roman"/>
          <w:sz w:val="28"/>
          <w:szCs w:val="28"/>
        </w:rPr>
        <w:instrText xml:space="preserve"> 10 </w:instrText>
      </w:r>
      <w:r w:rsidRPr="00D11BAB">
        <w:rPr>
          <w:rFonts w:ascii="Times New Roman" w:hAnsi="Times New Roman"/>
          <w:sz w:val="28"/>
          <w:szCs w:val="28"/>
          <w:lang w:val="en-US"/>
        </w:rPr>
        <w:instrText>minutes</w:instrText>
      </w:r>
      <w:r w:rsidRPr="00D11BAB">
        <w:rPr>
          <w:rFonts w:ascii="Times New Roman" w:hAnsi="Times New Roman"/>
          <w:sz w:val="28"/>
          <w:szCs w:val="28"/>
        </w:rPr>
        <w:instrText>.\</w:instrText>
      </w:r>
      <w:r w:rsidRPr="00D11BAB">
        <w:rPr>
          <w:rFonts w:ascii="Times New Roman" w:hAnsi="Times New Roman"/>
          <w:sz w:val="28"/>
          <w:szCs w:val="28"/>
          <w:lang w:val="en-US"/>
        </w:rPr>
        <w:instrText>nRESULTS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Overall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mean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serum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sodium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averaged</w:instrText>
      </w:r>
      <w:r w:rsidRPr="00D11BAB">
        <w:rPr>
          <w:rFonts w:ascii="Times New Roman" w:hAnsi="Times New Roman"/>
          <w:sz w:val="28"/>
          <w:szCs w:val="28"/>
        </w:rPr>
        <w:instrText xml:space="preserve"> 2.4 </w:instrText>
      </w:r>
      <w:r w:rsidRPr="00D11BAB">
        <w:rPr>
          <w:rFonts w:ascii="Times New Roman" w:hAnsi="Times New Roman"/>
          <w:sz w:val="28"/>
          <w:szCs w:val="28"/>
          <w:lang w:val="en-US"/>
        </w:rPr>
        <w:instrText>meq</w:instrText>
      </w:r>
      <w:r w:rsidRPr="00D11BAB">
        <w:rPr>
          <w:rFonts w:ascii="Times New Roman" w:hAnsi="Times New Roman"/>
          <w:sz w:val="28"/>
          <w:szCs w:val="28"/>
        </w:rPr>
        <w:instrText>/</w:instrText>
      </w:r>
      <w:r w:rsidRPr="00D11BAB">
        <w:rPr>
          <w:rFonts w:ascii="Times New Roman" w:hAnsi="Times New Roman"/>
          <w:sz w:val="28"/>
          <w:szCs w:val="28"/>
          <w:lang w:val="en-US"/>
        </w:rPr>
        <w:instrText>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every</w:instrText>
      </w:r>
      <w:r w:rsidRPr="00D11BAB">
        <w:rPr>
          <w:rFonts w:ascii="Times New Roman" w:hAnsi="Times New Roman"/>
          <w:sz w:val="28"/>
          <w:szCs w:val="28"/>
        </w:rPr>
        <w:instrText xml:space="preserve"> 100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value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significantly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greater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than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commonly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used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1.6 (</w:instrText>
      </w:r>
      <w:r w:rsidRPr="00D11BAB">
        <w:rPr>
          <w:rFonts w:ascii="Times New Roman" w:hAnsi="Times New Roman"/>
          <w:sz w:val="28"/>
          <w:szCs w:val="28"/>
          <w:lang w:val="en-US"/>
        </w:rPr>
        <w:instrText>P</w:instrText>
      </w:r>
      <w:r w:rsidRPr="00D11BAB">
        <w:rPr>
          <w:rFonts w:ascii="Times New Roman" w:hAnsi="Times New Roman"/>
          <w:sz w:val="28"/>
          <w:szCs w:val="28"/>
        </w:rPr>
        <w:instrText xml:space="preserve"> = 0.02). </w:instrText>
      </w:r>
      <w:r w:rsidRPr="00D11BAB">
        <w:rPr>
          <w:rFonts w:ascii="Times New Roman" w:hAnsi="Times New Roman"/>
          <w:sz w:val="28"/>
          <w:szCs w:val="28"/>
          <w:lang w:val="en-US"/>
        </w:rPr>
        <w:instrText>Moreover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association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between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sodium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and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nonlinear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most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apparent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concentrations</w:instrText>
      </w:r>
      <w:r w:rsidRPr="00D11BAB">
        <w:rPr>
          <w:rFonts w:ascii="Times New Roman" w:hAnsi="Times New Roman"/>
          <w:sz w:val="28"/>
          <w:szCs w:val="28"/>
        </w:rPr>
        <w:instrText xml:space="preserve"> &gt;400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Up</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400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standard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1.6 </w:instrText>
      </w:r>
      <w:r w:rsidRPr="00D11BAB">
        <w:rPr>
          <w:rFonts w:ascii="Times New Roman" w:hAnsi="Times New Roman"/>
          <w:sz w:val="28"/>
          <w:szCs w:val="28"/>
          <w:lang w:val="en-US"/>
        </w:rPr>
        <w:instrText>worked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well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but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&gt;400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4.0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better</w:instrText>
      </w:r>
      <w:r w:rsidRPr="00D11BAB">
        <w:rPr>
          <w:rFonts w:ascii="Times New Roman" w:hAnsi="Times New Roman"/>
          <w:sz w:val="28"/>
          <w:szCs w:val="28"/>
        </w:rPr>
        <w:instrText>.\</w:instrText>
      </w:r>
      <w:r w:rsidRPr="00D11BAB">
        <w:rPr>
          <w:rFonts w:ascii="Times New Roman" w:hAnsi="Times New Roman"/>
          <w:sz w:val="28"/>
          <w:szCs w:val="28"/>
          <w:lang w:val="en-US"/>
        </w:rPr>
        <w:instrText>nCONCLUSION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data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indicate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that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physiologic</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sodium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considerably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greater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than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standard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1.6 (</w:instrText>
      </w:r>
      <w:r w:rsidRPr="00D11BAB">
        <w:rPr>
          <w:rFonts w:ascii="Times New Roman" w:hAnsi="Times New Roman"/>
          <w:sz w:val="28"/>
          <w:szCs w:val="28"/>
          <w:lang w:val="en-US"/>
        </w:rPr>
        <w:instrText>meq</w:instrText>
      </w:r>
      <w:r w:rsidRPr="00D11BAB">
        <w:rPr>
          <w:rFonts w:ascii="Times New Roman" w:hAnsi="Times New Roman"/>
          <w:sz w:val="28"/>
          <w:szCs w:val="28"/>
        </w:rPr>
        <w:instrText>/</w:instrText>
      </w:r>
      <w:r w:rsidRPr="00D11BAB">
        <w:rPr>
          <w:rFonts w:ascii="Times New Roman" w:hAnsi="Times New Roman"/>
          <w:sz w:val="28"/>
          <w:szCs w:val="28"/>
          <w:lang w:val="en-US"/>
        </w:rPr>
        <w:instrText>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Na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per</w:instrText>
      </w:r>
      <w:r w:rsidRPr="00D11BAB">
        <w:rPr>
          <w:rFonts w:ascii="Times New Roman" w:hAnsi="Times New Roman"/>
          <w:sz w:val="28"/>
          <w:szCs w:val="28"/>
        </w:rPr>
        <w:instrText xml:space="preserve"> 100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especially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when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is</w:instrText>
      </w:r>
      <w:r w:rsidRPr="00D11BAB">
        <w:rPr>
          <w:rFonts w:ascii="Times New Roman" w:hAnsi="Times New Roman"/>
          <w:sz w:val="28"/>
          <w:szCs w:val="28"/>
        </w:rPr>
        <w:instrText xml:space="preserve"> &gt;400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Additionally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w:instrText>
      </w:r>
      <w:r w:rsidRPr="00D11BAB">
        <w:rPr>
          <w:rFonts w:ascii="Times New Roman" w:hAnsi="Times New Roman"/>
          <w:sz w:val="28"/>
          <w:szCs w:val="28"/>
        </w:rPr>
        <w:instrText xml:space="preserve"> 2.4 </w:instrText>
      </w:r>
      <w:r w:rsidRPr="00D11BAB">
        <w:rPr>
          <w:rFonts w:ascii="Times New Roman" w:hAnsi="Times New Roman"/>
          <w:sz w:val="28"/>
          <w:szCs w:val="28"/>
          <w:lang w:val="en-US"/>
        </w:rPr>
        <w:instrText>meq</w:instrText>
      </w:r>
      <w:r w:rsidRPr="00D11BAB">
        <w:rPr>
          <w:rFonts w:ascii="Times New Roman" w:hAnsi="Times New Roman"/>
          <w:sz w:val="28"/>
          <w:szCs w:val="28"/>
        </w:rPr>
        <w:instrText>/</w:instrText>
      </w:r>
      <w:r w:rsidRPr="00D11BAB">
        <w:rPr>
          <w:rFonts w:ascii="Times New Roman" w:hAnsi="Times New Roman"/>
          <w:sz w:val="28"/>
          <w:szCs w:val="28"/>
          <w:lang w:val="en-US"/>
        </w:rPr>
        <w:instrText>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sodium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per</w:instrText>
      </w:r>
      <w:r w:rsidRPr="00D11BAB">
        <w:rPr>
          <w:rFonts w:ascii="Times New Roman" w:hAnsi="Times New Roman"/>
          <w:sz w:val="28"/>
          <w:szCs w:val="28"/>
        </w:rPr>
        <w:instrText xml:space="preserve"> 100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better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overall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estimate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association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than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usual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1.6.","</w:instrText>
      </w:r>
      <w:r w:rsidRPr="00D11BAB">
        <w:rPr>
          <w:rFonts w:ascii="Times New Roman" w:hAnsi="Times New Roman"/>
          <w:sz w:val="28"/>
          <w:szCs w:val="28"/>
          <w:lang w:val="en-US"/>
        </w:rPr>
        <w:instrText>container</w:instrText>
      </w:r>
      <w:r w:rsidRPr="00D11BAB">
        <w:rPr>
          <w:rFonts w:ascii="Times New Roman" w:hAnsi="Times New Roman"/>
          <w:sz w:val="28"/>
          <w:szCs w:val="28"/>
        </w:rPr>
        <w:instrText>-</w:instrText>
      </w:r>
      <w:r w:rsidRPr="00D11BAB">
        <w:rPr>
          <w:rFonts w:ascii="Times New Roman" w:hAnsi="Times New Roman"/>
          <w:sz w:val="28"/>
          <w:szCs w:val="28"/>
          <w:lang w:val="en-US"/>
        </w:rPr>
        <w:instrText>title</w:instrText>
      </w:r>
      <w:r w:rsidRPr="00D11BAB">
        <w:rPr>
          <w:rFonts w:ascii="Times New Roman" w:hAnsi="Times New Roman"/>
          <w:sz w:val="28"/>
          <w:szCs w:val="28"/>
        </w:rPr>
        <w:instrText>":"</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American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Journal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Medicine</w:instrText>
      </w:r>
      <w:r w:rsidRPr="00D11BAB">
        <w:rPr>
          <w:rFonts w:ascii="Times New Roman" w:hAnsi="Times New Roman"/>
          <w:sz w:val="28"/>
          <w:szCs w:val="28"/>
        </w:rPr>
        <w:instrText>","</w:instrText>
      </w:r>
      <w:r w:rsidRPr="00D11BAB">
        <w:rPr>
          <w:rFonts w:ascii="Times New Roman" w:hAnsi="Times New Roman"/>
          <w:sz w:val="28"/>
          <w:szCs w:val="28"/>
          <w:lang w:val="en-US"/>
        </w:rPr>
        <w:instrText>DOI</w:instrText>
      </w:r>
      <w:r w:rsidRPr="00D11BAB">
        <w:rPr>
          <w:rFonts w:ascii="Times New Roman" w:hAnsi="Times New Roman"/>
          <w:sz w:val="28"/>
          <w:szCs w:val="28"/>
        </w:rPr>
        <w:instrText>":"10.1016/</w:instrText>
      </w:r>
      <w:r w:rsidRPr="00D11BAB">
        <w:rPr>
          <w:rFonts w:ascii="Times New Roman" w:hAnsi="Times New Roman"/>
          <w:sz w:val="28"/>
          <w:szCs w:val="28"/>
          <w:lang w:val="en-US"/>
        </w:rPr>
        <w:instrText>s</w:instrText>
      </w:r>
      <w:r w:rsidRPr="00D11BAB">
        <w:rPr>
          <w:rFonts w:ascii="Times New Roman" w:hAnsi="Times New Roman"/>
          <w:sz w:val="28"/>
          <w:szCs w:val="28"/>
        </w:rPr>
        <w:instrText>0002-9343(99)00055-8","</w:instrText>
      </w:r>
      <w:r w:rsidRPr="00D11BAB">
        <w:rPr>
          <w:rFonts w:ascii="Times New Roman" w:hAnsi="Times New Roman"/>
          <w:sz w:val="28"/>
          <w:szCs w:val="28"/>
          <w:lang w:val="en-US"/>
        </w:rPr>
        <w:instrText>ISSN</w:instrText>
      </w:r>
      <w:r w:rsidRPr="00D11BAB">
        <w:rPr>
          <w:rFonts w:ascii="Times New Roman" w:hAnsi="Times New Roman"/>
          <w:sz w:val="28"/>
          <w:szCs w:val="28"/>
        </w:rPr>
        <w:instrText>":"0002-9343","</w:instrText>
      </w:r>
      <w:r w:rsidRPr="00D11BAB">
        <w:rPr>
          <w:rFonts w:ascii="Times New Roman" w:hAnsi="Times New Roman"/>
          <w:sz w:val="28"/>
          <w:szCs w:val="28"/>
          <w:lang w:val="en-US"/>
        </w:rPr>
        <w:instrText>issue</w:instrText>
      </w:r>
      <w:r w:rsidRPr="00D11BAB">
        <w:rPr>
          <w:rFonts w:ascii="Times New Roman" w:hAnsi="Times New Roman"/>
          <w:sz w:val="28"/>
          <w:szCs w:val="28"/>
        </w:rPr>
        <w:instrText>":"4","</w:instrText>
      </w:r>
      <w:r w:rsidRPr="00D11BAB">
        <w:rPr>
          <w:rFonts w:ascii="Times New Roman" w:hAnsi="Times New Roman"/>
          <w:sz w:val="28"/>
          <w:szCs w:val="28"/>
          <w:lang w:val="en-US"/>
        </w:rPr>
        <w:instrText>journalAbbreviation</w:instrText>
      </w:r>
      <w:r w:rsidRPr="00D11BAB">
        <w:rPr>
          <w:rFonts w:ascii="Times New Roman" w:hAnsi="Times New Roman"/>
          <w:sz w:val="28"/>
          <w:szCs w:val="28"/>
        </w:rPr>
        <w:instrText>":"</w:instrText>
      </w:r>
      <w:r w:rsidRPr="00D11BAB">
        <w:rPr>
          <w:rFonts w:ascii="Times New Roman" w:hAnsi="Times New Roman"/>
          <w:sz w:val="28"/>
          <w:szCs w:val="28"/>
          <w:lang w:val="en-US"/>
        </w:rPr>
        <w:instrText>Am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J</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Med</w:instrText>
      </w:r>
      <w:r w:rsidRPr="00D11BAB">
        <w:rPr>
          <w:rFonts w:ascii="Times New Roman" w:hAnsi="Times New Roman"/>
          <w:sz w:val="28"/>
          <w:szCs w:val="28"/>
        </w:rPr>
        <w:instrText>","</w:instrText>
      </w:r>
      <w:r w:rsidRPr="00D11BAB">
        <w:rPr>
          <w:rFonts w:ascii="Times New Roman" w:hAnsi="Times New Roman"/>
          <w:sz w:val="28"/>
          <w:szCs w:val="28"/>
          <w:lang w:val="en-US"/>
        </w:rPr>
        <w:instrText>language</w:instrText>
      </w:r>
      <w:r w:rsidRPr="00D11BAB">
        <w:rPr>
          <w:rFonts w:ascii="Times New Roman" w:hAnsi="Times New Roman"/>
          <w:sz w:val="28"/>
          <w:szCs w:val="28"/>
        </w:rPr>
        <w:instrText>":"</w:instrText>
      </w:r>
      <w:r w:rsidRPr="00D11BAB">
        <w:rPr>
          <w:rFonts w:ascii="Times New Roman" w:hAnsi="Times New Roman"/>
          <w:sz w:val="28"/>
          <w:szCs w:val="28"/>
          <w:lang w:val="en-US"/>
        </w:rPr>
        <w:instrText>eng</w:instrText>
      </w:r>
      <w:r w:rsidRPr="00D11BAB">
        <w:rPr>
          <w:rFonts w:ascii="Times New Roman" w:hAnsi="Times New Roman"/>
          <w:sz w:val="28"/>
          <w:szCs w:val="28"/>
        </w:rPr>
        <w:instrText>","</w:instrText>
      </w:r>
      <w:r w:rsidRPr="00D11BAB">
        <w:rPr>
          <w:rFonts w:ascii="Times New Roman" w:hAnsi="Times New Roman"/>
          <w:sz w:val="28"/>
          <w:szCs w:val="28"/>
          <w:lang w:val="en-US"/>
        </w:rPr>
        <w:instrText>note</w:instrText>
      </w:r>
      <w:r w:rsidRPr="00D11BAB">
        <w:rPr>
          <w:rFonts w:ascii="Times New Roman" w:hAnsi="Times New Roman"/>
          <w:sz w:val="28"/>
          <w:szCs w:val="28"/>
        </w:rPr>
        <w:instrText>":"</w:instrText>
      </w:r>
      <w:r w:rsidRPr="00D11BAB">
        <w:rPr>
          <w:rFonts w:ascii="Times New Roman" w:hAnsi="Times New Roman"/>
          <w:sz w:val="28"/>
          <w:szCs w:val="28"/>
          <w:lang w:val="en-US"/>
        </w:rPr>
        <w:instrText>PMID</w:instrText>
      </w:r>
      <w:r w:rsidRPr="00D11BAB">
        <w:rPr>
          <w:rFonts w:ascii="Times New Roman" w:hAnsi="Times New Roman"/>
          <w:sz w:val="28"/>
          <w:szCs w:val="28"/>
        </w:rPr>
        <w:instrText>: 10225241","</w:instrText>
      </w:r>
      <w:r w:rsidRPr="00D11BAB">
        <w:rPr>
          <w:rFonts w:ascii="Times New Roman" w:hAnsi="Times New Roman"/>
          <w:sz w:val="28"/>
          <w:szCs w:val="28"/>
          <w:lang w:val="en-US"/>
        </w:rPr>
        <w:instrText>page</w:instrText>
      </w:r>
      <w:r w:rsidRPr="00D11BAB">
        <w:rPr>
          <w:rFonts w:ascii="Times New Roman" w:hAnsi="Times New Roman"/>
          <w:sz w:val="28"/>
          <w:szCs w:val="28"/>
        </w:rPr>
        <w:instrText>":"399-403","</w:instrText>
      </w:r>
      <w:r w:rsidRPr="00D11BAB">
        <w:rPr>
          <w:rFonts w:ascii="Times New Roman" w:hAnsi="Times New Roman"/>
          <w:sz w:val="28"/>
          <w:szCs w:val="28"/>
          <w:lang w:val="en-US"/>
        </w:rPr>
        <w:instrText>source</w:instrText>
      </w:r>
      <w:r w:rsidRPr="00D11BAB">
        <w:rPr>
          <w:rFonts w:ascii="Times New Roman" w:hAnsi="Times New Roman"/>
          <w:sz w:val="28"/>
          <w:szCs w:val="28"/>
        </w:rPr>
        <w:instrText>":"</w:instrText>
      </w:r>
      <w:r w:rsidRPr="00D11BAB">
        <w:rPr>
          <w:rFonts w:ascii="Times New Roman" w:hAnsi="Times New Roman"/>
          <w:sz w:val="28"/>
          <w:szCs w:val="28"/>
          <w:lang w:val="en-US"/>
        </w:rPr>
        <w:instrText>PubMed</w:instrText>
      </w:r>
      <w:r w:rsidRPr="00D11BAB">
        <w:rPr>
          <w:rFonts w:ascii="Times New Roman" w:hAnsi="Times New Roman"/>
          <w:sz w:val="28"/>
          <w:szCs w:val="28"/>
        </w:rPr>
        <w:instrText>","</w:instrText>
      </w:r>
      <w:r w:rsidRPr="00D11BAB">
        <w:rPr>
          <w:rFonts w:ascii="Times New Roman" w:hAnsi="Times New Roman"/>
          <w:sz w:val="28"/>
          <w:szCs w:val="28"/>
          <w:lang w:val="en-US"/>
        </w:rPr>
        <w:instrText>title</w:instrText>
      </w:r>
      <w:r w:rsidRPr="00D11BAB">
        <w:rPr>
          <w:rFonts w:ascii="Times New Roman" w:hAnsi="Times New Roman"/>
          <w:sz w:val="28"/>
          <w:szCs w:val="28"/>
        </w:rPr>
        <w:instrText>":"</w:instrText>
      </w:r>
      <w:r w:rsidRPr="00D11BAB">
        <w:rPr>
          <w:rFonts w:ascii="Times New Roman" w:hAnsi="Times New Roman"/>
          <w:sz w:val="28"/>
          <w:szCs w:val="28"/>
          <w:lang w:val="en-US"/>
        </w:rPr>
        <w:instrText>Hyponatremia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evaluating</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hyperglycemia</w:instrText>
      </w:r>
      <w:r w:rsidRPr="00D11BAB">
        <w:rPr>
          <w:rFonts w:ascii="Times New Roman" w:hAnsi="Times New Roman"/>
          <w:sz w:val="28"/>
          <w:szCs w:val="28"/>
        </w:rPr>
        <w:instrText>","</w:instrText>
      </w:r>
      <w:r w:rsidRPr="00D11BAB">
        <w:rPr>
          <w:rFonts w:ascii="Times New Roman" w:hAnsi="Times New Roman"/>
          <w:sz w:val="28"/>
          <w:szCs w:val="28"/>
          <w:lang w:val="en-US"/>
        </w:rPr>
        <w:instrText>title</w:instrText>
      </w:r>
      <w:r w:rsidRPr="00D11BAB">
        <w:rPr>
          <w:rFonts w:ascii="Times New Roman" w:hAnsi="Times New Roman"/>
          <w:sz w:val="28"/>
          <w:szCs w:val="28"/>
        </w:rPr>
        <w:instrText>-</w:instrText>
      </w:r>
      <w:r w:rsidRPr="00D11BAB">
        <w:rPr>
          <w:rFonts w:ascii="Times New Roman" w:hAnsi="Times New Roman"/>
          <w:sz w:val="28"/>
          <w:szCs w:val="28"/>
          <w:lang w:val="en-US"/>
        </w:rPr>
        <w:instrText>short</w:instrText>
      </w:r>
      <w:r w:rsidRPr="00D11BAB">
        <w:rPr>
          <w:rFonts w:ascii="Times New Roman" w:hAnsi="Times New Roman"/>
          <w:sz w:val="28"/>
          <w:szCs w:val="28"/>
        </w:rPr>
        <w:instrText>":"</w:instrText>
      </w:r>
      <w:r w:rsidRPr="00D11BAB">
        <w:rPr>
          <w:rFonts w:ascii="Times New Roman" w:hAnsi="Times New Roman"/>
          <w:sz w:val="28"/>
          <w:szCs w:val="28"/>
          <w:lang w:val="en-US"/>
        </w:rPr>
        <w:instrText>Hyponatremia</w:instrText>
      </w:r>
      <w:r w:rsidRPr="00D11BAB">
        <w:rPr>
          <w:rFonts w:ascii="Times New Roman" w:hAnsi="Times New Roman"/>
          <w:sz w:val="28"/>
          <w:szCs w:val="28"/>
        </w:rPr>
        <w:instrText>","</w:instrText>
      </w:r>
      <w:r w:rsidRPr="00D11BAB">
        <w:rPr>
          <w:rFonts w:ascii="Times New Roman" w:hAnsi="Times New Roman"/>
          <w:sz w:val="28"/>
          <w:szCs w:val="28"/>
          <w:lang w:val="en-US"/>
        </w:rPr>
        <w:instrText>volume</w:instrText>
      </w:r>
      <w:r w:rsidRPr="00D11BAB">
        <w:rPr>
          <w:rFonts w:ascii="Times New Roman" w:hAnsi="Times New Roman"/>
          <w:sz w:val="28"/>
          <w:szCs w:val="28"/>
        </w:rPr>
        <w:instrText>":"106","</w:instrText>
      </w:r>
      <w:r w:rsidRPr="00D11BAB">
        <w:rPr>
          <w:rFonts w:ascii="Times New Roman" w:hAnsi="Times New Roman"/>
          <w:sz w:val="28"/>
          <w:szCs w:val="28"/>
          <w:lang w:val="en-US"/>
        </w:rPr>
        <w:instrText>author</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Hillier</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Abbott</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Barrett</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J</w:instrText>
      </w:r>
      <w:r w:rsidRPr="00D11BAB">
        <w:rPr>
          <w:rFonts w:ascii="Times New Roman" w:hAnsi="Times New Roman"/>
          <w:sz w:val="28"/>
          <w:szCs w:val="28"/>
        </w:rPr>
        <w:instrText>."}],"</w:instrText>
      </w:r>
      <w:r w:rsidRPr="00D11BAB">
        <w:rPr>
          <w:rFonts w:ascii="Times New Roman" w:hAnsi="Times New Roman"/>
          <w:sz w:val="28"/>
          <w:szCs w:val="28"/>
          <w:lang w:val="en-US"/>
        </w:rPr>
        <w:instrText>issued</w:instrText>
      </w:r>
      <w:r w:rsidRPr="00D11BAB">
        <w:rPr>
          <w:rFonts w:ascii="Times New Roman" w:hAnsi="Times New Roman"/>
          <w:sz w:val="28"/>
          <w:szCs w:val="28"/>
        </w:rPr>
        <w:instrText>":{"</w:instrText>
      </w:r>
      <w:r w:rsidRPr="00D11BAB">
        <w:rPr>
          <w:rFonts w:ascii="Times New Roman" w:hAnsi="Times New Roman"/>
          <w:sz w:val="28"/>
          <w:szCs w:val="28"/>
          <w:lang w:val="en-US"/>
        </w:rPr>
        <w:instrText>date</w:instrText>
      </w:r>
      <w:r w:rsidRPr="00D11BAB">
        <w:rPr>
          <w:rFonts w:ascii="Times New Roman" w:hAnsi="Times New Roman"/>
          <w:sz w:val="28"/>
          <w:szCs w:val="28"/>
        </w:rPr>
        <w:instrText>-</w:instrText>
      </w:r>
      <w:r w:rsidRPr="00D11BAB">
        <w:rPr>
          <w:rFonts w:ascii="Times New Roman" w:hAnsi="Times New Roman"/>
          <w:sz w:val="28"/>
          <w:szCs w:val="28"/>
          <w:lang w:val="en-US"/>
        </w:rPr>
        <w:instrText>parts</w:instrText>
      </w:r>
      <w:r w:rsidRPr="00D11BAB">
        <w:rPr>
          <w:rFonts w:ascii="Times New Roman" w:hAnsi="Times New Roman"/>
          <w:sz w:val="28"/>
          <w:szCs w:val="28"/>
        </w:rPr>
        <w:instrText>":[["1999",4]]}}}],"</w:instrText>
      </w:r>
      <w:r w:rsidRPr="00D11BAB">
        <w:rPr>
          <w:rFonts w:ascii="Times New Roman" w:hAnsi="Times New Roman"/>
          <w:sz w:val="28"/>
          <w:szCs w:val="28"/>
          <w:lang w:val="en-US"/>
        </w:rPr>
        <w:instrText>schema</w:instrText>
      </w:r>
      <w:r w:rsidRPr="00D11BAB">
        <w:rPr>
          <w:rFonts w:ascii="Times New Roman" w:hAnsi="Times New Roman"/>
          <w:sz w:val="28"/>
          <w:szCs w:val="28"/>
        </w:rPr>
        <w:instrText>":"</w:instrText>
      </w:r>
      <w:r w:rsidRPr="00D11BAB">
        <w:rPr>
          <w:rFonts w:ascii="Times New Roman" w:hAnsi="Times New Roman"/>
          <w:sz w:val="28"/>
          <w:szCs w:val="28"/>
          <w:lang w:val="en-US"/>
        </w:rPr>
        <w:instrText>https</w:instrText>
      </w:r>
      <w:r w:rsidRPr="00D11BAB">
        <w:rPr>
          <w:rFonts w:ascii="Times New Roman" w:hAnsi="Times New Roman"/>
          <w:sz w:val="28"/>
          <w:szCs w:val="28"/>
        </w:rPr>
        <w:instrText>://</w:instrText>
      </w:r>
      <w:r w:rsidRPr="00D11BAB">
        <w:rPr>
          <w:rFonts w:ascii="Times New Roman" w:hAnsi="Times New Roman"/>
          <w:sz w:val="28"/>
          <w:szCs w:val="28"/>
          <w:lang w:val="en-US"/>
        </w:rPr>
        <w:instrText>github</w:instrText>
      </w:r>
      <w:r w:rsidRPr="00D11BAB">
        <w:rPr>
          <w:rFonts w:ascii="Times New Roman" w:hAnsi="Times New Roman"/>
          <w:sz w:val="28"/>
          <w:szCs w:val="28"/>
        </w:rPr>
        <w:instrText>.</w:instrText>
      </w:r>
      <w:r w:rsidRPr="00D11BAB">
        <w:rPr>
          <w:rFonts w:ascii="Times New Roman" w:hAnsi="Times New Roman"/>
          <w:sz w:val="28"/>
          <w:szCs w:val="28"/>
          <w:lang w:val="en-US"/>
        </w:rPr>
        <w:instrText>com</w:instrText>
      </w:r>
      <w:r w:rsidRPr="00D11BAB">
        <w:rPr>
          <w:rFonts w:ascii="Times New Roman" w:hAnsi="Times New Roman"/>
          <w:sz w:val="28"/>
          <w:szCs w:val="28"/>
        </w:rPr>
        <w:instrText>/</w:instrText>
      </w:r>
      <w:r w:rsidRPr="00D11BAB">
        <w:rPr>
          <w:rFonts w:ascii="Times New Roman" w:hAnsi="Times New Roman"/>
          <w:sz w:val="28"/>
          <w:szCs w:val="28"/>
          <w:lang w:val="en-US"/>
        </w:rPr>
        <w:instrText>citation</w:instrText>
      </w:r>
      <w:r w:rsidRPr="00D11BAB">
        <w:rPr>
          <w:rFonts w:ascii="Times New Roman" w:hAnsi="Times New Roman"/>
          <w:sz w:val="28"/>
          <w:szCs w:val="28"/>
        </w:rPr>
        <w:instrText>-</w:instrText>
      </w:r>
      <w:r w:rsidRPr="00D11BAB">
        <w:rPr>
          <w:rFonts w:ascii="Times New Roman" w:hAnsi="Times New Roman"/>
          <w:sz w:val="28"/>
          <w:szCs w:val="28"/>
          <w:lang w:val="en-US"/>
        </w:rPr>
        <w:instrText>style</w:instrText>
      </w:r>
      <w:r w:rsidRPr="00D11BAB">
        <w:rPr>
          <w:rFonts w:ascii="Times New Roman" w:hAnsi="Times New Roman"/>
          <w:sz w:val="28"/>
          <w:szCs w:val="28"/>
        </w:rPr>
        <w:instrText>-</w:instrText>
      </w:r>
      <w:r w:rsidRPr="00D11BAB">
        <w:rPr>
          <w:rFonts w:ascii="Times New Roman" w:hAnsi="Times New Roman"/>
          <w:sz w:val="28"/>
          <w:szCs w:val="28"/>
          <w:lang w:val="en-US"/>
        </w:rPr>
        <w:instrText>language</w:instrText>
      </w:r>
      <w:r w:rsidRPr="00D11BAB">
        <w:rPr>
          <w:rFonts w:ascii="Times New Roman" w:hAnsi="Times New Roman"/>
          <w:sz w:val="28"/>
          <w:szCs w:val="28"/>
        </w:rPr>
        <w:instrText>/</w:instrText>
      </w:r>
      <w:r w:rsidRPr="00D11BAB">
        <w:rPr>
          <w:rFonts w:ascii="Times New Roman" w:hAnsi="Times New Roman"/>
          <w:sz w:val="28"/>
          <w:szCs w:val="28"/>
          <w:lang w:val="en-US"/>
        </w:rPr>
        <w:instrText>schema</w:instrText>
      </w:r>
      <w:r w:rsidRPr="00D11BAB">
        <w:rPr>
          <w:rFonts w:ascii="Times New Roman" w:hAnsi="Times New Roman"/>
          <w:sz w:val="28"/>
          <w:szCs w:val="28"/>
        </w:rPr>
        <w:instrText>/</w:instrText>
      </w:r>
      <w:r w:rsidRPr="00D11BAB">
        <w:rPr>
          <w:rFonts w:ascii="Times New Roman" w:hAnsi="Times New Roman"/>
          <w:sz w:val="28"/>
          <w:szCs w:val="28"/>
          <w:lang w:val="en-US"/>
        </w:rPr>
        <w:instrText>raw</w:instrText>
      </w:r>
      <w:r w:rsidRPr="00D11BAB">
        <w:rPr>
          <w:rFonts w:ascii="Times New Roman" w:hAnsi="Times New Roman"/>
          <w:sz w:val="28"/>
          <w:szCs w:val="28"/>
        </w:rPr>
        <w:instrText>/</w:instrText>
      </w:r>
      <w:r w:rsidRPr="00D11BAB">
        <w:rPr>
          <w:rFonts w:ascii="Times New Roman" w:hAnsi="Times New Roman"/>
          <w:sz w:val="28"/>
          <w:szCs w:val="28"/>
          <w:lang w:val="en-US"/>
        </w:rPr>
        <w:instrText>master</w:instrText>
      </w:r>
      <w:r w:rsidRPr="00D11BAB">
        <w:rPr>
          <w:rFonts w:ascii="Times New Roman" w:hAnsi="Times New Roman"/>
          <w:sz w:val="28"/>
          <w:szCs w:val="28"/>
        </w:rPr>
        <w:instrText>/</w:instrText>
      </w:r>
      <w:r w:rsidRPr="00D11BAB">
        <w:rPr>
          <w:rFonts w:ascii="Times New Roman" w:hAnsi="Times New Roman"/>
          <w:sz w:val="28"/>
          <w:szCs w:val="28"/>
          <w:lang w:val="en-US"/>
        </w:rPr>
        <w:instrText>csl</w:instrText>
      </w:r>
      <w:r w:rsidRPr="00D11BAB">
        <w:rPr>
          <w:rFonts w:ascii="Times New Roman" w:hAnsi="Times New Roman"/>
          <w:sz w:val="28"/>
          <w:szCs w:val="28"/>
        </w:rPr>
        <w:instrText>-</w:instrText>
      </w:r>
      <w:r w:rsidRPr="00D11BAB">
        <w:rPr>
          <w:rFonts w:ascii="Times New Roman" w:hAnsi="Times New Roman"/>
          <w:sz w:val="28"/>
          <w:szCs w:val="28"/>
          <w:lang w:val="en-US"/>
        </w:rPr>
        <w:instrText>citation</w:instrText>
      </w:r>
      <w:r w:rsidRPr="00D11BAB">
        <w:rPr>
          <w:rFonts w:ascii="Times New Roman" w:hAnsi="Times New Roman"/>
          <w:sz w:val="28"/>
          <w:szCs w:val="28"/>
        </w:rPr>
        <w:instrText>.</w:instrText>
      </w:r>
      <w:r w:rsidRPr="00D11BAB">
        <w:rPr>
          <w:rFonts w:ascii="Times New Roman" w:hAnsi="Times New Roman"/>
          <w:sz w:val="28"/>
          <w:szCs w:val="28"/>
          <w:lang w:val="en-US"/>
        </w:rPr>
        <w:instrText>json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fldChar w:fldCharType="separate"/>
      </w:r>
      <w:r w:rsidRPr="00D11BAB">
        <w:rPr>
          <w:rFonts w:ascii="Times New Roman" w:hAnsi="Times New Roman"/>
          <w:sz w:val="28"/>
          <w:szCs w:val="24"/>
        </w:rPr>
        <w:t>[241]</w:t>
      </w:r>
      <w:r w:rsidRPr="00D11BAB">
        <w:rPr>
          <w:rFonts w:ascii="Times New Roman" w:hAnsi="Times New Roman"/>
          <w:sz w:val="28"/>
          <w:szCs w:val="28"/>
          <w:lang w:val="en-US"/>
        </w:rPr>
        <w:fldChar w:fldCharType="end"/>
      </w:r>
      <w:r w:rsidRPr="00D11BAB">
        <w:rPr>
          <w:rFonts w:ascii="Times New Roman" w:hAnsi="Times New Roman"/>
          <w:sz w:val="28"/>
          <w:szCs w:val="28"/>
        </w:rPr>
        <w:t xml:space="preserve"> и сахарного диабета </w:t>
      </w:r>
      <w:r w:rsidRPr="00D11BAB">
        <w:rPr>
          <w:rFonts w:ascii="Times New Roman" w:hAnsi="Times New Roman"/>
          <w:sz w:val="28"/>
          <w:szCs w:val="28"/>
          <w:lang w:val="en-US"/>
        </w:rPr>
        <w:fldChar w:fldCharType="begin"/>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ADDIN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ZOTERO</w:instrText>
      </w:r>
      <w:r w:rsidRPr="00D11BAB">
        <w:rPr>
          <w:rFonts w:ascii="Times New Roman" w:hAnsi="Times New Roman"/>
          <w:sz w:val="28"/>
          <w:szCs w:val="28"/>
        </w:rPr>
        <w:instrText>_</w:instrText>
      </w:r>
      <w:r w:rsidRPr="00D11BAB">
        <w:rPr>
          <w:rFonts w:ascii="Times New Roman" w:hAnsi="Times New Roman"/>
          <w:sz w:val="28"/>
          <w:szCs w:val="28"/>
          <w:lang w:val="en-US"/>
        </w:rPr>
        <w:instrText>ITEM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CSL</w:instrText>
      </w:r>
      <w:r w:rsidRPr="00D11BAB">
        <w:rPr>
          <w:rFonts w:ascii="Times New Roman" w:hAnsi="Times New Roman"/>
          <w:sz w:val="28"/>
          <w:szCs w:val="28"/>
        </w:rPr>
        <w:instrText>_</w:instrText>
      </w:r>
      <w:r w:rsidRPr="00D11BAB">
        <w:rPr>
          <w:rFonts w:ascii="Times New Roman" w:hAnsi="Times New Roman"/>
          <w:sz w:val="28"/>
          <w:szCs w:val="28"/>
          <w:lang w:val="en-US"/>
        </w:rPr>
        <w:instrText>CITATION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citationID</w:instrText>
      </w:r>
      <w:r w:rsidRPr="00D11BAB">
        <w:rPr>
          <w:rFonts w:ascii="Times New Roman" w:hAnsi="Times New Roman"/>
          <w:sz w:val="28"/>
          <w:szCs w:val="28"/>
        </w:rPr>
        <w:instrText>":"</w:instrText>
      </w:r>
      <w:r w:rsidRPr="00D11BAB">
        <w:rPr>
          <w:rFonts w:ascii="Times New Roman" w:hAnsi="Times New Roman"/>
          <w:sz w:val="28"/>
          <w:szCs w:val="28"/>
          <w:lang w:val="en-US"/>
        </w:rPr>
        <w:instrText>a</w:instrText>
      </w:r>
      <w:r w:rsidRPr="00D11BAB">
        <w:rPr>
          <w:rFonts w:ascii="Times New Roman" w:hAnsi="Times New Roman"/>
          <w:sz w:val="28"/>
          <w:szCs w:val="28"/>
        </w:rPr>
        <w:instrText>24</w:instrText>
      </w:r>
      <w:r w:rsidRPr="00D11BAB">
        <w:rPr>
          <w:rFonts w:ascii="Times New Roman" w:hAnsi="Times New Roman"/>
          <w:sz w:val="28"/>
          <w:szCs w:val="28"/>
          <w:lang w:val="en-US"/>
        </w:rPr>
        <w:instrText>oct</w:instrText>
      </w:r>
      <w:r w:rsidRPr="00D11BAB">
        <w:rPr>
          <w:rFonts w:ascii="Times New Roman" w:hAnsi="Times New Roman"/>
          <w:sz w:val="28"/>
          <w:szCs w:val="28"/>
        </w:rPr>
        <w:instrText>2</w:instrText>
      </w:r>
      <w:r w:rsidRPr="00D11BAB">
        <w:rPr>
          <w:rFonts w:ascii="Times New Roman" w:hAnsi="Times New Roman"/>
          <w:sz w:val="28"/>
          <w:szCs w:val="28"/>
          <w:lang w:val="en-US"/>
        </w:rPr>
        <w:instrText>f</w:instrText>
      </w:r>
      <w:r w:rsidRPr="00D11BAB">
        <w:rPr>
          <w:rFonts w:ascii="Times New Roman" w:hAnsi="Times New Roman"/>
          <w:sz w:val="28"/>
          <w:szCs w:val="28"/>
        </w:rPr>
        <w:instrText>4</w:instrText>
      </w:r>
      <w:r w:rsidRPr="00D11BAB">
        <w:rPr>
          <w:rFonts w:ascii="Times New Roman" w:hAnsi="Times New Roman"/>
          <w:sz w:val="28"/>
          <w:szCs w:val="28"/>
          <w:lang w:val="en-US"/>
        </w:rPr>
        <w:instrText>kl</w:instrText>
      </w:r>
      <w:r w:rsidRPr="00D11BAB">
        <w:rPr>
          <w:rFonts w:ascii="Times New Roman" w:hAnsi="Times New Roman"/>
          <w:sz w:val="28"/>
          <w:szCs w:val="28"/>
        </w:rPr>
        <w:instrText>","</w:instrText>
      </w:r>
      <w:r w:rsidRPr="00D11BAB">
        <w:rPr>
          <w:rFonts w:ascii="Times New Roman" w:hAnsi="Times New Roman"/>
          <w:sz w:val="28"/>
          <w:szCs w:val="28"/>
          <w:lang w:val="en-US"/>
        </w:rPr>
        <w:instrText>properties</w:instrText>
      </w:r>
      <w:r w:rsidRPr="00D11BAB">
        <w:rPr>
          <w:rFonts w:ascii="Times New Roman" w:hAnsi="Times New Roman"/>
          <w:sz w:val="28"/>
          <w:szCs w:val="28"/>
        </w:rPr>
        <w:instrText>":{"</w:instrText>
      </w:r>
      <w:r w:rsidRPr="00D11BAB">
        <w:rPr>
          <w:rFonts w:ascii="Times New Roman" w:hAnsi="Times New Roman"/>
          <w:sz w:val="28"/>
          <w:szCs w:val="28"/>
          <w:lang w:val="en-US"/>
        </w:rPr>
        <w:instrText>formattedCitation</w:instrText>
      </w:r>
      <w:r w:rsidRPr="00D11BAB">
        <w:rPr>
          <w:rFonts w:ascii="Times New Roman" w:hAnsi="Times New Roman"/>
          <w:sz w:val="28"/>
          <w:szCs w:val="28"/>
        </w:rPr>
        <w:instrText>":"[220]","</w:instrText>
      </w:r>
      <w:r w:rsidRPr="00D11BAB">
        <w:rPr>
          <w:rFonts w:ascii="Times New Roman" w:hAnsi="Times New Roman"/>
          <w:sz w:val="28"/>
          <w:szCs w:val="28"/>
          <w:lang w:val="en-US"/>
        </w:rPr>
        <w:instrText>plainCitation</w:instrText>
      </w:r>
      <w:r w:rsidRPr="00D11BAB">
        <w:rPr>
          <w:rFonts w:ascii="Times New Roman" w:hAnsi="Times New Roman"/>
          <w:sz w:val="28"/>
          <w:szCs w:val="28"/>
        </w:rPr>
        <w:instrText>":"[220]","</w:instrText>
      </w:r>
      <w:r w:rsidRPr="00D11BAB">
        <w:rPr>
          <w:rFonts w:ascii="Times New Roman" w:hAnsi="Times New Roman"/>
          <w:sz w:val="28"/>
          <w:szCs w:val="28"/>
          <w:lang w:val="en-US"/>
        </w:rPr>
        <w:instrText>noteIndex</w:instrText>
      </w:r>
      <w:r w:rsidRPr="00D11BAB">
        <w:rPr>
          <w:rFonts w:ascii="Times New Roman" w:hAnsi="Times New Roman"/>
          <w:sz w:val="28"/>
          <w:szCs w:val="28"/>
        </w:rPr>
        <w:instrText>":0},"</w:instrText>
      </w:r>
      <w:r w:rsidRPr="00D11BAB">
        <w:rPr>
          <w:rFonts w:ascii="Times New Roman" w:hAnsi="Times New Roman"/>
          <w:sz w:val="28"/>
          <w:szCs w:val="28"/>
          <w:lang w:val="en-US"/>
        </w:rPr>
        <w:instrText>citationItems</w:instrText>
      </w:r>
      <w:r w:rsidRPr="00D11BAB">
        <w:rPr>
          <w:rFonts w:ascii="Times New Roman" w:hAnsi="Times New Roman"/>
          <w:sz w:val="28"/>
          <w:szCs w:val="28"/>
        </w:rPr>
        <w:instrText>":[{"</w:instrText>
      </w:r>
      <w:r w:rsidRPr="00D11BAB">
        <w:rPr>
          <w:rFonts w:ascii="Times New Roman" w:hAnsi="Times New Roman"/>
          <w:sz w:val="28"/>
          <w:szCs w:val="28"/>
          <w:lang w:val="en-US"/>
        </w:rPr>
        <w:instrText>id</w:instrText>
      </w:r>
      <w:r w:rsidRPr="00D11BAB">
        <w:rPr>
          <w:rFonts w:ascii="Times New Roman" w:hAnsi="Times New Roman"/>
          <w:sz w:val="28"/>
          <w:szCs w:val="28"/>
        </w:rPr>
        <w:instrText>":895,"</w:instrText>
      </w:r>
      <w:r w:rsidRPr="00D11BAB">
        <w:rPr>
          <w:rFonts w:ascii="Times New Roman" w:hAnsi="Times New Roman"/>
          <w:sz w:val="28"/>
          <w:szCs w:val="28"/>
          <w:lang w:val="en-US"/>
        </w:rPr>
        <w:instrText>uris</w:instrText>
      </w:r>
      <w:r w:rsidRPr="00D11BAB">
        <w:rPr>
          <w:rFonts w:ascii="Times New Roman" w:hAnsi="Times New Roman"/>
          <w:sz w:val="28"/>
          <w:szCs w:val="28"/>
        </w:rPr>
        <w:instrText>":["</w:instrText>
      </w:r>
      <w:r w:rsidRPr="00D11BAB">
        <w:rPr>
          <w:rFonts w:ascii="Times New Roman" w:hAnsi="Times New Roman"/>
          <w:sz w:val="28"/>
          <w:szCs w:val="28"/>
          <w:lang w:val="en-US"/>
        </w:rPr>
        <w:instrText>http</w:instrText>
      </w:r>
      <w:r w:rsidRPr="00D11BAB">
        <w:rPr>
          <w:rFonts w:ascii="Times New Roman" w:hAnsi="Times New Roman"/>
          <w:sz w:val="28"/>
          <w:szCs w:val="28"/>
        </w:rPr>
        <w:instrText>://</w:instrText>
      </w:r>
      <w:r w:rsidRPr="00D11BAB">
        <w:rPr>
          <w:rFonts w:ascii="Times New Roman" w:hAnsi="Times New Roman"/>
          <w:sz w:val="28"/>
          <w:szCs w:val="28"/>
          <w:lang w:val="en-US"/>
        </w:rPr>
        <w:instrText>zotero</w:instrText>
      </w:r>
      <w:r w:rsidRPr="00D11BAB">
        <w:rPr>
          <w:rFonts w:ascii="Times New Roman" w:hAnsi="Times New Roman"/>
          <w:sz w:val="28"/>
          <w:szCs w:val="28"/>
        </w:rPr>
        <w:instrText>.</w:instrText>
      </w:r>
      <w:r w:rsidRPr="00D11BAB">
        <w:rPr>
          <w:rFonts w:ascii="Times New Roman" w:hAnsi="Times New Roman"/>
          <w:sz w:val="28"/>
          <w:szCs w:val="28"/>
          <w:lang w:val="en-US"/>
        </w:rPr>
        <w:instrText>org</w:instrText>
      </w:r>
      <w:r w:rsidRPr="00D11BAB">
        <w:rPr>
          <w:rFonts w:ascii="Times New Roman" w:hAnsi="Times New Roman"/>
          <w:sz w:val="28"/>
          <w:szCs w:val="28"/>
        </w:rPr>
        <w:instrText>/</w:instrText>
      </w:r>
      <w:r w:rsidRPr="00D11BAB">
        <w:rPr>
          <w:rFonts w:ascii="Times New Roman" w:hAnsi="Times New Roman"/>
          <w:sz w:val="28"/>
          <w:szCs w:val="28"/>
          <w:lang w:val="en-US"/>
        </w:rPr>
        <w:instrText>users</w:instrText>
      </w:r>
      <w:r w:rsidRPr="00D11BAB">
        <w:rPr>
          <w:rFonts w:ascii="Times New Roman" w:hAnsi="Times New Roman"/>
          <w:sz w:val="28"/>
          <w:szCs w:val="28"/>
        </w:rPr>
        <w:instrText>/7388323/</w:instrText>
      </w:r>
      <w:r w:rsidRPr="00D11BAB">
        <w:rPr>
          <w:rFonts w:ascii="Times New Roman" w:hAnsi="Times New Roman"/>
          <w:sz w:val="28"/>
          <w:szCs w:val="28"/>
          <w:lang w:val="en-US"/>
        </w:rPr>
        <w:instrText>items</w:instrText>
      </w:r>
      <w:r w:rsidRPr="00D11BAB">
        <w:rPr>
          <w:rFonts w:ascii="Times New Roman" w:hAnsi="Times New Roman"/>
          <w:sz w:val="28"/>
          <w:szCs w:val="28"/>
        </w:rPr>
        <w:instrText>/</w:instrText>
      </w:r>
      <w:r w:rsidRPr="00D11BAB">
        <w:rPr>
          <w:rFonts w:ascii="Times New Roman" w:hAnsi="Times New Roman"/>
          <w:sz w:val="28"/>
          <w:szCs w:val="28"/>
          <w:lang w:val="en-US"/>
        </w:rPr>
        <w:instrText>HBI</w:instrText>
      </w:r>
      <w:r w:rsidRPr="00D11BAB">
        <w:rPr>
          <w:rFonts w:ascii="Times New Roman" w:hAnsi="Times New Roman"/>
          <w:sz w:val="28"/>
          <w:szCs w:val="28"/>
        </w:rPr>
        <w:instrText>5</w:instrText>
      </w:r>
      <w:r w:rsidRPr="00D11BAB">
        <w:rPr>
          <w:rFonts w:ascii="Times New Roman" w:hAnsi="Times New Roman"/>
          <w:sz w:val="28"/>
          <w:szCs w:val="28"/>
          <w:lang w:val="en-US"/>
        </w:rPr>
        <w:instrText>K</w:instrText>
      </w:r>
      <w:r w:rsidRPr="00D11BAB">
        <w:rPr>
          <w:rFonts w:ascii="Times New Roman" w:hAnsi="Times New Roman"/>
          <w:sz w:val="28"/>
          <w:szCs w:val="28"/>
        </w:rPr>
        <w:instrText>7</w:instrText>
      </w:r>
      <w:r w:rsidRPr="00D11BAB">
        <w:rPr>
          <w:rFonts w:ascii="Times New Roman" w:hAnsi="Times New Roman"/>
          <w:sz w:val="28"/>
          <w:szCs w:val="28"/>
          <w:lang w:val="en-US"/>
        </w:rPr>
        <w:instrText>UG</w:instrText>
      </w:r>
      <w:r w:rsidRPr="00D11BAB">
        <w:rPr>
          <w:rFonts w:ascii="Times New Roman" w:hAnsi="Times New Roman"/>
          <w:sz w:val="28"/>
          <w:szCs w:val="28"/>
        </w:rPr>
        <w:instrText>"],"</w:instrText>
      </w:r>
      <w:r w:rsidRPr="00D11BAB">
        <w:rPr>
          <w:rFonts w:ascii="Times New Roman" w:hAnsi="Times New Roman"/>
          <w:sz w:val="28"/>
          <w:szCs w:val="28"/>
          <w:lang w:val="en-US"/>
        </w:rPr>
        <w:instrText>uri</w:instrText>
      </w:r>
      <w:r w:rsidRPr="00D11BAB">
        <w:rPr>
          <w:rFonts w:ascii="Times New Roman" w:hAnsi="Times New Roman"/>
          <w:sz w:val="28"/>
          <w:szCs w:val="28"/>
        </w:rPr>
        <w:instrText>":["</w:instrText>
      </w:r>
      <w:r w:rsidRPr="00D11BAB">
        <w:rPr>
          <w:rFonts w:ascii="Times New Roman" w:hAnsi="Times New Roman"/>
          <w:sz w:val="28"/>
          <w:szCs w:val="28"/>
          <w:lang w:val="en-US"/>
        </w:rPr>
        <w:instrText>http</w:instrText>
      </w:r>
      <w:r w:rsidRPr="00D11BAB">
        <w:rPr>
          <w:rFonts w:ascii="Times New Roman" w:hAnsi="Times New Roman"/>
          <w:sz w:val="28"/>
          <w:szCs w:val="28"/>
        </w:rPr>
        <w:instrText>://</w:instrText>
      </w:r>
      <w:r w:rsidRPr="00D11BAB">
        <w:rPr>
          <w:rFonts w:ascii="Times New Roman" w:hAnsi="Times New Roman"/>
          <w:sz w:val="28"/>
          <w:szCs w:val="28"/>
          <w:lang w:val="en-US"/>
        </w:rPr>
        <w:instrText>zotero</w:instrText>
      </w:r>
      <w:r w:rsidRPr="00D11BAB">
        <w:rPr>
          <w:rFonts w:ascii="Times New Roman" w:hAnsi="Times New Roman"/>
          <w:sz w:val="28"/>
          <w:szCs w:val="28"/>
        </w:rPr>
        <w:instrText>.</w:instrText>
      </w:r>
      <w:r w:rsidRPr="00D11BAB">
        <w:rPr>
          <w:rFonts w:ascii="Times New Roman" w:hAnsi="Times New Roman"/>
          <w:sz w:val="28"/>
          <w:szCs w:val="28"/>
          <w:lang w:val="en-US"/>
        </w:rPr>
        <w:instrText>org</w:instrText>
      </w:r>
      <w:r w:rsidRPr="00D11BAB">
        <w:rPr>
          <w:rFonts w:ascii="Times New Roman" w:hAnsi="Times New Roman"/>
          <w:sz w:val="28"/>
          <w:szCs w:val="28"/>
        </w:rPr>
        <w:instrText>/</w:instrText>
      </w:r>
      <w:r w:rsidRPr="00D11BAB">
        <w:rPr>
          <w:rFonts w:ascii="Times New Roman" w:hAnsi="Times New Roman"/>
          <w:sz w:val="28"/>
          <w:szCs w:val="28"/>
          <w:lang w:val="en-US"/>
        </w:rPr>
        <w:instrText>users</w:instrText>
      </w:r>
      <w:r w:rsidRPr="00D11BAB">
        <w:rPr>
          <w:rFonts w:ascii="Times New Roman" w:hAnsi="Times New Roman"/>
          <w:sz w:val="28"/>
          <w:szCs w:val="28"/>
        </w:rPr>
        <w:instrText>/7388323/</w:instrText>
      </w:r>
      <w:r w:rsidRPr="00D11BAB">
        <w:rPr>
          <w:rFonts w:ascii="Times New Roman" w:hAnsi="Times New Roman"/>
          <w:sz w:val="28"/>
          <w:szCs w:val="28"/>
          <w:lang w:val="en-US"/>
        </w:rPr>
        <w:instrText>items</w:instrText>
      </w:r>
      <w:r w:rsidRPr="00D11BAB">
        <w:rPr>
          <w:rFonts w:ascii="Times New Roman" w:hAnsi="Times New Roman"/>
          <w:sz w:val="28"/>
          <w:szCs w:val="28"/>
        </w:rPr>
        <w:instrText>/</w:instrText>
      </w:r>
      <w:r w:rsidRPr="00D11BAB">
        <w:rPr>
          <w:rFonts w:ascii="Times New Roman" w:hAnsi="Times New Roman"/>
          <w:sz w:val="28"/>
          <w:szCs w:val="28"/>
          <w:lang w:val="en-US"/>
        </w:rPr>
        <w:instrText>HBI</w:instrText>
      </w:r>
      <w:r w:rsidRPr="00D11BAB">
        <w:rPr>
          <w:rFonts w:ascii="Times New Roman" w:hAnsi="Times New Roman"/>
          <w:sz w:val="28"/>
          <w:szCs w:val="28"/>
        </w:rPr>
        <w:instrText>5</w:instrText>
      </w:r>
      <w:r w:rsidRPr="00D11BAB">
        <w:rPr>
          <w:rFonts w:ascii="Times New Roman" w:hAnsi="Times New Roman"/>
          <w:sz w:val="28"/>
          <w:szCs w:val="28"/>
          <w:lang w:val="en-US"/>
        </w:rPr>
        <w:instrText>K</w:instrText>
      </w:r>
      <w:r w:rsidRPr="00D11BAB">
        <w:rPr>
          <w:rFonts w:ascii="Times New Roman" w:hAnsi="Times New Roman"/>
          <w:sz w:val="28"/>
          <w:szCs w:val="28"/>
        </w:rPr>
        <w:instrText>7</w:instrText>
      </w:r>
      <w:r w:rsidRPr="00D11BAB">
        <w:rPr>
          <w:rFonts w:ascii="Times New Roman" w:hAnsi="Times New Roman"/>
          <w:sz w:val="28"/>
          <w:szCs w:val="28"/>
          <w:lang w:val="en-US"/>
        </w:rPr>
        <w:instrText>UG</w:instrText>
      </w:r>
      <w:r w:rsidRPr="00D11BAB">
        <w:rPr>
          <w:rFonts w:ascii="Times New Roman" w:hAnsi="Times New Roman"/>
          <w:sz w:val="28"/>
          <w:szCs w:val="28"/>
        </w:rPr>
        <w:instrText>"],"</w:instrText>
      </w:r>
      <w:r w:rsidRPr="00D11BAB">
        <w:rPr>
          <w:rFonts w:ascii="Times New Roman" w:hAnsi="Times New Roman"/>
          <w:sz w:val="28"/>
          <w:szCs w:val="28"/>
          <w:lang w:val="en-US"/>
        </w:rPr>
        <w:instrText>itemData</w:instrText>
      </w:r>
      <w:r w:rsidRPr="00D11BAB">
        <w:rPr>
          <w:rFonts w:ascii="Times New Roman" w:hAnsi="Times New Roman"/>
          <w:sz w:val="28"/>
          <w:szCs w:val="28"/>
        </w:rPr>
        <w:instrText>":{"</w:instrText>
      </w:r>
      <w:r w:rsidRPr="00D11BAB">
        <w:rPr>
          <w:rFonts w:ascii="Times New Roman" w:hAnsi="Times New Roman"/>
          <w:sz w:val="28"/>
          <w:szCs w:val="28"/>
          <w:lang w:val="en-US"/>
        </w:rPr>
        <w:instrText>id</w:instrText>
      </w:r>
      <w:r w:rsidRPr="00D11BAB">
        <w:rPr>
          <w:rFonts w:ascii="Times New Roman" w:hAnsi="Times New Roman"/>
          <w:sz w:val="28"/>
          <w:szCs w:val="28"/>
        </w:rPr>
        <w:instrText>":895,"</w:instrText>
      </w:r>
      <w:r w:rsidRPr="00D11BAB">
        <w:rPr>
          <w:rFonts w:ascii="Times New Roman" w:hAnsi="Times New Roman"/>
          <w:sz w:val="28"/>
          <w:szCs w:val="28"/>
          <w:lang w:val="en-US"/>
        </w:rPr>
        <w:instrText>type</w:instrText>
      </w:r>
      <w:r w:rsidRPr="00D11BAB">
        <w:rPr>
          <w:rFonts w:ascii="Times New Roman" w:hAnsi="Times New Roman"/>
          <w:sz w:val="28"/>
          <w:szCs w:val="28"/>
        </w:rPr>
        <w:instrText>":"</w:instrText>
      </w:r>
      <w:r w:rsidRPr="00D11BAB">
        <w:rPr>
          <w:rFonts w:ascii="Times New Roman" w:hAnsi="Times New Roman"/>
          <w:sz w:val="28"/>
          <w:szCs w:val="28"/>
          <w:lang w:val="en-US"/>
        </w:rPr>
        <w:instrText>article</w:instrText>
      </w:r>
      <w:r w:rsidRPr="00D11BAB">
        <w:rPr>
          <w:rFonts w:ascii="Times New Roman" w:hAnsi="Times New Roman"/>
          <w:sz w:val="28"/>
          <w:szCs w:val="28"/>
        </w:rPr>
        <w:instrText>-</w:instrText>
      </w:r>
      <w:r w:rsidRPr="00D11BAB">
        <w:rPr>
          <w:rFonts w:ascii="Times New Roman" w:hAnsi="Times New Roman"/>
          <w:sz w:val="28"/>
          <w:szCs w:val="28"/>
          <w:lang w:val="en-US"/>
        </w:rPr>
        <w:instrText>journal</w:instrText>
      </w:r>
      <w:r w:rsidRPr="00D11BAB">
        <w:rPr>
          <w:rFonts w:ascii="Times New Roman" w:hAnsi="Times New Roman"/>
          <w:sz w:val="28"/>
          <w:szCs w:val="28"/>
        </w:rPr>
        <w:instrText>","</w:instrText>
      </w:r>
      <w:r w:rsidRPr="00D11BAB">
        <w:rPr>
          <w:rFonts w:ascii="Times New Roman" w:hAnsi="Times New Roman"/>
          <w:sz w:val="28"/>
          <w:szCs w:val="28"/>
          <w:lang w:val="en-US"/>
        </w:rPr>
        <w:instrText>abstract</w:instrText>
      </w:r>
      <w:r w:rsidRPr="00D11BAB">
        <w:rPr>
          <w:rFonts w:ascii="Times New Roman" w:hAnsi="Times New Roman"/>
          <w:sz w:val="28"/>
          <w:szCs w:val="28"/>
        </w:rPr>
        <w:instrText>":"</w:instrText>
      </w:r>
      <w:r w:rsidRPr="00D11BAB">
        <w:rPr>
          <w:rFonts w:ascii="Times New Roman" w:hAnsi="Times New Roman"/>
          <w:sz w:val="28"/>
          <w:szCs w:val="28"/>
          <w:lang w:val="en-US"/>
        </w:rPr>
        <w:instrText>PURPOSE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There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are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no</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controlled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experimental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data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that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assess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accuracy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commonly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used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w:instrText>
      </w:r>
      <w:r w:rsidRPr="00D11BAB">
        <w:rPr>
          <w:rFonts w:ascii="Times New Roman" w:hAnsi="Times New Roman"/>
          <w:sz w:val="28"/>
          <w:szCs w:val="28"/>
        </w:rPr>
        <w:instrText xml:space="preserve"> 1.6 </w:instrText>
      </w:r>
      <w:r w:rsidRPr="00D11BAB">
        <w:rPr>
          <w:rFonts w:ascii="Times New Roman" w:hAnsi="Times New Roman"/>
          <w:sz w:val="28"/>
          <w:szCs w:val="28"/>
          <w:lang w:val="en-US"/>
        </w:rPr>
        <w:instrText>meq</w:instrText>
      </w:r>
      <w:r w:rsidRPr="00D11BAB">
        <w:rPr>
          <w:rFonts w:ascii="Times New Roman" w:hAnsi="Times New Roman"/>
          <w:sz w:val="28"/>
          <w:szCs w:val="28"/>
        </w:rPr>
        <w:instrText>/</w:instrText>
      </w:r>
      <w:r w:rsidRPr="00D11BAB">
        <w:rPr>
          <w:rFonts w:ascii="Times New Roman" w:hAnsi="Times New Roman"/>
          <w:sz w:val="28"/>
          <w:szCs w:val="28"/>
          <w:lang w:val="en-US"/>
        </w:rPr>
        <w:instrText>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serum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sodium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every</w:instrText>
      </w:r>
      <w:r w:rsidRPr="00D11BAB">
        <w:rPr>
          <w:rFonts w:ascii="Times New Roman" w:hAnsi="Times New Roman"/>
          <w:sz w:val="28"/>
          <w:szCs w:val="28"/>
        </w:rPr>
        <w:instrText xml:space="preserve"> 100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plasma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purpose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study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evaluate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experimentally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hyponatremic</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response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acute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hyperglycemia</w:instrText>
      </w:r>
      <w:r w:rsidRPr="00D11BAB">
        <w:rPr>
          <w:rFonts w:ascii="Times New Roman" w:hAnsi="Times New Roman"/>
          <w:sz w:val="28"/>
          <w:szCs w:val="28"/>
        </w:rPr>
        <w:instrText>.\</w:instrText>
      </w:r>
      <w:r w:rsidRPr="00D11BAB">
        <w:rPr>
          <w:rFonts w:ascii="Times New Roman" w:hAnsi="Times New Roman"/>
          <w:sz w:val="28"/>
          <w:szCs w:val="28"/>
          <w:lang w:val="en-US"/>
        </w:rPr>
        <w:instrText>nSUBJECTS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AND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METHODS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Somatostatin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infused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block</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endogenous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insulin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secretion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6 </w:instrText>
      </w:r>
      <w:r w:rsidRPr="00D11BAB">
        <w:rPr>
          <w:rFonts w:ascii="Times New Roman" w:hAnsi="Times New Roman"/>
          <w:sz w:val="28"/>
          <w:szCs w:val="28"/>
          <w:lang w:val="en-US"/>
        </w:rPr>
        <w:instrText>healthy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subjects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Plasma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were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increased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&gt;600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within</w:instrText>
      </w:r>
      <w:r w:rsidRPr="00D11BAB">
        <w:rPr>
          <w:rFonts w:ascii="Times New Roman" w:hAnsi="Times New Roman"/>
          <w:sz w:val="28"/>
          <w:szCs w:val="28"/>
        </w:rPr>
        <w:instrText xml:space="preserve"> 1 </w:instrText>
      </w:r>
      <w:r w:rsidRPr="00D11BAB">
        <w:rPr>
          <w:rFonts w:ascii="Times New Roman" w:hAnsi="Times New Roman"/>
          <w:sz w:val="28"/>
          <w:szCs w:val="28"/>
          <w:lang w:val="en-US"/>
        </w:rPr>
        <w:instrText>hour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infusing</w:instrText>
      </w:r>
      <w:r w:rsidRPr="00D11BAB">
        <w:rPr>
          <w:rFonts w:ascii="Times New Roman" w:hAnsi="Times New Roman"/>
          <w:sz w:val="28"/>
          <w:szCs w:val="28"/>
        </w:rPr>
        <w:instrText xml:space="preserve"> 20% </w:instrText>
      </w:r>
      <w:r w:rsidRPr="00D11BAB">
        <w:rPr>
          <w:rFonts w:ascii="Times New Roman" w:hAnsi="Times New Roman"/>
          <w:sz w:val="28"/>
          <w:szCs w:val="28"/>
          <w:lang w:val="en-US"/>
        </w:rPr>
        <w:instrText>dextrose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infusion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stopped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and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insulin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until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plasma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decreased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140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Plasma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and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serum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sodium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were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measured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every</w:instrText>
      </w:r>
      <w:r w:rsidRPr="00D11BAB">
        <w:rPr>
          <w:rFonts w:ascii="Times New Roman" w:hAnsi="Times New Roman"/>
          <w:sz w:val="28"/>
          <w:szCs w:val="28"/>
        </w:rPr>
        <w:instrText xml:space="preserve"> 10 </w:instrText>
      </w:r>
      <w:r w:rsidRPr="00D11BAB">
        <w:rPr>
          <w:rFonts w:ascii="Times New Roman" w:hAnsi="Times New Roman"/>
          <w:sz w:val="28"/>
          <w:szCs w:val="28"/>
          <w:lang w:val="en-US"/>
        </w:rPr>
        <w:instrText>minutes</w:instrText>
      </w:r>
      <w:r w:rsidRPr="00D11BAB">
        <w:rPr>
          <w:rFonts w:ascii="Times New Roman" w:hAnsi="Times New Roman"/>
          <w:sz w:val="28"/>
          <w:szCs w:val="28"/>
        </w:rPr>
        <w:instrText>.\</w:instrText>
      </w:r>
      <w:r w:rsidRPr="00D11BAB">
        <w:rPr>
          <w:rFonts w:ascii="Times New Roman" w:hAnsi="Times New Roman"/>
          <w:sz w:val="28"/>
          <w:szCs w:val="28"/>
          <w:lang w:val="en-US"/>
        </w:rPr>
        <w:instrText>nRESULTS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Overall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mean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serum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sodium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averaged</w:instrText>
      </w:r>
      <w:r w:rsidRPr="00D11BAB">
        <w:rPr>
          <w:rFonts w:ascii="Times New Roman" w:hAnsi="Times New Roman"/>
          <w:sz w:val="28"/>
          <w:szCs w:val="28"/>
        </w:rPr>
        <w:instrText xml:space="preserve"> 2.4 </w:instrText>
      </w:r>
      <w:r w:rsidRPr="00D11BAB">
        <w:rPr>
          <w:rFonts w:ascii="Times New Roman" w:hAnsi="Times New Roman"/>
          <w:sz w:val="28"/>
          <w:szCs w:val="28"/>
          <w:lang w:val="en-US"/>
        </w:rPr>
        <w:instrText>meq</w:instrText>
      </w:r>
      <w:r w:rsidRPr="00D11BAB">
        <w:rPr>
          <w:rFonts w:ascii="Times New Roman" w:hAnsi="Times New Roman"/>
          <w:sz w:val="28"/>
          <w:szCs w:val="28"/>
        </w:rPr>
        <w:instrText>/</w:instrText>
      </w:r>
      <w:r w:rsidRPr="00D11BAB">
        <w:rPr>
          <w:rFonts w:ascii="Times New Roman" w:hAnsi="Times New Roman"/>
          <w:sz w:val="28"/>
          <w:szCs w:val="28"/>
          <w:lang w:val="en-US"/>
        </w:rPr>
        <w:instrText>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every</w:instrText>
      </w:r>
      <w:r w:rsidRPr="00D11BAB">
        <w:rPr>
          <w:rFonts w:ascii="Times New Roman" w:hAnsi="Times New Roman"/>
          <w:sz w:val="28"/>
          <w:szCs w:val="28"/>
        </w:rPr>
        <w:instrText xml:space="preserve"> 100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value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significantly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greater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than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commonly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used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1.6 (</w:instrText>
      </w:r>
      <w:r w:rsidRPr="00D11BAB">
        <w:rPr>
          <w:rFonts w:ascii="Times New Roman" w:hAnsi="Times New Roman"/>
          <w:sz w:val="28"/>
          <w:szCs w:val="28"/>
          <w:lang w:val="en-US"/>
        </w:rPr>
        <w:instrText>P</w:instrText>
      </w:r>
      <w:r w:rsidRPr="00D11BAB">
        <w:rPr>
          <w:rFonts w:ascii="Times New Roman" w:hAnsi="Times New Roman"/>
          <w:sz w:val="28"/>
          <w:szCs w:val="28"/>
        </w:rPr>
        <w:instrText xml:space="preserve"> = 0.02). </w:instrText>
      </w:r>
      <w:r w:rsidRPr="00D11BAB">
        <w:rPr>
          <w:rFonts w:ascii="Times New Roman" w:hAnsi="Times New Roman"/>
          <w:sz w:val="28"/>
          <w:szCs w:val="28"/>
          <w:lang w:val="en-US"/>
        </w:rPr>
        <w:instrText>Moreover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association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between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sodium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and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nonlinear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most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apparent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concentrations</w:instrText>
      </w:r>
      <w:r w:rsidRPr="00D11BAB">
        <w:rPr>
          <w:rFonts w:ascii="Times New Roman" w:hAnsi="Times New Roman"/>
          <w:sz w:val="28"/>
          <w:szCs w:val="28"/>
        </w:rPr>
        <w:instrText xml:space="preserve"> &gt;400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Up</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400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standard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1.6 </w:instrText>
      </w:r>
      <w:r w:rsidRPr="00D11BAB">
        <w:rPr>
          <w:rFonts w:ascii="Times New Roman" w:hAnsi="Times New Roman"/>
          <w:sz w:val="28"/>
          <w:szCs w:val="28"/>
          <w:lang w:val="en-US"/>
        </w:rPr>
        <w:instrText>worked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well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but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&gt;400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4.0 </w:instrText>
      </w:r>
      <w:r w:rsidRPr="00D11BAB">
        <w:rPr>
          <w:rFonts w:ascii="Times New Roman" w:hAnsi="Times New Roman"/>
          <w:sz w:val="28"/>
          <w:szCs w:val="28"/>
          <w:lang w:val="en-US"/>
        </w:rPr>
        <w:instrText>was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better</w:instrText>
      </w:r>
      <w:r w:rsidRPr="00D11BAB">
        <w:rPr>
          <w:rFonts w:ascii="Times New Roman" w:hAnsi="Times New Roman"/>
          <w:sz w:val="28"/>
          <w:szCs w:val="28"/>
        </w:rPr>
        <w:instrText>.\</w:instrText>
      </w:r>
      <w:r w:rsidRPr="00D11BAB">
        <w:rPr>
          <w:rFonts w:ascii="Times New Roman" w:hAnsi="Times New Roman"/>
          <w:sz w:val="28"/>
          <w:szCs w:val="28"/>
          <w:lang w:val="en-US"/>
        </w:rPr>
        <w:instrText>nCONCLUSION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data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indicate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that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physiologic</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sodium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considerably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greater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than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standard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1.6 (</w:instrText>
      </w:r>
      <w:r w:rsidRPr="00D11BAB">
        <w:rPr>
          <w:rFonts w:ascii="Times New Roman" w:hAnsi="Times New Roman"/>
          <w:sz w:val="28"/>
          <w:szCs w:val="28"/>
          <w:lang w:val="en-US"/>
        </w:rPr>
        <w:instrText>meq</w:instrText>
      </w:r>
      <w:r w:rsidRPr="00D11BAB">
        <w:rPr>
          <w:rFonts w:ascii="Times New Roman" w:hAnsi="Times New Roman"/>
          <w:sz w:val="28"/>
          <w:szCs w:val="28"/>
        </w:rPr>
        <w:instrText>/</w:instrText>
      </w:r>
      <w:r w:rsidRPr="00D11BAB">
        <w:rPr>
          <w:rFonts w:ascii="Times New Roman" w:hAnsi="Times New Roman"/>
          <w:sz w:val="28"/>
          <w:szCs w:val="28"/>
          <w:lang w:val="en-US"/>
        </w:rPr>
        <w:instrText>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Na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per</w:instrText>
      </w:r>
      <w:r w:rsidRPr="00D11BAB">
        <w:rPr>
          <w:rFonts w:ascii="Times New Roman" w:hAnsi="Times New Roman"/>
          <w:sz w:val="28"/>
          <w:szCs w:val="28"/>
        </w:rPr>
        <w:instrText xml:space="preserve"> 100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especially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when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is</w:instrText>
      </w:r>
      <w:r w:rsidRPr="00D11BAB">
        <w:rPr>
          <w:rFonts w:ascii="Times New Roman" w:hAnsi="Times New Roman"/>
          <w:sz w:val="28"/>
          <w:szCs w:val="28"/>
        </w:rPr>
        <w:instrText xml:space="preserve"> &gt;400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Additionally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w:instrText>
      </w:r>
      <w:r w:rsidRPr="00D11BAB">
        <w:rPr>
          <w:rFonts w:ascii="Times New Roman" w:hAnsi="Times New Roman"/>
          <w:sz w:val="28"/>
          <w:szCs w:val="28"/>
        </w:rPr>
        <w:instrText xml:space="preserve"> 2.4 </w:instrText>
      </w:r>
      <w:r w:rsidRPr="00D11BAB">
        <w:rPr>
          <w:rFonts w:ascii="Times New Roman" w:hAnsi="Times New Roman"/>
          <w:sz w:val="28"/>
          <w:szCs w:val="28"/>
          <w:lang w:val="en-US"/>
        </w:rPr>
        <w:instrText>meq</w:instrText>
      </w:r>
      <w:r w:rsidRPr="00D11BAB">
        <w:rPr>
          <w:rFonts w:ascii="Times New Roman" w:hAnsi="Times New Roman"/>
          <w:sz w:val="28"/>
          <w:szCs w:val="28"/>
        </w:rPr>
        <w:instrText>/</w:instrText>
      </w:r>
      <w:r w:rsidRPr="00D11BAB">
        <w:rPr>
          <w:rFonts w:ascii="Times New Roman" w:hAnsi="Times New Roman"/>
          <w:sz w:val="28"/>
          <w:szCs w:val="28"/>
          <w:lang w:val="en-US"/>
        </w:rPr>
        <w:instrText>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sodium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per</w:instrText>
      </w:r>
      <w:r w:rsidRPr="00D11BAB">
        <w:rPr>
          <w:rFonts w:ascii="Times New Roman" w:hAnsi="Times New Roman"/>
          <w:sz w:val="28"/>
          <w:szCs w:val="28"/>
        </w:rPr>
        <w:instrText xml:space="preserve"> 100 </w:instrText>
      </w:r>
      <w:r w:rsidRPr="00D11BAB">
        <w:rPr>
          <w:rFonts w:ascii="Times New Roman" w:hAnsi="Times New Roman"/>
          <w:sz w:val="28"/>
          <w:szCs w:val="28"/>
          <w:lang w:val="en-US"/>
        </w:rPr>
        <w:instrText>mg</w:instrText>
      </w:r>
      <w:r w:rsidRPr="00D11BAB">
        <w:rPr>
          <w:rFonts w:ascii="Times New Roman" w:hAnsi="Times New Roman"/>
          <w:sz w:val="28"/>
          <w:szCs w:val="28"/>
        </w:rPr>
        <w:instrText>/</w:instrText>
      </w:r>
      <w:r w:rsidRPr="00D11BAB">
        <w:rPr>
          <w:rFonts w:ascii="Times New Roman" w:hAnsi="Times New Roman"/>
          <w:sz w:val="28"/>
          <w:szCs w:val="28"/>
          <w:lang w:val="en-US"/>
        </w:rPr>
        <w:instrText>dL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increase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glucose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concentration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better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overall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estimate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association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than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usual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1.6.","</w:instrText>
      </w:r>
      <w:r w:rsidRPr="00D11BAB">
        <w:rPr>
          <w:rFonts w:ascii="Times New Roman" w:hAnsi="Times New Roman"/>
          <w:sz w:val="28"/>
          <w:szCs w:val="28"/>
          <w:lang w:val="en-US"/>
        </w:rPr>
        <w:instrText>container</w:instrText>
      </w:r>
      <w:r w:rsidRPr="00D11BAB">
        <w:rPr>
          <w:rFonts w:ascii="Times New Roman" w:hAnsi="Times New Roman"/>
          <w:sz w:val="28"/>
          <w:szCs w:val="28"/>
        </w:rPr>
        <w:instrText>-</w:instrText>
      </w:r>
      <w:r w:rsidRPr="00D11BAB">
        <w:rPr>
          <w:rFonts w:ascii="Times New Roman" w:hAnsi="Times New Roman"/>
          <w:sz w:val="28"/>
          <w:szCs w:val="28"/>
          <w:lang w:val="en-US"/>
        </w:rPr>
        <w:instrText>title</w:instrText>
      </w:r>
      <w:r w:rsidRPr="00D11BAB">
        <w:rPr>
          <w:rFonts w:ascii="Times New Roman" w:hAnsi="Times New Roman"/>
          <w:sz w:val="28"/>
          <w:szCs w:val="28"/>
        </w:rPr>
        <w:instrText>":"</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American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Journal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Medicine</w:instrText>
      </w:r>
      <w:r w:rsidRPr="00D11BAB">
        <w:rPr>
          <w:rFonts w:ascii="Times New Roman" w:hAnsi="Times New Roman"/>
          <w:sz w:val="28"/>
          <w:szCs w:val="28"/>
        </w:rPr>
        <w:instrText>","</w:instrText>
      </w:r>
      <w:r w:rsidRPr="00D11BAB">
        <w:rPr>
          <w:rFonts w:ascii="Times New Roman" w:hAnsi="Times New Roman"/>
          <w:sz w:val="28"/>
          <w:szCs w:val="28"/>
          <w:lang w:val="en-US"/>
        </w:rPr>
        <w:instrText>DOI</w:instrText>
      </w:r>
      <w:r w:rsidRPr="00D11BAB">
        <w:rPr>
          <w:rFonts w:ascii="Times New Roman" w:hAnsi="Times New Roman"/>
          <w:sz w:val="28"/>
          <w:szCs w:val="28"/>
        </w:rPr>
        <w:instrText>":"10.1016/</w:instrText>
      </w:r>
      <w:r w:rsidRPr="00D11BAB">
        <w:rPr>
          <w:rFonts w:ascii="Times New Roman" w:hAnsi="Times New Roman"/>
          <w:sz w:val="28"/>
          <w:szCs w:val="28"/>
          <w:lang w:val="en-US"/>
        </w:rPr>
        <w:instrText>s</w:instrText>
      </w:r>
      <w:r w:rsidRPr="00D11BAB">
        <w:rPr>
          <w:rFonts w:ascii="Times New Roman" w:hAnsi="Times New Roman"/>
          <w:sz w:val="28"/>
          <w:szCs w:val="28"/>
        </w:rPr>
        <w:instrText>0002-9343(99)00055-8","</w:instrText>
      </w:r>
      <w:r w:rsidRPr="00D11BAB">
        <w:rPr>
          <w:rFonts w:ascii="Times New Roman" w:hAnsi="Times New Roman"/>
          <w:sz w:val="28"/>
          <w:szCs w:val="28"/>
          <w:lang w:val="en-US"/>
        </w:rPr>
        <w:instrText>ISSN</w:instrText>
      </w:r>
      <w:r w:rsidRPr="00D11BAB">
        <w:rPr>
          <w:rFonts w:ascii="Times New Roman" w:hAnsi="Times New Roman"/>
          <w:sz w:val="28"/>
          <w:szCs w:val="28"/>
        </w:rPr>
        <w:instrText>":"0002-9343","</w:instrText>
      </w:r>
      <w:r w:rsidRPr="00D11BAB">
        <w:rPr>
          <w:rFonts w:ascii="Times New Roman" w:hAnsi="Times New Roman"/>
          <w:sz w:val="28"/>
          <w:szCs w:val="28"/>
          <w:lang w:val="en-US"/>
        </w:rPr>
        <w:instrText>issue</w:instrText>
      </w:r>
      <w:r w:rsidRPr="00D11BAB">
        <w:rPr>
          <w:rFonts w:ascii="Times New Roman" w:hAnsi="Times New Roman"/>
          <w:sz w:val="28"/>
          <w:szCs w:val="28"/>
        </w:rPr>
        <w:instrText>":"4","</w:instrText>
      </w:r>
      <w:r w:rsidRPr="00D11BAB">
        <w:rPr>
          <w:rFonts w:ascii="Times New Roman" w:hAnsi="Times New Roman"/>
          <w:sz w:val="28"/>
          <w:szCs w:val="28"/>
          <w:lang w:val="en-US"/>
        </w:rPr>
        <w:instrText>journalAbbreviation</w:instrText>
      </w:r>
      <w:r w:rsidRPr="00D11BAB">
        <w:rPr>
          <w:rFonts w:ascii="Times New Roman" w:hAnsi="Times New Roman"/>
          <w:sz w:val="28"/>
          <w:szCs w:val="28"/>
        </w:rPr>
        <w:instrText>":"</w:instrText>
      </w:r>
      <w:r w:rsidRPr="00D11BAB">
        <w:rPr>
          <w:rFonts w:ascii="Times New Roman" w:hAnsi="Times New Roman"/>
          <w:sz w:val="28"/>
          <w:szCs w:val="28"/>
          <w:lang w:val="en-US"/>
        </w:rPr>
        <w:instrText>Am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J</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Med</w:instrText>
      </w:r>
      <w:r w:rsidRPr="00D11BAB">
        <w:rPr>
          <w:rFonts w:ascii="Times New Roman" w:hAnsi="Times New Roman"/>
          <w:sz w:val="28"/>
          <w:szCs w:val="28"/>
        </w:rPr>
        <w:instrText>","</w:instrText>
      </w:r>
      <w:r w:rsidRPr="00D11BAB">
        <w:rPr>
          <w:rFonts w:ascii="Times New Roman" w:hAnsi="Times New Roman"/>
          <w:sz w:val="28"/>
          <w:szCs w:val="28"/>
          <w:lang w:val="en-US"/>
        </w:rPr>
        <w:instrText>language</w:instrText>
      </w:r>
      <w:r w:rsidRPr="00D11BAB">
        <w:rPr>
          <w:rFonts w:ascii="Times New Roman" w:hAnsi="Times New Roman"/>
          <w:sz w:val="28"/>
          <w:szCs w:val="28"/>
        </w:rPr>
        <w:instrText>":"</w:instrText>
      </w:r>
      <w:r w:rsidRPr="00D11BAB">
        <w:rPr>
          <w:rFonts w:ascii="Times New Roman" w:hAnsi="Times New Roman"/>
          <w:sz w:val="28"/>
          <w:szCs w:val="28"/>
          <w:lang w:val="en-US"/>
        </w:rPr>
        <w:instrText>eng</w:instrText>
      </w:r>
      <w:r w:rsidRPr="00D11BAB">
        <w:rPr>
          <w:rFonts w:ascii="Times New Roman" w:hAnsi="Times New Roman"/>
          <w:sz w:val="28"/>
          <w:szCs w:val="28"/>
        </w:rPr>
        <w:instrText>","</w:instrText>
      </w:r>
      <w:r w:rsidRPr="00D11BAB">
        <w:rPr>
          <w:rFonts w:ascii="Times New Roman" w:hAnsi="Times New Roman"/>
          <w:sz w:val="28"/>
          <w:szCs w:val="28"/>
          <w:lang w:val="en-US"/>
        </w:rPr>
        <w:instrText>note</w:instrText>
      </w:r>
      <w:r w:rsidRPr="00D11BAB">
        <w:rPr>
          <w:rFonts w:ascii="Times New Roman" w:hAnsi="Times New Roman"/>
          <w:sz w:val="28"/>
          <w:szCs w:val="28"/>
        </w:rPr>
        <w:instrText>":"</w:instrText>
      </w:r>
      <w:r w:rsidRPr="00D11BAB">
        <w:rPr>
          <w:rFonts w:ascii="Times New Roman" w:hAnsi="Times New Roman"/>
          <w:sz w:val="28"/>
          <w:szCs w:val="28"/>
          <w:lang w:val="en-US"/>
        </w:rPr>
        <w:instrText>PMID</w:instrText>
      </w:r>
      <w:r w:rsidRPr="00D11BAB">
        <w:rPr>
          <w:rFonts w:ascii="Times New Roman" w:hAnsi="Times New Roman"/>
          <w:sz w:val="28"/>
          <w:szCs w:val="28"/>
        </w:rPr>
        <w:instrText>: 10225241","</w:instrText>
      </w:r>
      <w:r w:rsidRPr="00D11BAB">
        <w:rPr>
          <w:rFonts w:ascii="Times New Roman" w:hAnsi="Times New Roman"/>
          <w:sz w:val="28"/>
          <w:szCs w:val="28"/>
          <w:lang w:val="en-US"/>
        </w:rPr>
        <w:instrText>page</w:instrText>
      </w:r>
      <w:r w:rsidRPr="00D11BAB">
        <w:rPr>
          <w:rFonts w:ascii="Times New Roman" w:hAnsi="Times New Roman"/>
          <w:sz w:val="28"/>
          <w:szCs w:val="28"/>
        </w:rPr>
        <w:instrText>":"399-403","</w:instrText>
      </w:r>
      <w:r w:rsidRPr="00D11BAB">
        <w:rPr>
          <w:rFonts w:ascii="Times New Roman" w:hAnsi="Times New Roman"/>
          <w:sz w:val="28"/>
          <w:szCs w:val="28"/>
          <w:lang w:val="en-US"/>
        </w:rPr>
        <w:instrText>source</w:instrText>
      </w:r>
      <w:r w:rsidRPr="00D11BAB">
        <w:rPr>
          <w:rFonts w:ascii="Times New Roman" w:hAnsi="Times New Roman"/>
          <w:sz w:val="28"/>
          <w:szCs w:val="28"/>
        </w:rPr>
        <w:instrText>":"</w:instrText>
      </w:r>
      <w:r w:rsidRPr="00D11BAB">
        <w:rPr>
          <w:rFonts w:ascii="Times New Roman" w:hAnsi="Times New Roman"/>
          <w:sz w:val="28"/>
          <w:szCs w:val="28"/>
          <w:lang w:val="en-US"/>
        </w:rPr>
        <w:instrText>PubMed</w:instrText>
      </w:r>
      <w:r w:rsidRPr="00D11BAB">
        <w:rPr>
          <w:rFonts w:ascii="Times New Roman" w:hAnsi="Times New Roman"/>
          <w:sz w:val="28"/>
          <w:szCs w:val="28"/>
        </w:rPr>
        <w:instrText>","</w:instrText>
      </w:r>
      <w:r w:rsidRPr="00D11BAB">
        <w:rPr>
          <w:rFonts w:ascii="Times New Roman" w:hAnsi="Times New Roman"/>
          <w:sz w:val="28"/>
          <w:szCs w:val="28"/>
          <w:lang w:val="en-US"/>
        </w:rPr>
        <w:instrText>title</w:instrText>
      </w:r>
      <w:r w:rsidRPr="00D11BAB">
        <w:rPr>
          <w:rFonts w:ascii="Times New Roman" w:hAnsi="Times New Roman"/>
          <w:sz w:val="28"/>
          <w:szCs w:val="28"/>
        </w:rPr>
        <w:instrText>":"</w:instrText>
      </w:r>
      <w:r w:rsidRPr="00D11BAB">
        <w:rPr>
          <w:rFonts w:ascii="Times New Roman" w:hAnsi="Times New Roman"/>
          <w:sz w:val="28"/>
          <w:szCs w:val="28"/>
          <w:lang w:val="en-US"/>
        </w:rPr>
        <w:instrText>Hyponatremia</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evaluating</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correction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factor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hyperglycemia</w:instrText>
      </w:r>
      <w:r w:rsidRPr="00D11BAB">
        <w:rPr>
          <w:rFonts w:ascii="Times New Roman" w:hAnsi="Times New Roman"/>
          <w:sz w:val="28"/>
          <w:szCs w:val="28"/>
        </w:rPr>
        <w:instrText>","</w:instrText>
      </w:r>
      <w:r w:rsidRPr="00D11BAB">
        <w:rPr>
          <w:rFonts w:ascii="Times New Roman" w:hAnsi="Times New Roman"/>
          <w:sz w:val="28"/>
          <w:szCs w:val="28"/>
          <w:lang w:val="en-US"/>
        </w:rPr>
        <w:instrText>title</w:instrText>
      </w:r>
      <w:r w:rsidRPr="00D11BAB">
        <w:rPr>
          <w:rFonts w:ascii="Times New Roman" w:hAnsi="Times New Roman"/>
          <w:sz w:val="28"/>
          <w:szCs w:val="28"/>
        </w:rPr>
        <w:instrText>-</w:instrText>
      </w:r>
      <w:r w:rsidRPr="00D11BAB">
        <w:rPr>
          <w:rFonts w:ascii="Times New Roman" w:hAnsi="Times New Roman"/>
          <w:sz w:val="28"/>
          <w:szCs w:val="28"/>
          <w:lang w:val="en-US"/>
        </w:rPr>
        <w:instrText>short</w:instrText>
      </w:r>
      <w:r w:rsidRPr="00D11BAB">
        <w:rPr>
          <w:rFonts w:ascii="Times New Roman" w:hAnsi="Times New Roman"/>
          <w:sz w:val="28"/>
          <w:szCs w:val="28"/>
        </w:rPr>
        <w:instrText>":"</w:instrText>
      </w:r>
      <w:r w:rsidRPr="00D11BAB">
        <w:rPr>
          <w:rFonts w:ascii="Times New Roman" w:hAnsi="Times New Roman"/>
          <w:sz w:val="28"/>
          <w:szCs w:val="28"/>
          <w:lang w:val="en-US"/>
        </w:rPr>
        <w:instrText>Hyponatremia</w:instrText>
      </w:r>
      <w:r w:rsidRPr="00D11BAB">
        <w:rPr>
          <w:rFonts w:ascii="Times New Roman" w:hAnsi="Times New Roman"/>
          <w:sz w:val="28"/>
          <w:szCs w:val="28"/>
        </w:rPr>
        <w:instrText>","</w:instrText>
      </w:r>
      <w:r w:rsidRPr="00D11BAB">
        <w:rPr>
          <w:rFonts w:ascii="Times New Roman" w:hAnsi="Times New Roman"/>
          <w:sz w:val="28"/>
          <w:szCs w:val="28"/>
          <w:lang w:val="en-US"/>
        </w:rPr>
        <w:instrText>volume</w:instrText>
      </w:r>
      <w:r w:rsidRPr="00D11BAB">
        <w:rPr>
          <w:rFonts w:ascii="Times New Roman" w:hAnsi="Times New Roman"/>
          <w:sz w:val="28"/>
          <w:szCs w:val="28"/>
        </w:rPr>
        <w:instrText>":"106","</w:instrText>
      </w:r>
      <w:r w:rsidRPr="00D11BAB">
        <w:rPr>
          <w:rFonts w:ascii="Times New Roman" w:hAnsi="Times New Roman"/>
          <w:sz w:val="28"/>
          <w:szCs w:val="28"/>
          <w:lang w:val="en-US"/>
        </w:rPr>
        <w:instrText>author</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Hillier</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Abbott</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Barrett</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J</w:instrText>
      </w:r>
      <w:r w:rsidRPr="00D11BAB">
        <w:rPr>
          <w:rFonts w:ascii="Times New Roman" w:hAnsi="Times New Roman"/>
          <w:sz w:val="28"/>
          <w:szCs w:val="28"/>
        </w:rPr>
        <w:instrText>."}],"</w:instrText>
      </w:r>
      <w:r w:rsidRPr="00D11BAB">
        <w:rPr>
          <w:rFonts w:ascii="Times New Roman" w:hAnsi="Times New Roman"/>
          <w:sz w:val="28"/>
          <w:szCs w:val="28"/>
          <w:lang w:val="en-US"/>
        </w:rPr>
        <w:instrText>issued</w:instrText>
      </w:r>
      <w:r w:rsidRPr="00D11BAB">
        <w:rPr>
          <w:rFonts w:ascii="Times New Roman" w:hAnsi="Times New Roman"/>
          <w:sz w:val="28"/>
          <w:szCs w:val="28"/>
        </w:rPr>
        <w:instrText>":{"</w:instrText>
      </w:r>
      <w:r w:rsidRPr="00D11BAB">
        <w:rPr>
          <w:rFonts w:ascii="Times New Roman" w:hAnsi="Times New Roman"/>
          <w:sz w:val="28"/>
          <w:szCs w:val="28"/>
          <w:lang w:val="en-US"/>
        </w:rPr>
        <w:instrText>date</w:instrText>
      </w:r>
      <w:r w:rsidRPr="00D11BAB">
        <w:rPr>
          <w:rFonts w:ascii="Times New Roman" w:hAnsi="Times New Roman"/>
          <w:sz w:val="28"/>
          <w:szCs w:val="28"/>
        </w:rPr>
        <w:instrText>-</w:instrText>
      </w:r>
      <w:r w:rsidRPr="00D11BAB">
        <w:rPr>
          <w:rFonts w:ascii="Times New Roman" w:hAnsi="Times New Roman"/>
          <w:sz w:val="28"/>
          <w:szCs w:val="28"/>
          <w:lang w:val="en-US"/>
        </w:rPr>
        <w:instrText>parts</w:instrText>
      </w:r>
      <w:r w:rsidRPr="00D11BAB">
        <w:rPr>
          <w:rFonts w:ascii="Times New Roman" w:hAnsi="Times New Roman"/>
          <w:sz w:val="28"/>
          <w:szCs w:val="28"/>
        </w:rPr>
        <w:instrText>":[["1999",4]]}}}],"</w:instrText>
      </w:r>
      <w:r w:rsidRPr="00D11BAB">
        <w:rPr>
          <w:rFonts w:ascii="Times New Roman" w:hAnsi="Times New Roman"/>
          <w:sz w:val="28"/>
          <w:szCs w:val="28"/>
          <w:lang w:val="en-US"/>
        </w:rPr>
        <w:instrText>schema</w:instrText>
      </w:r>
      <w:r w:rsidRPr="00D11BAB">
        <w:rPr>
          <w:rFonts w:ascii="Times New Roman" w:hAnsi="Times New Roman"/>
          <w:sz w:val="28"/>
          <w:szCs w:val="28"/>
        </w:rPr>
        <w:instrText>":"</w:instrText>
      </w:r>
      <w:r w:rsidRPr="00D11BAB">
        <w:rPr>
          <w:rFonts w:ascii="Times New Roman" w:hAnsi="Times New Roman"/>
          <w:sz w:val="28"/>
          <w:szCs w:val="28"/>
          <w:lang w:val="en-US"/>
        </w:rPr>
        <w:instrText>https</w:instrText>
      </w:r>
      <w:r w:rsidRPr="00D11BAB">
        <w:rPr>
          <w:rFonts w:ascii="Times New Roman" w:hAnsi="Times New Roman"/>
          <w:sz w:val="28"/>
          <w:szCs w:val="28"/>
        </w:rPr>
        <w:instrText>://</w:instrText>
      </w:r>
      <w:r w:rsidRPr="00D11BAB">
        <w:rPr>
          <w:rFonts w:ascii="Times New Roman" w:hAnsi="Times New Roman"/>
          <w:sz w:val="28"/>
          <w:szCs w:val="28"/>
          <w:lang w:val="en-US"/>
        </w:rPr>
        <w:instrText>github</w:instrText>
      </w:r>
      <w:r w:rsidRPr="00D11BAB">
        <w:rPr>
          <w:rFonts w:ascii="Times New Roman" w:hAnsi="Times New Roman"/>
          <w:sz w:val="28"/>
          <w:szCs w:val="28"/>
        </w:rPr>
        <w:instrText>.</w:instrText>
      </w:r>
      <w:r w:rsidRPr="00D11BAB">
        <w:rPr>
          <w:rFonts w:ascii="Times New Roman" w:hAnsi="Times New Roman"/>
          <w:sz w:val="28"/>
          <w:szCs w:val="28"/>
          <w:lang w:val="en-US"/>
        </w:rPr>
        <w:instrText>com</w:instrText>
      </w:r>
      <w:r w:rsidRPr="00D11BAB">
        <w:rPr>
          <w:rFonts w:ascii="Times New Roman" w:hAnsi="Times New Roman"/>
          <w:sz w:val="28"/>
          <w:szCs w:val="28"/>
        </w:rPr>
        <w:instrText>/</w:instrText>
      </w:r>
      <w:r w:rsidRPr="00D11BAB">
        <w:rPr>
          <w:rFonts w:ascii="Times New Roman" w:hAnsi="Times New Roman"/>
          <w:sz w:val="28"/>
          <w:szCs w:val="28"/>
          <w:lang w:val="en-US"/>
        </w:rPr>
        <w:instrText>citation</w:instrText>
      </w:r>
      <w:r w:rsidRPr="00D11BAB">
        <w:rPr>
          <w:rFonts w:ascii="Times New Roman" w:hAnsi="Times New Roman"/>
          <w:sz w:val="28"/>
          <w:szCs w:val="28"/>
        </w:rPr>
        <w:instrText>-</w:instrText>
      </w:r>
      <w:r w:rsidRPr="00D11BAB">
        <w:rPr>
          <w:rFonts w:ascii="Times New Roman" w:hAnsi="Times New Roman"/>
          <w:sz w:val="28"/>
          <w:szCs w:val="28"/>
          <w:lang w:val="en-US"/>
        </w:rPr>
        <w:instrText>style</w:instrText>
      </w:r>
      <w:r w:rsidRPr="00D11BAB">
        <w:rPr>
          <w:rFonts w:ascii="Times New Roman" w:hAnsi="Times New Roman"/>
          <w:sz w:val="28"/>
          <w:szCs w:val="28"/>
        </w:rPr>
        <w:instrText>-</w:instrText>
      </w:r>
      <w:r w:rsidRPr="00D11BAB">
        <w:rPr>
          <w:rFonts w:ascii="Times New Roman" w:hAnsi="Times New Roman"/>
          <w:sz w:val="28"/>
          <w:szCs w:val="28"/>
          <w:lang w:val="en-US"/>
        </w:rPr>
        <w:instrText>language</w:instrText>
      </w:r>
      <w:r w:rsidRPr="00D11BAB">
        <w:rPr>
          <w:rFonts w:ascii="Times New Roman" w:hAnsi="Times New Roman"/>
          <w:sz w:val="28"/>
          <w:szCs w:val="28"/>
        </w:rPr>
        <w:instrText>/</w:instrText>
      </w:r>
      <w:r w:rsidRPr="00D11BAB">
        <w:rPr>
          <w:rFonts w:ascii="Times New Roman" w:hAnsi="Times New Roman"/>
          <w:sz w:val="28"/>
          <w:szCs w:val="28"/>
          <w:lang w:val="en-US"/>
        </w:rPr>
        <w:instrText>schema</w:instrText>
      </w:r>
      <w:r w:rsidRPr="00D11BAB">
        <w:rPr>
          <w:rFonts w:ascii="Times New Roman" w:hAnsi="Times New Roman"/>
          <w:sz w:val="28"/>
          <w:szCs w:val="28"/>
        </w:rPr>
        <w:instrText>/</w:instrText>
      </w:r>
      <w:r w:rsidRPr="00D11BAB">
        <w:rPr>
          <w:rFonts w:ascii="Times New Roman" w:hAnsi="Times New Roman"/>
          <w:sz w:val="28"/>
          <w:szCs w:val="28"/>
          <w:lang w:val="en-US"/>
        </w:rPr>
        <w:instrText>raw</w:instrText>
      </w:r>
      <w:r w:rsidRPr="00D11BAB">
        <w:rPr>
          <w:rFonts w:ascii="Times New Roman" w:hAnsi="Times New Roman"/>
          <w:sz w:val="28"/>
          <w:szCs w:val="28"/>
        </w:rPr>
        <w:instrText>/</w:instrText>
      </w:r>
      <w:r w:rsidRPr="00D11BAB">
        <w:rPr>
          <w:rFonts w:ascii="Times New Roman" w:hAnsi="Times New Roman"/>
          <w:sz w:val="28"/>
          <w:szCs w:val="28"/>
          <w:lang w:val="en-US"/>
        </w:rPr>
        <w:instrText>master</w:instrText>
      </w:r>
      <w:r w:rsidRPr="00D11BAB">
        <w:rPr>
          <w:rFonts w:ascii="Times New Roman" w:hAnsi="Times New Roman"/>
          <w:sz w:val="28"/>
          <w:szCs w:val="28"/>
        </w:rPr>
        <w:instrText>/</w:instrText>
      </w:r>
      <w:r w:rsidRPr="00D11BAB">
        <w:rPr>
          <w:rFonts w:ascii="Times New Roman" w:hAnsi="Times New Roman"/>
          <w:sz w:val="28"/>
          <w:szCs w:val="28"/>
          <w:lang w:val="en-US"/>
        </w:rPr>
        <w:instrText>csl</w:instrText>
      </w:r>
      <w:r w:rsidRPr="00D11BAB">
        <w:rPr>
          <w:rFonts w:ascii="Times New Roman" w:hAnsi="Times New Roman"/>
          <w:sz w:val="28"/>
          <w:szCs w:val="28"/>
        </w:rPr>
        <w:instrText>-</w:instrText>
      </w:r>
      <w:r w:rsidRPr="00D11BAB">
        <w:rPr>
          <w:rFonts w:ascii="Times New Roman" w:hAnsi="Times New Roman"/>
          <w:sz w:val="28"/>
          <w:szCs w:val="28"/>
          <w:lang w:val="en-US"/>
        </w:rPr>
        <w:instrText>citation</w:instrText>
      </w:r>
      <w:r w:rsidRPr="00D11BAB">
        <w:rPr>
          <w:rFonts w:ascii="Times New Roman" w:hAnsi="Times New Roman"/>
          <w:sz w:val="28"/>
          <w:szCs w:val="28"/>
        </w:rPr>
        <w:instrText>.</w:instrText>
      </w:r>
      <w:r w:rsidRPr="00D11BAB">
        <w:rPr>
          <w:rFonts w:ascii="Times New Roman" w:hAnsi="Times New Roman"/>
          <w:sz w:val="28"/>
          <w:szCs w:val="28"/>
          <w:lang w:val="en-US"/>
        </w:rPr>
        <w:instrText>json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fldChar w:fldCharType="separate"/>
      </w:r>
      <w:r w:rsidRPr="00D11BAB">
        <w:rPr>
          <w:rFonts w:ascii="Times New Roman" w:hAnsi="Times New Roman"/>
          <w:sz w:val="28"/>
          <w:szCs w:val="24"/>
        </w:rPr>
        <w:t>[242]</w:t>
      </w:r>
      <w:r w:rsidRPr="00D11BAB">
        <w:rPr>
          <w:rFonts w:ascii="Times New Roman" w:hAnsi="Times New Roman"/>
          <w:sz w:val="28"/>
          <w:szCs w:val="28"/>
          <w:lang w:val="en-US"/>
        </w:rPr>
        <w:fldChar w:fldCharType="end"/>
      </w:r>
      <w:r w:rsidRPr="00D11BAB">
        <w:rPr>
          <w:rFonts w:ascii="Times New Roman" w:hAnsi="Times New Roman"/>
          <w:sz w:val="28"/>
          <w:szCs w:val="28"/>
        </w:rPr>
        <w:t xml:space="preserve"> в развитии электролитных нарушений у больных со злокачественными новообразованиями. На основании этого можно предположить, что электролитные нарушения у больных со злокачественными новообразованиями ободочной кишки можно предотвратить путем ранней коррекции биохимических показателей до операции.</w:t>
      </w:r>
    </w:p>
    <w:p w14:paraId="60B2F41C" w14:textId="77777777" w:rsidR="00EF5CD6" w:rsidRPr="00D11BAB" w:rsidRDefault="00EF5CD6" w:rsidP="00EF5CD6">
      <w:pPr>
        <w:tabs>
          <w:tab w:val="left" w:pos="567"/>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В </w:t>
      </w:r>
      <w:r w:rsidRPr="00D11BAB">
        <w:rPr>
          <w:rFonts w:ascii="Times New Roman" w:hAnsi="Times New Roman"/>
          <w:sz w:val="28"/>
          <w:szCs w:val="28"/>
          <w:lang w:val="kk-KZ"/>
        </w:rPr>
        <w:t xml:space="preserve">данном </w:t>
      </w:r>
      <w:r w:rsidRPr="00D11BAB">
        <w:rPr>
          <w:rFonts w:ascii="Times New Roman" w:hAnsi="Times New Roman"/>
          <w:sz w:val="28"/>
          <w:szCs w:val="28"/>
        </w:rPr>
        <w:t>исследовании больные с энтероколитом, возникшей после резекции кишечника, были более подвержены к развитию электролитных нарушений. Следовательно, у данной категории пациентов возникает потребность в регулярном мониторинге и коррекции электролитов.</w:t>
      </w:r>
    </w:p>
    <w:p w14:paraId="4C4BAFB6" w14:textId="77777777" w:rsidR="00EF5CD6" w:rsidRPr="00D11BAB" w:rsidRDefault="00EF5CD6" w:rsidP="00EF5CD6">
      <w:pPr>
        <w:tabs>
          <w:tab w:val="left" w:pos="567"/>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Клинические проявления электролитных нарушений включали ухудшение общего состояния (слабость, сонливость, вялость или напротив возбуждение и беспокойство), неврологическую симптоматику, выраженную жажду. </w:t>
      </w:r>
    </w:p>
    <w:p w14:paraId="0EA0B548" w14:textId="77777777" w:rsidR="00EF5CD6" w:rsidRDefault="00EF5CD6" w:rsidP="00EF5CD6">
      <w:pPr>
        <w:tabs>
          <w:tab w:val="left" w:pos="567"/>
        </w:tabs>
        <w:spacing w:after="0" w:line="240" w:lineRule="auto"/>
        <w:ind w:firstLine="567"/>
        <w:jc w:val="both"/>
        <w:rPr>
          <w:rFonts w:ascii="Times New Roman" w:hAnsi="Times New Roman"/>
          <w:sz w:val="28"/>
          <w:szCs w:val="28"/>
        </w:rPr>
      </w:pPr>
      <w:r w:rsidRPr="00D11BAB">
        <w:rPr>
          <w:rFonts w:ascii="Times New Roman" w:hAnsi="Times New Roman"/>
          <w:sz w:val="28"/>
          <w:szCs w:val="28"/>
        </w:rPr>
        <w:t>Для оценки эффективности реабилитационных мероприятий, проведенных с целью коррекции электролитного баланса, был применен статистический тест для проверки гипотезы о различии относительных частот в связанной выборке. В соответствии с рисунком 2</w:t>
      </w:r>
      <w:r>
        <w:rPr>
          <w:rFonts w:ascii="Times New Roman" w:hAnsi="Times New Roman"/>
          <w:sz w:val="28"/>
          <w:szCs w:val="28"/>
        </w:rPr>
        <w:t>8</w:t>
      </w:r>
      <w:r w:rsidRPr="00D11BAB">
        <w:rPr>
          <w:rFonts w:ascii="Times New Roman" w:hAnsi="Times New Roman"/>
          <w:sz w:val="28"/>
          <w:szCs w:val="28"/>
        </w:rPr>
        <w:t xml:space="preserve"> после лечения у 5(7%) больных сохранились электролитные нарушения 1-й степени тяжести, у 9</w:t>
      </w:r>
      <w:r>
        <w:rPr>
          <w:rFonts w:ascii="Times New Roman" w:hAnsi="Times New Roman"/>
          <w:sz w:val="28"/>
          <w:szCs w:val="28"/>
        </w:rPr>
        <w:t xml:space="preserve"> </w:t>
      </w:r>
      <w:r w:rsidRPr="00D11BAB">
        <w:rPr>
          <w:rFonts w:ascii="Times New Roman" w:hAnsi="Times New Roman"/>
          <w:sz w:val="28"/>
          <w:szCs w:val="28"/>
        </w:rPr>
        <w:t>(12%) больных-электролитные нарушения 2 степени тяжести. В 61 (81%) случаях зарегистрирован положительный результат лечения в виде достижения референсных значений электролитов.</w:t>
      </w:r>
    </w:p>
    <w:p w14:paraId="46574EAB" w14:textId="77777777" w:rsidR="00EF5CD6" w:rsidRDefault="00EF5CD6" w:rsidP="00EF5CD6">
      <w:pPr>
        <w:tabs>
          <w:tab w:val="left" w:pos="567"/>
        </w:tabs>
        <w:spacing w:after="0" w:line="240" w:lineRule="auto"/>
        <w:ind w:firstLine="567"/>
        <w:jc w:val="both"/>
        <w:rPr>
          <w:rFonts w:ascii="Times New Roman" w:hAnsi="Times New Roman"/>
          <w:sz w:val="28"/>
          <w:szCs w:val="28"/>
        </w:rPr>
      </w:pPr>
    </w:p>
    <w:p w14:paraId="1E71C2DA" w14:textId="77777777" w:rsidR="00EF5CD6" w:rsidRPr="00D11BAB" w:rsidRDefault="00EF5CD6" w:rsidP="00EF5CD6">
      <w:pPr>
        <w:tabs>
          <w:tab w:val="left" w:pos="567"/>
        </w:tabs>
        <w:spacing w:after="0" w:line="240" w:lineRule="auto"/>
        <w:ind w:firstLine="567"/>
        <w:jc w:val="both"/>
        <w:rPr>
          <w:rFonts w:ascii="Times New Roman" w:hAnsi="Times New Roman"/>
          <w:sz w:val="28"/>
          <w:szCs w:val="28"/>
        </w:rPr>
      </w:pPr>
    </w:p>
    <w:p w14:paraId="0D4CD8AD" w14:textId="77777777" w:rsidR="00EF5CD6" w:rsidRPr="00D11BAB" w:rsidRDefault="00EF5CD6" w:rsidP="00EF5CD6">
      <w:pPr>
        <w:tabs>
          <w:tab w:val="left" w:pos="567"/>
        </w:tabs>
        <w:spacing w:after="0" w:line="240" w:lineRule="auto"/>
        <w:ind w:firstLine="709"/>
        <w:jc w:val="right"/>
        <w:rPr>
          <w:rFonts w:ascii="Times New Roman" w:hAnsi="Times New Roman"/>
          <w:noProof/>
          <w:sz w:val="28"/>
          <w:szCs w:val="28"/>
        </w:rPr>
      </w:pPr>
    </w:p>
    <w:p w14:paraId="58211028" w14:textId="77777777" w:rsidR="00EF5CD6" w:rsidRPr="00D11BAB" w:rsidRDefault="00EF5CD6" w:rsidP="00EF5CD6">
      <w:pPr>
        <w:tabs>
          <w:tab w:val="left" w:pos="567"/>
        </w:tabs>
        <w:spacing w:after="0" w:line="240" w:lineRule="auto"/>
        <w:ind w:firstLine="709"/>
        <w:rPr>
          <w:rFonts w:ascii="Times New Roman" w:hAnsi="Times New Roman"/>
          <w:sz w:val="28"/>
          <w:szCs w:val="28"/>
        </w:rPr>
      </w:pPr>
      <w:r w:rsidRPr="00D11BAB">
        <w:rPr>
          <w:rFonts w:ascii="Times New Roman" w:hAnsi="Times New Roman"/>
          <w:noProof/>
        </w:rPr>
        <w:drawing>
          <wp:inline distT="0" distB="0" distL="0" distR="0" wp14:anchorId="109BB20F" wp14:editId="400AA53E">
            <wp:extent cx="2727960" cy="1798320"/>
            <wp:effectExtent l="0" t="0" r="0" b="0"/>
            <wp:docPr id="2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D11BAB">
        <w:rPr>
          <w:rFonts w:ascii="Times New Roman" w:hAnsi="Times New Roman"/>
          <w:noProof/>
        </w:rPr>
        <w:drawing>
          <wp:inline distT="0" distB="0" distL="0" distR="0" wp14:anchorId="73721369" wp14:editId="7A5FA5D1">
            <wp:extent cx="2910840" cy="2057400"/>
            <wp:effectExtent l="0" t="0" r="0" b="0"/>
            <wp:docPr id="26"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775A7ED" w14:textId="77777777" w:rsidR="00EF5CD6" w:rsidRPr="00BB7B26" w:rsidRDefault="00EF5CD6" w:rsidP="00EF5CD6">
      <w:pPr>
        <w:spacing w:after="0" w:line="240" w:lineRule="auto"/>
        <w:jc w:val="center"/>
        <w:rPr>
          <w:rFonts w:ascii="Times New Roman" w:hAnsi="Times New Roman"/>
          <w:sz w:val="28"/>
          <w:szCs w:val="28"/>
        </w:rPr>
      </w:pPr>
    </w:p>
    <w:p w14:paraId="47B7D6F6" w14:textId="77777777" w:rsidR="00EF5CD6" w:rsidRPr="00D11BAB" w:rsidRDefault="00EF5CD6" w:rsidP="00EF5CD6">
      <w:pPr>
        <w:spacing w:after="0" w:line="240" w:lineRule="auto"/>
        <w:jc w:val="center"/>
        <w:rPr>
          <w:rFonts w:ascii="Times New Roman" w:hAnsi="Times New Roman"/>
          <w:sz w:val="24"/>
          <w:szCs w:val="24"/>
        </w:rPr>
      </w:pPr>
      <w:proofErr w:type="gramStart"/>
      <w:r w:rsidRPr="00D11BAB">
        <w:rPr>
          <w:rFonts w:ascii="Times New Roman" w:hAnsi="Times New Roman"/>
          <w:sz w:val="24"/>
          <w:szCs w:val="24"/>
        </w:rPr>
        <w:t>а</w:t>
      </w:r>
      <w:proofErr w:type="gramEnd"/>
      <w:r w:rsidRPr="00D11BAB">
        <w:rPr>
          <w:rFonts w:ascii="Times New Roman" w:hAnsi="Times New Roman"/>
          <w:sz w:val="24"/>
          <w:szCs w:val="24"/>
        </w:rPr>
        <w:t xml:space="preserve">                                                                     б</w:t>
      </w:r>
    </w:p>
    <w:p w14:paraId="72BE671E" w14:textId="77777777" w:rsidR="00EF5CD6" w:rsidRPr="00BB1768" w:rsidRDefault="00EF5CD6" w:rsidP="00EF5CD6">
      <w:pPr>
        <w:spacing w:after="0" w:line="240" w:lineRule="auto"/>
        <w:ind w:firstLine="709"/>
        <w:rPr>
          <w:rFonts w:ascii="Times New Roman" w:hAnsi="Times New Roman"/>
          <w:sz w:val="28"/>
          <w:szCs w:val="28"/>
        </w:rPr>
      </w:pPr>
    </w:p>
    <w:p w14:paraId="0D86DC3E" w14:textId="77777777" w:rsidR="00EF5CD6" w:rsidRPr="00D11BAB" w:rsidRDefault="00EF5CD6" w:rsidP="00EF5CD6">
      <w:pPr>
        <w:spacing w:after="0" w:line="240" w:lineRule="auto"/>
        <w:ind w:firstLine="709"/>
        <w:jc w:val="center"/>
        <w:rPr>
          <w:rFonts w:ascii="Times New Roman" w:hAnsi="Times New Roman"/>
          <w:sz w:val="24"/>
          <w:szCs w:val="24"/>
        </w:rPr>
      </w:pPr>
      <w:proofErr w:type="gramStart"/>
      <w:r w:rsidRPr="00D11BAB">
        <w:rPr>
          <w:rFonts w:ascii="Times New Roman" w:hAnsi="Times New Roman"/>
          <w:sz w:val="24"/>
          <w:szCs w:val="24"/>
        </w:rPr>
        <w:t>а</w:t>
      </w:r>
      <w:proofErr w:type="gramEnd"/>
      <w:r w:rsidRPr="00D11BAB">
        <w:rPr>
          <w:rFonts w:ascii="Times New Roman" w:hAnsi="Times New Roman"/>
          <w:sz w:val="24"/>
          <w:szCs w:val="24"/>
        </w:rPr>
        <w:t xml:space="preserve"> – до лечения; б – после лечения</w:t>
      </w:r>
    </w:p>
    <w:p w14:paraId="09BBF132" w14:textId="77777777" w:rsidR="00EF5CD6" w:rsidRPr="00BB1768" w:rsidRDefault="00EF5CD6" w:rsidP="00EF5CD6">
      <w:pPr>
        <w:tabs>
          <w:tab w:val="left" w:pos="567"/>
        </w:tabs>
        <w:spacing w:after="0" w:line="240" w:lineRule="auto"/>
        <w:ind w:firstLine="709"/>
        <w:jc w:val="center"/>
        <w:rPr>
          <w:rFonts w:ascii="Times New Roman" w:hAnsi="Times New Roman"/>
          <w:sz w:val="28"/>
          <w:szCs w:val="28"/>
        </w:rPr>
      </w:pPr>
    </w:p>
    <w:p w14:paraId="0A20C743" w14:textId="77777777" w:rsidR="00EF5CD6" w:rsidRPr="00D11BAB" w:rsidRDefault="00EF5CD6" w:rsidP="00EF5CD6">
      <w:pPr>
        <w:tabs>
          <w:tab w:val="left" w:pos="567"/>
        </w:tabs>
        <w:spacing w:after="0" w:line="240" w:lineRule="auto"/>
        <w:jc w:val="center"/>
        <w:rPr>
          <w:rFonts w:ascii="Times New Roman" w:hAnsi="Times New Roman"/>
          <w:sz w:val="28"/>
          <w:szCs w:val="28"/>
        </w:rPr>
      </w:pPr>
      <w:r w:rsidRPr="00D11BAB">
        <w:rPr>
          <w:rFonts w:ascii="Times New Roman" w:hAnsi="Times New Roman"/>
          <w:sz w:val="28"/>
          <w:szCs w:val="28"/>
        </w:rPr>
        <w:t>Рисунок 2</w:t>
      </w:r>
      <w:r>
        <w:rPr>
          <w:rFonts w:ascii="Times New Roman" w:hAnsi="Times New Roman"/>
          <w:sz w:val="28"/>
          <w:szCs w:val="28"/>
        </w:rPr>
        <w:t>8</w:t>
      </w:r>
      <w:r w:rsidRPr="00D11BAB">
        <w:rPr>
          <w:rFonts w:ascii="Times New Roman" w:hAnsi="Times New Roman"/>
          <w:sz w:val="28"/>
          <w:szCs w:val="28"/>
        </w:rPr>
        <w:t xml:space="preserve"> – Распределение больных в зависимости от степени тяжести электролитных нарушений </w:t>
      </w:r>
    </w:p>
    <w:p w14:paraId="7046E110" w14:textId="77777777" w:rsidR="00EF5CD6" w:rsidRDefault="00EF5CD6" w:rsidP="00C41F1F">
      <w:pPr>
        <w:tabs>
          <w:tab w:val="left" w:pos="567"/>
        </w:tabs>
        <w:spacing w:after="0" w:line="240" w:lineRule="auto"/>
        <w:jc w:val="both"/>
        <w:rPr>
          <w:rFonts w:ascii="Times New Roman" w:hAnsi="Times New Roman"/>
          <w:sz w:val="28"/>
          <w:szCs w:val="28"/>
        </w:rPr>
      </w:pPr>
    </w:p>
    <w:p w14:paraId="6A351C1F" w14:textId="77777777" w:rsidR="00EF5CD6" w:rsidRDefault="00EF5CD6" w:rsidP="00EF5CD6">
      <w:pPr>
        <w:tabs>
          <w:tab w:val="left" w:pos="567"/>
        </w:tabs>
        <w:spacing w:after="0" w:line="240" w:lineRule="auto"/>
        <w:ind w:firstLine="567"/>
        <w:jc w:val="both"/>
        <w:rPr>
          <w:rFonts w:ascii="Times New Roman" w:hAnsi="Times New Roman"/>
          <w:sz w:val="28"/>
          <w:szCs w:val="28"/>
        </w:rPr>
      </w:pPr>
    </w:p>
    <w:p w14:paraId="1284AE1A" w14:textId="77777777" w:rsidR="00EF5CD6" w:rsidRPr="00D11BAB" w:rsidRDefault="00EF5CD6" w:rsidP="00EF5CD6">
      <w:pPr>
        <w:tabs>
          <w:tab w:val="left" w:pos="567"/>
        </w:tabs>
        <w:spacing w:after="0" w:line="240" w:lineRule="auto"/>
        <w:ind w:firstLine="567"/>
        <w:jc w:val="both"/>
        <w:rPr>
          <w:rFonts w:ascii="Times New Roman" w:hAnsi="Times New Roman"/>
          <w:sz w:val="28"/>
          <w:szCs w:val="28"/>
        </w:rPr>
      </w:pPr>
      <w:r w:rsidRPr="00D11BAB">
        <w:rPr>
          <w:rFonts w:ascii="Times New Roman" w:hAnsi="Times New Roman"/>
          <w:sz w:val="28"/>
          <w:szCs w:val="28"/>
        </w:rPr>
        <w:lastRenderedPageBreak/>
        <w:t>Наглядная динамика медианы электролитов в течение периода наблюдения указана на рисунках 2</w:t>
      </w:r>
      <w:r>
        <w:rPr>
          <w:rFonts w:ascii="Times New Roman" w:hAnsi="Times New Roman"/>
          <w:sz w:val="28"/>
          <w:szCs w:val="28"/>
        </w:rPr>
        <w:t>9</w:t>
      </w:r>
      <w:r w:rsidRPr="00D11BAB">
        <w:rPr>
          <w:rFonts w:ascii="Times New Roman" w:hAnsi="Times New Roman"/>
          <w:sz w:val="28"/>
          <w:szCs w:val="28"/>
        </w:rPr>
        <w:t xml:space="preserve">, </w:t>
      </w:r>
      <w:r>
        <w:rPr>
          <w:rFonts w:ascii="Times New Roman" w:hAnsi="Times New Roman"/>
          <w:sz w:val="28"/>
          <w:szCs w:val="28"/>
        </w:rPr>
        <w:t>30</w:t>
      </w:r>
      <w:r w:rsidRPr="00D11BAB">
        <w:rPr>
          <w:rFonts w:ascii="Times New Roman" w:hAnsi="Times New Roman"/>
          <w:sz w:val="28"/>
          <w:szCs w:val="28"/>
        </w:rPr>
        <w:t xml:space="preserve">, </w:t>
      </w:r>
      <w:r>
        <w:rPr>
          <w:rFonts w:ascii="Times New Roman" w:hAnsi="Times New Roman"/>
          <w:sz w:val="28"/>
          <w:szCs w:val="28"/>
        </w:rPr>
        <w:t>31</w:t>
      </w:r>
      <w:r w:rsidRPr="00D11BAB">
        <w:rPr>
          <w:rFonts w:ascii="Times New Roman" w:hAnsi="Times New Roman"/>
          <w:sz w:val="28"/>
          <w:szCs w:val="28"/>
        </w:rPr>
        <w:t xml:space="preserve"> и </w:t>
      </w:r>
      <w:r>
        <w:rPr>
          <w:rFonts w:ascii="Times New Roman" w:hAnsi="Times New Roman"/>
          <w:sz w:val="28"/>
          <w:szCs w:val="28"/>
        </w:rPr>
        <w:t>32</w:t>
      </w:r>
      <w:r w:rsidRPr="00D11BAB">
        <w:rPr>
          <w:rFonts w:ascii="Times New Roman" w:hAnsi="Times New Roman"/>
          <w:sz w:val="28"/>
          <w:szCs w:val="28"/>
        </w:rPr>
        <w:t>.</w:t>
      </w:r>
    </w:p>
    <w:p w14:paraId="0717D0F3" w14:textId="77777777" w:rsidR="00EF5CD6" w:rsidRPr="00D11BAB" w:rsidRDefault="00EF5CD6" w:rsidP="00EF5CD6">
      <w:pPr>
        <w:tabs>
          <w:tab w:val="left" w:pos="567"/>
        </w:tabs>
        <w:spacing w:after="0" w:line="240" w:lineRule="auto"/>
        <w:ind w:firstLine="709"/>
        <w:jc w:val="both"/>
        <w:rPr>
          <w:rFonts w:ascii="Times New Roman" w:hAnsi="Times New Roman"/>
          <w:sz w:val="28"/>
          <w:szCs w:val="28"/>
        </w:rPr>
      </w:pPr>
      <w:r w:rsidRPr="00D11BAB">
        <w:rPr>
          <w:rFonts w:ascii="Times New Roman" w:hAnsi="Times New Roman"/>
          <w:noProof/>
          <w:sz w:val="28"/>
          <w:szCs w:val="28"/>
        </w:rPr>
        <w:drawing>
          <wp:inline distT="0" distB="0" distL="0" distR="0" wp14:anchorId="42693ABC" wp14:editId="59FF2938">
            <wp:extent cx="5372100" cy="3627120"/>
            <wp:effectExtent l="0" t="0" r="0" b="0"/>
            <wp:docPr id="2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72100" cy="3627120"/>
                    </a:xfrm>
                    <a:prstGeom prst="rect">
                      <a:avLst/>
                    </a:prstGeom>
                    <a:noFill/>
                    <a:ln>
                      <a:noFill/>
                    </a:ln>
                  </pic:spPr>
                </pic:pic>
              </a:graphicData>
            </a:graphic>
          </wp:inline>
        </w:drawing>
      </w:r>
    </w:p>
    <w:p w14:paraId="37B7A1EA" w14:textId="77777777" w:rsidR="00EF5CD6" w:rsidRPr="00D11BAB" w:rsidRDefault="00EF5CD6" w:rsidP="00EF5CD6">
      <w:pPr>
        <w:spacing w:after="0" w:line="240" w:lineRule="auto"/>
        <w:ind w:firstLine="1134"/>
        <w:jc w:val="center"/>
        <w:rPr>
          <w:rFonts w:ascii="Times New Roman" w:hAnsi="Times New Roman"/>
          <w:sz w:val="24"/>
          <w:szCs w:val="24"/>
          <w:lang w:val="kk-KZ"/>
        </w:rPr>
      </w:pPr>
      <w:r w:rsidRPr="00D11BAB">
        <w:rPr>
          <w:rFonts w:ascii="Times New Roman" w:hAnsi="Times New Roman"/>
          <w:sz w:val="24"/>
          <w:szCs w:val="24"/>
          <w:lang w:val="kk-KZ"/>
        </w:rPr>
        <w:t>–</w:t>
      </w:r>
      <w:r w:rsidRPr="00D11BAB">
        <w:rPr>
          <w:rFonts w:ascii="Times New Roman" w:hAnsi="Times New Roman"/>
          <w:noProof/>
          <w:sz w:val="24"/>
          <w:szCs w:val="24"/>
        </w:rPr>
        <mc:AlternateContent>
          <mc:Choice Requires="wps">
            <w:drawing>
              <wp:anchor distT="0" distB="0" distL="114300" distR="114300" simplePos="0" relativeHeight="251668480" behindDoc="0" locked="0" layoutInCell="1" allowOverlap="1" wp14:anchorId="2CDD2AE7" wp14:editId="3BC3A66D">
                <wp:simplePos x="0" y="0"/>
                <wp:positionH relativeFrom="column">
                  <wp:posOffset>554355</wp:posOffset>
                </wp:positionH>
                <wp:positionV relativeFrom="paragraph">
                  <wp:posOffset>50800</wp:posOffset>
                </wp:positionV>
                <wp:extent cx="94615" cy="102235"/>
                <wp:effectExtent l="0" t="0" r="635" b="0"/>
                <wp:wrapNone/>
                <wp:docPr id="55" name="Равнобедренный треугольник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2235"/>
                        </a:xfrm>
                        <a:prstGeom prst="triangle">
                          <a:avLst/>
                        </a:prstGeom>
                        <a:solidFill>
                          <a:srgbClr val="2103D3"/>
                        </a:solidFill>
                        <a:ln w="25400" cap="flat" cmpd="sng" algn="ctr">
                          <a:solidFill>
                            <a:srgbClr val="2103D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346E31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53" o:spid="_x0000_s1026" type="#_x0000_t5" style="position:absolute;margin-left:43.65pt;margin-top:4pt;width:7.45pt;height: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" fillcolor="#2103d3" strokecolor="#2103d3" strokeweight="2pt">
                <v:path arrowok="t"/>
              </v:shape>
            </w:pict>
          </mc:Fallback>
        </mc:AlternateContent>
      </w:r>
      <w:r w:rsidRPr="00D11BAB">
        <w:rPr>
          <w:rFonts w:ascii="Times New Roman" w:hAnsi="Times New Roman"/>
          <w:sz w:val="24"/>
          <w:szCs w:val="24"/>
          <w:lang w:val="kk-KZ"/>
        </w:rPr>
        <w:t xml:space="preserve"> контроль концентрации натрия в крови</w:t>
      </w:r>
    </w:p>
    <w:p w14:paraId="1ACB6B39" w14:textId="77777777" w:rsidR="00EF5CD6" w:rsidRPr="00D11BAB" w:rsidRDefault="00EF5CD6" w:rsidP="00EF5CD6">
      <w:pPr>
        <w:tabs>
          <w:tab w:val="left" w:pos="567"/>
        </w:tabs>
        <w:spacing w:after="0" w:line="240" w:lineRule="auto"/>
        <w:ind w:firstLine="709"/>
        <w:jc w:val="center"/>
        <w:rPr>
          <w:rFonts w:ascii="Times New Roman" w:hAnsi="Times New Roman"/>
          <w:sz w:val="16"/>
          <w:szCs w:val="16"/>
        </w:rPr>
      </w:pPr>
    </w:p>
    <w:p w14:paraId="08DD1BB0" w14:textId="77777777" w:rsidR="00EF5CD6" w:rsidRDefault="00EF5CD6" w:rsidP="00EF5CD6">
      <w:pPr>
        <w:tabs>
          <w:tab w:val="left" w:pos="567"/>
        </w:tabs>
        <w:spacing w:after="0" w:line="240" w:lineRule="auto"/>
        <w:jc w:val="center"/>
        <w:rPr>
          <w:rFonts w:ascii="Times New Roman" w:hAnsi="Times New Roman"/>
          <w:sz w:val="28"/>
          <w:szCs w:val="28"/>
          <w:lang w:val="kk-KZ"/>
        </w:rPr>
      </w:pPr>
      <w:r w:rsidRPr="00D11BAB">
        <w:rPr>
          <w:rFonts w:ascii="Times New Roman" w:hAnsi="Times New Roman"/>
          <w:sz w:val="28"/>
          <w:szCs w:val="28"/>
        </w:rPr>
        <w:t>Рисунок 2</w:t>
      </w:r>
      <w:r>
        <w:rPr>
          <w:rFonts w:ascii="Times New Roman" w:hAnsi="Times New Roman"/>
          <w:sz w:val="28"/>
          <w:szCs w:val="28"/>
        </w:rPr>
        <w:t>9</w:t>
      </w:r>
      <w:r w:rsidRPr="00D11BAB">
        <w:rPr>
          <w:rFonts w:ascii="Times New Roman" w:hAnsi="Times New Roman"/>
          <w:sz w:val="28"/>
          <w:szCs w:val="28"/>
        </w:rPr>
        <w:t xml:space="preserve"> – Д</w:t>
      </w:r>
      <w:r w:rsidRPr="00D11BAB">
        <w:rPr>
          <w:rFonts w:ascii="Times New Roman" w:hAnsi="Times New Roman"/>
          <w:sz w:val="28"/>
          <w:szCs w:val="28"/>
          <w:lang w:val="kk-KZ"/>
        </w:rPr>
        <w:t>инамика концентрации натрия в крови в результате реабилитационных мероприятий</w:t>
      </w:r>
    </w:p>
    <w:p w14:paraId="257BE856" w14:textId="77777777" w:rsidR="00EF5CD6" w:rsidRPr="00D11BAB" w:rsidRDefault="00EF5CD6" w:rsidP="00EF5CD6">
      <w:pPr>
        <w:tabs>
          <w:tab w:val="left" w:pos="3709"/>
        </w:tabs>
        <w:spacing w:after="0" w:line="240" w:lineRule="auto"/>
        <w:jc w:val="center"/>
        <w:rPr>
          <w:rFonts w:ascii="Times New Roman" w:hAnsi="Times New Roman"/>
          <w:sz w:val="28"/>
          <w:szCs w:val="28"/>
          <w:lang w:val="kk-KZ"/>
        </w:rPr>
      </w:pPr>
      <w:r w:rsidRPr="00D11BAB">
        <w:rPr>
          <w:rFonts w:ascii="Times New Roman" w:hAnsi="Times New Roman"/>
          <w:noProof/>
          <w:sz w:val="28"/>
          <w:szCs w:val="28"/>
        </w:rPr>
        <w:drawing>
          <wp:inline distT="0" distB="0" distL="0" distR="0" wp14:anchorId="5BD47A83" wp14:editId="016CE868">
            <wp:extent cx="5021580" cy="3627120"/>
            <wp:effectExtent l="0" t="0" r="0" b="0"/>
            <wp:docPr id="28" name="Рисунок 2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1" descr="Chart, line char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21580" cy="3627120"/>
                    </a:xfrm>
                    <a:prstGeom prst="rect">
                      <a:avLst/>
                    </a:prstGeom>
                    <a:noFill/>
                    <a:ln>
                      <a:noFill/>
                    </a:ln>
                  </pic:spPr>
                </pic:pic>
              </a:graphicData>
            </a:graphic>
          </wp:inline>
        </w:drawing>
      </w:r>
    </w:p>
    <w:p w14:paraId="1D8CE3F7" w14:textId="77777777" w:rsidR="00EF5CD6" w:rsidRPr="00D11BAB" w:rsidRDefault="00EF5CD6" w:rsidP="00EF5CD6">
      <w:pPr>
        <w:spacing w:after="0" w:line="240" w:lineRule="auto"/>
        <w:ind w:firstLine="709"/>
        <w:rPr>
          <w:rFonts w:ascii="Times New Roman" w:hAnsi="Times New Roman"/>
          <w:sz w:val="28"/>
          <w:szCs w:val="28"/>
          <w:lang w:val="kk-KZ"/>
        </w:rPr>
      </w:pPr>
      <w:r w:rsidRPr="00D11BAB">
        <w:rPr>
          <w:rFonts w:ascii="Times New Roman" w:hAnsi="Times New Roman"/>
          <w:noProof/>
        </w:rPr>
        <mc:AlternateContent>
          <mc:Choice Requires="wps">
            <w:drawing>
              <wp:anchor distT="0" distB="0" distL="114300" distR="114300" simplePos="0" relativeHeight="251669504" behindDoc="0" locked="0" layoutInCell="1" allowOverlap="1" wp14:anchorId="4A1C9813" wp14:editId="4602F6E2">
                <wp:simplePos x="0" y="0"/>
                <wp:positionH relativeFrom="column">
                  <wp:posOffset>443865</wp:posOffset>
                </wp:positionH>
                <wp:positionV relativeFrom="paragraph">
                  <wp:posOffset>57785</wp:posOffset>
                </wp:positionV>
                <wp:extent cx="94615" cy="102235"/>
                <wp:effectExtent l="0" t="0" r="635" b="0"/>
                <wp:wrapNone/>
                <wp:docPr id="60" name="Равнобедренный треугольник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2235"/>
                        </a:xfrm>
                        <a:prstGeom prst="triangle">
                          <a:avLst/>
                        </a:prstGeom>
                        <a:solidFill>
                          <a:srgbClr val="2103D3"/>
                        </a:solidFill>
                        <a:ln w="25400" cap="flat" cmpd="sng" algn="ctr">
                          <a:solidFill>
                            <a:srgbClr val="2103D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ABF2A2" id="Равнобедренный треугольник 60" o:spid="_x0000_s1026" type="#_x0000_t5" style="position:absolute;margin-left:34.95pt;margin-top:4.55pt;width:7.45pt;height: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" fillcolor="#2103d3" strokecolor="#2103d3" strokeweight="2pt">
                <v:path arrowok="t"/>
              </v:shape>
            </w:pict>
          </mc:Fallback>
        </mc:AlternateContent>
      </w:r>
      <w:r w:rsidRPr="00D11BAB">
        <w:rPr>
          <w:rFonts w:ascii="Times New Roman" w:hAnsi="Times New Roman"/>
          <w:sz w:val="28"/>
          <w:szCs w:val="28"/>
          <w:lang w:val="kk-KZ"/>
        </w:rPr>
        <w:t xml:space="preserve">   – </w:t>
      </w:r>
      <w:r w:rsidRPr="00D11BAB">
        <w:rPr>
          <w:rFonts w:ascii="Times New Roman" w:hAnsi="Times New Roman"/>
          <w:sz w:val="24"/>
          <w:szCs w:val="24"/>
          <w:lang w:val="kk-KZ"/>
        </w:rPr>
        <w:t>контроль концентрации калия в крови</w:t>
      </w:r>
    </w:p>
    <w:p w14:paraId="41124177" w14:textId="77777777" w:rsidR="00EF5CD6" w:rsidRPr="00D11BAB" w:rsidRDefault="00EF5CD6" w:rsidP="00EF5CD6">
      <w:pPr>
        <w:tabs>
          <w:tab w:val="left" w:pos="567"/>
        </w:tabs>
        <w:spacing w:after="0" w:line="240" w:lineRule="auto"/>
        <w:ind w:firstLine="709"/>
        <w:jc w:val="center"/>
        <w:rPr>
          <w:rFonts w:ascii="Times New Roman" w:hAnsi="Times New Roman"/>
          <w:sz w:val="16"/>
          <w:szCs w:val="16"/>
        </w:rPr>
      </w:pPr>
    </w:p>
    <w:p w14:paraId="746637B0" w14:textId="77777777" w:rsidR="00EF5CD6" w:rsidRPr="00D11BAB" w:rsidRDefault="00EF5CD6" w:rsidP="00EF5CD6">
      <w:pPr>
        <w:tabs>
          <w:tab w:val="left" w:pos="567"/>
        </w:tabs>
        <w:spacing w:after="0" w:line="240" w:lineRule="auto"/>
        <w:jc w:val="center"/>
        <w:rPr>
          <w:rFonts w:ascii="Times New Roman" w:hAnsi="Times New Roman"/>
          <w:sz w:val="28"/>
          <w:szCs w:val="28"/>
          <w:lang w:val="kk-KZ"/>
        </w:rPr>
      </w:pPr>
      <w:r w:rsidRPr="00D11BAB">
        <w:rPr>
          <w:rFonts w:ascii="Times New Roman" w:hAnsi="Times New Roman"/>
          <w:sz w:val="28"/>
          <w:szCs w:val="28"/>
        </w:rPr>
        <w:t xml:space="preserve">Рисунок </w:t>
      </w:r>
      <w:r>
        <w:rPr>
          <w:rFonts w:ascii="Times New Roman" w:hAnsi="Times New Roman"/>
          <w:sz w:val="28"/>
          <w:szCs w:val="28"/>
        </w:rPr>
        <w:t>30</w:t>
      </w:r>
      <w:r w:rsidRPr="00D11BAB">
        <w:rPr>
          <w:rFonts w:ascii="Times New Roman" w:hAnsi="Times New Roman"/>
          <w:sz w:val="28"/>
          <w:szCs w:val="28"/>
        </w:rPr>
        <w:t xml:space="preserve"> – Д</w:t>
      </w:r>
      <w:r w:rsidRPr="00D11BAB">
        <w:rPr>
          <w:rFonts w:ascii="Times New Roman" w:hAnsi="Times New Roman"/>
          <w:sz w:val="28"/>
          <w:szCs w:val="28"/>
          <w:lang w:val="kk-KZ"/>
        </w:rPr>
        <w:t>инамика концентрации калия в крови в результате реабилитационных мероприятий</w:t>
      </w:r>
    </w:p>
    <w:p w14:paraId="10734364" w14:textId="77777777" w:rsidR="00EF5CD6" w:rsidRPr="00D11BAB" w:rsidRDefault="00EF5CD6" w:rsidP="00EF5CD6">
      <w:pPr>
        <w:tabs>
          <w:tab w:val="left" w:pos="2696"/>
        </w:tabs>
        <w:spacing w:after="0" w:line="240" w:lineRule="auto"/>
        <w:jc w:val="center"/>
        <w:rPr>
          <w:rFonts w:ascii="Times New Roman" w:hAnsi="Times New Roman"/>
          <w:sz w:val="28"/>
          <w:szCs w:val="28"/>
          <w:lang w:val="kk-KZ"/>
        </w:rPr>
      </w:pPr>
      <w:r w:rsidRPr="00D11BAB">
        <w:rPr>
          <w:rFonts w:ascii="Times New Roman" w:hAnsi="Times New Roman"/>
          <w:noProof/>
          <w:sz w:val="28"/>
          <w:szCs w:val="28"/>
        </w:rPr>
        <w:lastRenderedPageBreak/>
        <w:drawing>
          <wp:inline distT="0" distB="0" distL="0" distR="0" wp14:anchorId="7AC60335" wp14:editId="1975F08F">
            <wp:extent cx="4572000" cy="3291840"/>
            <wp:effectExtent l="0" t="0" r="0" b="0"/>
            <wp:docPr id="2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000" cy="3291840"/>
                    </a:xfrm>
                    <a:prstGeom prst="rect">
                      <a:avLst/>
                    </a:prstGeom>
                    <a:noFill/>
                    <a:ln>
                      <a:noFill/>
                    </a:ln>
                  </pic:spPr>
                </pic:pic>
              </a:graphicData>
            </a:graphic>
          </wp:inline>
        </w:drawing>
      </w:r>
    </w:p>
    <w:p w14:paraId="30ED0EE6" w14:textId="77777777" w:rsidR="00EF5CD6" w:rsidRPr="00D11BAB" w:rsidRDefault="00EF5CD6" w:rsidP="00EF5CD6">
      <w:pPr>
        <w:autoSpaceDE w:val="0"/>
        <w:autoSpaceDN w:val="0"/>
        <w:adjustRightInd w:val="0"/>
        <w:spacing w:after="0" w:line="240" w:lineRule="auto"/>
        <w:ind w:firstLine="1134"/>
        <w:jc w:val="both"/>
        <w:rPr>
          <w:rFonts w:ascii="Times New Roman" w:hAnsi="Times New Roman"/>
          <w:sz w:val="24"/>
          <w:szCs w:val="24"/>
          <w:lang w:val="kk-KZ"/>
        </w:rPr>
      </w:pPr>
      <w:r w:rsidRPr="00D11BAB">
        <w:rPr>
          <w:rFonts w:ascii="Times New Roman" w:hAnsi="Times New Roman"/>
          <w:sz w:val="24"/>
          <w:szCs w:val="24"/>
          <w:lang w:val="kk-KZ"/>
        </w:rPr>
        <w:t>–</w:t>
      </w:r>
      <w:r w:rsidRPr="00D11BAB">
        <w:rPr>
          <w:rFonts w:ascii="Times New Roman" w:hAnsi="Times New Roman"/>
          <w:noProof/>
          <w:sz w:val="24"/>
          <w:szCs w:val="24"/>
        </w:rPr>
        <mc:AlternateContent>
          <mc:Choice Requires="wps">
            <w:drawing>
              <wp:anchor distT="0" distB="0" distL="114300" distR="114300" simplePos="0" relativeHeight="251670528" behindDoc="0" locked="0" layoutInCell="1" allowOverlap="1" wp14:anchorId="5C9A4B6E" wp14:editId="264C9E9E">
                <wp:simplePos x="0" y="0"/>
                <wp:positionH relativeFrom="column">
                  <wp:posOffset>501650</wp:posOffset>
                </wp:positionH>
                <wp:positionV relativeFrom="paragraph">
                  <wp:posOffset>15240</wp:posOffset>
                </wp:positionV>
                <wp:extent cx="94615" cy="102235"/>
                <wp:effectExtent l="0" t="0" r="635" b="0"/>
                <wp:wrapNone/>
                <wp:docPr id="64" name="Равнобедренный треугольник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2235"/>
                        </a:xfrm>
                        <a:prstGeom prst="triangle">
                          <a:avLst/>
                        </a:prstGeom>
                        <a:solidFill>
                          <a:srgbClr val="2103D3"/>
                        </a:solidFill>
                        <a:ln w="25400" cap="flat" cmpd="sng" algn="ctr">
                          <a:solidFill>
                            <a:srgbClr val="2103D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3B7069" id="Равнобедренный треугольник 64" o:spid="_x0000_s1026" type="#_x0000_t5" style="position:absolute;margin-left:39.5pt;margin-top:1.2pt;width:7.45pt;height:8.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" fillcolor="#2103d3" strokecolor="#2103d3" strokeweight="2pt">
                <v:path arrowok="t"/>
              </v:shape>
            </w:pict>
          </mc:Fallback>
        </mc:AlternateContent>
      </w:r>
      <w:r w:rsidRPr="00D11BAB">
        <w:rPr>
          <w:rFonts w:ascii="Times New Roman" w:hAnsi="Times New Roman"/>
          <w:sz w:val="24"/>
          <w:szCs w:val="24"/>
          <w:lang w:val="kk-KZ"/>
        </w:rPr>
        <w:t xml:space="preserve"> контроль концентрации хлора в крови</w:t>
      </w:r>
    </w:p>
    <w:p w14:paraId="1161508B" w14:textId="77777777" w:rsidR="00EF5CD6" w:rsidRPr="00D11BAB" w:rsidRDefault="00EF5CD6" w:rsidP="00EF5CD6">
      <w:pPr>
        <w:tabs>
          <w:tab w:val="left" w:pos="567"/>
        </w:tabs>
        <w:spacing w:after="0" w:line="240" w:lineRule="auto"/>
        <w:ind w:firstLine="709"/>
        <w:jc w:val="center"/>
        <w:rPr>
          <w:rFonts w:ascii="Times New Roman" w:hAnsi="Times New Roman"/>
          <w:sz w:val="16"/>
          <w:szCs w:val="16"/>
        </w:rPr>
      </w:pPr>
    </w:p>
    <w:p w14:paraId="5D5BA6CE" w14:textId="77777777" w:rsidR="00EF5CD6" w:rsidRDefault="00EF5CD6" w:rsidP="00EF5CD6">
      <w:pPr>
        <w:tabs>
          <w:tab w:val="left" w:pos="567"/>
        </w:tabs>
        <w:spacing w:after="0" w:line="240" w:lineRule="auto"/>
        <w:jc w:val="center"/>
        <w:rPr>
          <w:rFonts w:ascii="Times New Roman" w:hAnsi="Times New Roman"/>
          <w:sz w:val="28"/>
          <w:szCs w:val="28"/>
          <w:lang w:val="kk-KZ"/>
        </w:rPr>
      </w:pPr>
      <w:r w:rsidRPr="00D11BAB">
        <w:rPr>
          <w:rFonts w:ascii="Times New Roman" w:hAnsi="Times New Roman"/>
          <w:sz w:val="28"/>
          <w:szCs w:val="28"/>
        </w:rPr>
        <w:t xml:space="preserve">Рисунок </w:t>
      </w:r>
      <w:r>
        <w:rPr>
          <w:rFonts w:ascii="Times New Roman" w:hAnsi="Times New Roman"/>
          <w:sz w:val="28"/>
          <w:szCs w:val="28"/>
        </w:rPr>
        <w:t>31</w:t>
      </w:r>
      <w:r w:rsidRPr="00D11BAB">
        <w:rPr>
          <w:rFonts w:ascii="Times New Roman" w:hAnsi="Times New Roman"/>
          <w:sz w:val="28"/>
          <w:szCs w:val="28"/>
        </w:rPr>
        <w:t xml:space="preserve"> – Д</w:t>
      </w:r>
      <w:r w:rsidRPr="00D11BAB">
        <w:rPr>
          <w:rFonts w:ascii="Times New Roman" w:hAnsi="Times New Roman"/>
          <w:sz w:val="28"/>
          <w:szCs w:val="28"/>
          <w:lang w:val="kk-KZ"/>
        </w:rPr>
        <w:t>инамика концентрации хлора в крови в результате реабилитационных мероприятий</w:t>
      </w:r>
    </w:p>
    <w:p w14:paraId="201B2386" w14:textId="77777777" w:rsidR="00EF5CD6" w:rsidRPr="00D11BAB" w:rsidRDefault="00EF5CD6" w:rsidP="00EF5CD6">
      <w:pPr>
        <w:tabs>
          <w:tab w:val="left" w:pos="567"/>
        </w:tabs>
        <w:spacing w:after="0" w:line="240" w:lineRule="auto"/>
        <w:jc w:val="center"/>
        <w:rPr>
          <w:rFonts w:ascii="Times New Roman" w:hAnsi="Times New Roman"/>
          <w:sz w:val="28"/>
          <w:szCs w:val="28"/>
          <w:lang w:val="kk-KZ"/>
        </w:rPr>
      </w:pPr>
    </w:p>
    <w:p w14:paraId="4C2E9ABB" w14:textId="77777777" w:rsidR="00EF5CD6" w:rsidRPr="00D11BAB" w:rsidRDefault="00EF5CD6" w:rsidP="00EF5CD6">
      <w:pPr>
        <w:tabs>
          <w:tab w:val="left" w:pos="3064"/>
        </w:tabs>
        <w:spacing w:after="0" w:line="240" w:lineRule="auto"/>
        <w:jc w:val="center"/>
        <w:rPr>
          <w:rFonts w:ascii="Times New Roman" w:hAnsi="Times New Roman"/>
          <w:sz w:val="28"/>
          <w:szCs w:val="28"/>
        </w:rPr>
      </w:pPr>
      <w:r w:rsidRPr="00D11BAB">
        <w:rPr>
          <w:rFonts w:ascii="Times New Roman" w:hAnsi="Times New Roman"/>
          <w:noProof/>
          <w:sz w:val="28"/>
          <w:szCs w:val="28"/>
        </w:rPr>
        <w:drawing>
          <wp:inline distT="0" distB="0" distL="0" distR="0" wp14:anchorId="646DDD33" wp14:editId="65CBEA81">
            <wp:extent cx="5082540" cy="2895600"/>
            <wp:effectExtent l="0" t="0" r="0" b="0"/>
            <wp:docPr id="30" name="Рисунок 1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9" descr="Chart, line char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82540" cy="2895600"/>
                    </a:xfrm>
                    <a:prstGeom prst="rect">
                      <a:avLst/>
                    </a:prstGeom>
                    <a:noFill/>
                    <a:ln>
                      <a:noFill/>
                    </a:ln>
                  </pic:spPr>
                </pic:pic>
              </a:graphicData>
            </a:graphic>
          </wp:inline>
        </w:drawing>
      </w:r>
    </w:p>
    <w:p w14:paraId="32F2C39D" w14:textId="77777777" w:rsidR="00EF5CD6" w:rsidRPr="00D11BAB" w:rsidRDefault="00EF5CD6" w:rsidP="00EF5CD6">
      <w:pPr>
        <w:tabs>
          <w:tab w:val="left" w:pos="567"/>
        </w:tabs>
        <w:spacing w:after="0" w:line="240" w:lineRule="auto"/>
        <w:ind w:firstLine="709"/>
        <w:jc w:val="both"/>
        <w:rPr>
          <w:rFonts w:ascii="Times New Roman" w:hAnsi="Times New Roman"/>
          <w:sz w:val="16"/>
          <w:szCs w:val="16"/>
        </w:rPr>
      </w:pPr>
    </w:p>
    <w:p w14:paraId="2647230C" w14:textId="77777777" w:rsidR="00EF5CD6" w:rsidRPr="00D11BAB" w:rsidRDefault="00EF5CD6" w:rsidP="00EF5CD6">
      <w:pPr>
        <w:spacing w:after="0" w:line="240" w:lineRule="auto"/>
        <w:ind w:firstLine="851"/>
        <w:jc w:val="both"/>
        <w:rPr>
          <w:rFonts w:ascii="Times New Roman" w:hAnsi="Times New Roman"/>
          <w:sz w:val="28"/>
          <w:szCs w:val="28"/>
          <w:lang w:val="kk-KZ"/>
        </w:rPr>
      </w:pPr>
      <w:r w:rsidRPr="00D11BAB">
        <w:rPr>
          <w:rFonts w:ascii="Times New Roman" w:hAnsi="Times New Roman"/>
          <w:sz w:val="28"/>
          <w:szCs w:val="28"/>
          <w:lang w:val="kk-KZ"/>
        </w:rPr>
        <w:t>–</w:t>
      </w:r>
      <w:r w:rsidRPr="00D11BAB">
        <w:rPr>
          <w:rFonts w:ascii="Times New Roman" w:hAnsi="Times New Roman"/>
          <w:noProof/>
        </w:rPr>
        <mc:AlternateContent>
          <mc:Choice Requires="wps">
            <w:drawing>
              <wp:anchor distT="0" distB="0" distL="114300" distR="114300" simplePos="0" relativeHeight="251671552" behindDoc="0" locked="0" layoutInCell="1" allowOverlap="1" wp14:anchorId="5AF0562A" wp14:editId="51267A66">
                <wp:simplePos x="0" y="0"/>
                <wp:positionH relativeFrom="column">
                  <wp:posOffset>314325</wp:posOffset>
                </wp:positionH>
                <wp:positionV relativeFrom="paragraph">
                  <wp:posOffset>62230</wp:posOffset>
                </wp:positionV>
                <wp:extent cx="94615" cy="102235"/>
                <wp:effectExtent l="0" t="0" r="635" b="0"/>
                <wp:wrapNone/>
                <wp:docPr id="45" name="Равнобедренный треугольник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2235"/>
                        </a:xfrm>
                        <a:prstGeom prst="triangle">
                          <a:avLst/>
                        </a:prstGeom>
                        <a:solidFill>
                          <a:srgbClr val="2103D3"/>
                        </a:solidFill>
                        <a:ln w="25400" cap="flat" cmpd="sng" algn="ctr">
                          <a:solidFill>
                            <a:srgbClr val="2103D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2A3B95" id="Равнобедренный треугольник 38" o:spid="_x0000_s1026" type="#_x0000_t5" style="position:absolute;margin-left:24.75pt;margin-top:4.9pt;width:7.45pt;height:8.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" fillcolor="#2103d3" strokecolor="#2103d3" strokeweight="2pt">
                <v:path arrowok="t"/>
              </v:shape>
            </w:pict>
          </mc:Fallback>
        </mc:AlternateContent>
      </w:r>
      <w:r w:rsidRPr="00D11BAB">
        <w:rPr>
          <w:rFonts w:ascii="Times New Roman" w:hAnsi="Times New Roman"/>
          <w:sz w:val="28"/>
          <w:szCs w:val="28"/>
          <w:lang w:val="kk-KZ"/>
        </w:rPr>
        <w:t xml:space="preserve"> </w:t>
      </w:r>
      <w:r w:rsidRPr="00D11BAB">
        <w:rPr>
          <w:rFonts w:ascii="Times New Roman" w:hAnsi="Times New Roman"/>
          <w:sz w:val="24"/>
          <w:szCs w:val="24"/>
          <w:lang w:val="kk-KZ"/>
        </w:rPr>
        <w:t>контроль концентрации магния в крови</w:t>
      </w:r>
    </w:p>
    <w:p w14:paraId="12184201" w14:textId="77777777" w:rsidR="00EF5CD6" w:rsidRPr="00D11BAB" w:rsidRDefault="00EF5CD6" w:rsidP="00EF5CD6">
      <w:pPr>
        <w:tabs>
          <w:tab w:val="left" w:pos="567"/>
        </w:tabs>
        <w:spacing w:after="0" w:line="240" w:lineRule="auto"/>
        <w:ind w:firstLine="709"/>
        <w:jc w:val="center"/>
        <w:rPr>
          <w:rFonts w:ascii="Times New Roman" w:hAnsi="Times New Roman"/>
          <w:sz w:val="16"/>
          <w:szCs w:val="16"/>
        </w:rPr>
      </w:pPr>
    </w:p>
    <w:p w14:paraId="47A8CE25" w14:textId="77777777" w:rsidR="00EF5CD6" w:rsidRPr="00D11BAB" w:rsidRDefault="00EF5CD6" w:rsidP="00EF5CD6">
      <w:pPr>
        <w:tabs>
          <w:tab w:val="left" w:pos="567"/>
        </w:tabs>
        <w:spacing w:after="0" w:line="240" w:lineRule="auto"/>
        <w:jc w:val="center"/>
        <w:rPr>
          <w:rFonts w:ascii="Times New Roman" w:hAnsi="Times New Roman"/>
          <w:sz w:val="28"/>
          <w:szCs w:val="28"/>
        </w:rPr>
      </w:pPr>
      <w:r w:rsidRPr="00D11BAB">
        <w:rPr>
          <w:rFonts w:ascii="Times New Roman" w:hAnsi="Times New Roman"/>
          <w:sz w:val="28"/>
          <w:szCs w:val="28"/>
        </w:rPr>
        <w:t xml:space="preserve">Рисунок </w:t>
      </w:r>
      <w:r>
        <w:rPr>
          <w:rFonts w:ascii="Times New Roman" w:hAnsi="Times New Roman"/>
          <w:sz w:val="28"/>
          <w:szCs w:val="28"/>
        </w:rPr>
        <w:t>32</w:t>
      </w:r>
      <w:r w:rsidRPr="00D11BAB">
        <w:rPr>
          <w:rFonts w:ascii="Times New Roman" w:hAnsi="Times New Roman"/>
          <w:sz w:val="28"/>
          <w:szCs w:val="28"/>
        </w:rPr>
        <w:t xml:space="preserve"> – Д</w:t>
      </w:r>
      <w:r w:rsidRPr="00D11BAB">
        <w:rPr>
          <w:rFonts w:ascii="Times New Roman" w:hAnsi="Times New Roman"/>
          <w:sz w:val="28"/>
          <w:szCs w:val="28"/>
          <w:lang w:val="kk-KZ"/>
        </w:rPr>
        <w:t>инамика концентрации магния в крови в результате реабилитационных мероприятий</w:t>
      </w:r>
    </w:p>
    <w:bookmarkEnd w:id="33"/>
    <w:p w14:paraId="31F93A9B" w14:textId="77777777" w:rsidR="00EF5CD6" w:rsidRDefault="00EF5CD6" w:rsidP="00EF5CD6">
      <w:pPr>
        <w:tabs>
          <w:tab w:val="left" w:pos="567"/>
        </w:tabs>
        <w:spacing w:after="0" w:line="240" w:lineRule="auto"/>
        <w:ind w:firstLine="567"/>
        <w:jc w:val="both"/>
        <w:rPr>
          <w:rFonts w:ascii="Times New Roman" w:hAnsi="Times New Roman"/>
          <w:sz w:val="28"/>
          <w:szCs w:val="28"/>
        </w:rPr>
      </w:pPr>
    </w:p>
    <w:p w14:paraId="414A2BFE" w14:textId="77777777" w:rsidR="00EF5CD6" w:rsidRPr="00D11BAB" w:rsidRDefault="00EF5CD6" w:rsidP="00EF5CD6">
      <w:pPr>
        <w:tabs>
          <w:tab w:val="left" w:pos="567"/>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Наблюдались значительные изменения в динамике калия: уменьшение на 30% от исходного значения, что соответствовало 2,8 ммоль/л. До 4 недели лечения концентрация калия колебалась от 2,8 до 2,5 ммоль/л. К 6 неделе отмечается повышение на 37,5% достигнув референсных значений (рисунок </w:t>
      </w:r>
      <w:r>
        <w:rPr>
          <w:rFonts w:ascii="Times New Roman" w:hAnsi="Times New Roman"/>
          <w:sz w:val="28"/>
          <w:szCs w:val="28"/>
        </w:rPr>
        <w:t>30</w:t>
      </w:r>
      <w:r w:rsidRPr="00D11BAB">
        <w:rPr>
          <w:rFonts w:ascii="Times New Roman" w:hAnsi="Times New Roman"/>
          <w:sz w:val="28"/>
          <w:szCs w:val="28"/>
        </w:rPr>
        <w:t xml:space="preserve">). Рисунок </w:t>
      </w:r>
      <w:r>
        <w:rPr>
          <w:rFonts w:ascii="Times New Roman" w:hAnsi="Times New Roman"/>
          <w:sz w:val="28"/>
          <w:szCs w:val="28"/>
        </w:rPr>
        <w:t>31</w:t>
      </w:r>
      <w:r w:rsidRPr="00D11BAB">
        <w:rPr>
          <w:rFonts w:ascii="Times New Roman" w:hAnsi="Times New Roman"/>
          <w:sz w:val="28"/>
          <w:szCs w:val="28"/>
        </w:rPr>
        <w:t xml:space="preserve"> демонстрирует снижение уровня хлора на 23,6% (84±0,7) от </w:t>
      </w:r>
      <w:r w:rsidRPr="00D11BAB">
        <w:rPr>
          <w:rFonts w:ascii="Times New Roman" w:hAnsi="Times New Roman"/>
          <w:sz w:val="28"/>
          <w:szCs w:val="28"/>
        </w:rPr>
        <w:lastRenderedPageBreak/>
        <w:t xml:space="preserve">исходной концентрации, имевшее значение на уровне верхней границы нормы- 110±1,4 ммоль/л. Относительно концентрации хлора отмечается положительная динамика сразу после начала лечения. Далее наблюдается тенденция роста до достижения верхней границы референсных значений к 4 неделе лечения. Магний в сыворотке крови имел аналогичную тенденцию колебания, постепенно снижаясь к 3 месяцу после операции на 30%, что составило 0,75±0,8 ммоль/л. Нормализация уровня магния отмечается к 8 неделе коррекции (рисунок </w:t>
      </w:r>
      <w:r>
        <w:rPr>
          <w:rFonts w:ascii="Times New Roman" w:hAnsi="Times New Roman"/>
          <w:sz w:val="28"/>
          <w:szCs w:val="28"/>
        </w:rPr>
        <w:t>32</w:t>
      </w:r>
      <w:r w:rsidRPr="00D11BAB">
        <w:rPr>
          <w:rFonts w:ascii="Times New Roman" w:hAnsi="Times New Roman"/>
          <w:sz w:val="28"/>
          <w:szCs w:val="28"/>
        </w:rPr>
        <w:t>). Для коррекции электролитных нарушений наряду с основным лечением использовалась нутритивная смесь с широким спектром электролитов. Это способствовало стабилизации концентрации электролитов на всех дальнейших этапах реабилитационного периода.</w:t>
      </w:r>
    </w:p>
    <w:p w14:paraId="55868763" w14:textId="77777777" w:rsidR="00EF5CD6" w:rsidRPr="00D11BAB" w:rsidRDefault="00EF5CD6" w:rsidP="00EF5CD6">
      <w:pPr>
        <w:tabs>
          <w:tab w:val="left" w:pos="567"/>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Коррекция электролитных нарушений проводилась согласно общим правилам. Концентрация натрия в крови измерялась каждые две недели с момента начала лечения электролитного дисбаланса. Среднее время для достижения референсных значений натрия – </w:t>
      </w:r>
      <w:r w:rsidRPr="00D11BAB">
        <w:rPr>
          <w:rFonts w:ascii="Times New Roman" w:hAnsi="Times New Roman"/>
          <w:sz w:val="28"/>
          <w:szCs w:val="28"/>
          <w:lang w:val="kk-KZ"/>
        </w:rPr>
        <w:t>4</w:t>
      </w:r>
      <w:r>
        <w:rPr>
          <w:rFonts w:ascii="Times New Roman" w:hAnsi="Times New Roman"/>
          <w:sz w:val="28"/>
          <w:szCs w:val="28"/>
          <w:lang w:val="kk-KZ"/>
        </w:rPr>
        <w:t xml:space="preserve"> </w:t>
      </w:r>
      <w:proofErr w:type="spellStart"/>
      <w:r w:rsidRPr="00D11BAB">
        <w:rPr>
          <w:rFonts w:ascii="Times New Roman" w:hAnsi="Times New Roman"/>
          <w:sz w:val="28"/>
          <w:szCs w:val="28"/>
        </w:rPr>
        <w:t>недел</w:t>
      </w:r>
      <w:proofErr w:type="spellEnd"/>
      <w:r w:rsidRPr="00D11BAB">
        <w:rPr>
          <w:rFonts w:ascii="Times New Roman" w:hAnsi="Times New Roman"/>
          <w:sz w:val="28"/>
          <w:szCs w:val="28"/>
          <w:lang w:val="kk-KZ"/>
        </w:rPr>
        <w:t>и</w:t>
      </w:r>
      <w:r w:rsidRPr="00D11BAB">
        <w:rPr>
          <w:rFonts w:ascii="Times New Roman" w:hAnsi="Times New Roman"/>
          <w:sz w:val="28"/>
          <w:szCs w:val="28"/>
        </w:rPr>
        <w:t xml:space="preserve">. Исходный уровень натрия сыворотки крови у больных – 135±1,67 ммоль/л. Концентрация натрия в сыворотке крови оставалась ниже референсных значений без существенного повышения в течение первых </w:t>
      </w:r>
      <w:r w:rsidRPr="00D11BAB">
        <w:rPr>
          <w:rFonts w:ascii="Times New Roman" w:hAnsi="Times New Roman"/>
          <w:sz w:val="28"/>
          <w:szCs w:val="28"/>
          <w:lang w:val="kk-KZ"/>
        </w:rPr>
        <w:t>2</w:t>
      </w:r>
      <w:r w:rsidRPr="00D11BAB">
        <w:rPr>
          <w:rFonts w:ascii="Times New Roman" w:hAnsi="Times New Roman"/>
          <w:sz w:val="28"/>
          <w:szCs w:val="28"/>
        </w:rPr>
        <w:t xml:space="preserve"> недель коррекции. Далее наблюдается тенденция роста до достижения верхней границы референсных значений к </w:t>
      </w:r>
      <w:r w:rsidRPr="00D11BAB">
        <w:rPr>
          <w:rFonts w:ascii="Times New Roman" w:hAnsi="Times New Roman"/>
          <w:sz w:val="28"/>
          <w:szCs w:val="28"/>
          <w:lang w:val="kk-KZ"/>
        </w:rPr>
        <w:t xml:space="preserve">4 </w:t>
      </w:r>
      <w:r w:rsidRPr="00D11BAB">
        <w:rPr>
          <w:rFonts w:ascii="Times New Roman" w:hAnsi="Times New Roman"/>
          <w:sz w:val="28"/>
          <w:szCs w:val="28"/>
        </w:rPr>
        <w:t xml:space="preserve">неделе реабилитации. В результате детального наблюдения и своевременной коррекции уровень сывороточного натрия оставался в пределах референсных значений к 12 месяцу реабилитации (рисунок </w:t>
      </w:r>
      <w:r>
        <w:rPr>
          <w:rFonts w:ascii="Times New Roman" w:hAnsi="Times New Roman"/>
          <w:sz w:val="28"/>
          <w:szCs w:val="28"/>
        </w:rPr>
        <w:t>33</w:t>
      </w:r>
      <w:r w:rsidRPr="00D11BAB">
        <w:rPr>
          <w:rFonts w:ascii="Times New Roman" w:hAnsi="Times New Roman"/>
          <w:sz w:val="28"/>
          <w:szCs w:val="28"/>
        </w:rPr>
        <w:t xml:space="preserve">). </w:t>
      </w:r>
    </w:p>
    <w:p w14:paraId="2504D22F" w14:textId="77777777" w:rsidR="00EF5CD6" w:rsidRPr="00D11BAB" w:rsidRDefault="00EF5CD6" w:rsidP="00EF5CD6">
      <w:pPr>
        <w:tabs>
          <w:tab w:val="left" w:pos="0"/>
        </w:tabs>
        <w:spacing w:after="0" w:line="240" w:lineRule="auto"/>
        <w:jc w:val="both"/>
        <w:rPr>
          <w:rFonts w:ascii="Times New Roman" w:hAnsi="Times New Roman"/>
          <w:b/>
          <w:bCs/>
          <w:sz w:val="28"/>
          <w:szCs w:val="28"/>
        </w:rPr>
      </w:pPr>
    </w:p>
    <w:p w14:paraId="45001A28" w14:textId="77777777" w:rsidR="00EF5CD6" w:rsidRPr="00D11BAB" w:rsidRDefault="00EF5CD6" w:rsidP="00EF5CD6">
      <w:pPr>
        <w:tabs>
          <w:tab w:val="left" w:pos="0"/>
        </w:tabs>
        <w:spacing w:after="0" w:line="240" w:lineRule="auto"/>
        <w:ind w:firstLine="567"/>
        <w:jc w:val="both"/>
        <w:rPr>
          <w:rFonts w:ascii="Times New Roman" w:hAnsi="Times New Roman"/>
          <w:b/>
          <w:sz w:val="28"/>
          <w:szCs w:val="28"/>
        </w:rPr>
      </w:pPr>
      <w:r>
        <w:rPr>
          <w:rFonts w:ascii="Times New Roman" w:hAnsi="Times New Roman"/>
          <w:b/>
          <w:sz w:val="28"/>
          <w:szCs w:val="28"/>
        </w:rPr>
        <w:t>4</w:t>
      </w:r>
      <w:r w:rsidRPr="00D11BAB">
        <w:rPr>
          <w:rFonts w:ascii="Times New Roman" w:hAnsi="Times New Roman"/>
          <w:b/>
          <w:sz w:val="28"/>
          <w:szCs w:val="28"/>
        </w:rPr>
        <w:t xml:space="preserve">.4 </w:t>
      </w:r>
      <w:r w:rsidRPr="00D11BAB">
        <w:rPr>
          <w:rFonts w:ascii="Times New Roman" w:hAnsi="Times New Roman"/>
          <w:b/>
          <w:sz w:val="28"/>
          <w:szCs w:val="28"/>
          <w:lang w:bidi="kn-IN"/>
        </w:rPr>
        <w:t>Результаты оценки нутритивной недостаточности у больных после радикального хирургического лечения злокачественных новообразований ободочной кишки</w:t>
      </w:r>
    </w:p>
    <w:p w14:paraId="2FF85C81" w14:textId="77777777" w:rsidR="00EF5CD6" w:rsidRPr="00D11BAB" w:rsidRDefault="00EF5CD6" w:rsidP="00EF5CD6">
      <w:pPr>
        <w:tabs>
          <w:tab w:val="left" w:pos="567"/>
        </w:tabs>
        <w:spacing w:after="0" w:line="240" w:lineRule="auto"/>
        <w:ind w:firstLine="567"/>
        <w:jc w:val="both"/>
        <w:rPr>
          <w:rFonts w:ascii="Times New Roman" w:hAnsi="Times New Roman"/>
          <w:sz w:val="28"/>
          <w:szCs w:val="28"/>
        </w:rPr>
      </w:pPr>
      <w:r w:rsidRPr="00D11BAB">
        <w:rPr>
          <w:rFonts w:ascii="Times New Roman" w:hAnsi="Times New Roman"/>
          <w:sz w:val="28"/>
          <w:szCs w:val="28"/>
        </w:rPr>
        <w:t>Оценка параметров нутритивного статуса проводилась до операции и далее в декретированные сроки (3,</w:t>
      </w:r>
      <w:r>
        <w:rPr>
          <w:rFonts w:ascii="Times New Roman" w:hAnsi="Times New Roman"/>
          <w:sz w:val="28"/>
          <w:szCs w:val="28"/>
        </w:rPr>
        <w:t xml:space="preserve"> </w:t>
      </w:r>
      <w:r w:rsidRPr="00D11BAB">
        <w:rPr>
          <w:rFonts w:ascii="Times New Roman" w:hAnsi="Times New Roman"/>
          <w:sz w:val="28"/>
          <w:szCs w:val="28"/>
        </w:rPr>
        <w:t>6,</w:t>
      </w:r>
      <w:r>
        <w:rPr>
          <w:rFonts w:ascii="Times New Roman" w:hAnsi="Times New Roman"/>
          <w:sz w:val="28"/>
          <w:szCs w:val="28"/>
        </w:rPr>
        <w:t xml:space="preserve"> </w:t>
      </w:r>
      <w:r w:rsidRPr="00D11BAB">
        <w:rPr>
          <w:rFonts w:ascii="Times New Roman" w:hAnsi="Times New Roman"/>
          <w:sz w:val="28"/>
          <w:szCs w:val="28"/>
        </w:rPr>
        <w:t xml:space="preserve">9 и 12 месяцы). Нутритивная недостаточность диагностирована в 51 (40,8%) случаях. Согласно клиническим рекомендациям </w:t>
      </w:r>
      <w:r w:rsidRPr="00D11BAB">
        <w:rPr>
          <w:rFonts w:ascii="Times New Roman" w:hAnsi="Times New Roman"/>
          <w:sz w:val="28"/>
          <w:szCs w:val="28"/>
          <w:lang w:val="en-US"/>
        </w:rPr>
        <w:t>ESPEN</w:t>
      </w:r>
      <w:r w:rsidRPr="00D11BAB">
        <w:rPr>
          <w:rFonts w:ascii="Times New Roman" w:hAnsi="Times New Roman"/>
          <w:sz w:val="28"/>
          <w:szCs w:val="28"/>
        </w:rPr>
        <w:t xml:space="preserve"> </w:t>
      </w:r>
      <w:r w:rsidRPr="00D11BAB">
        <w:rPr>
          <w:rFonts w:ascii="Times New Roman" w:hAnsi="Times New Roman"/>
          <w:sz w:val="28"/>
          <w:szCs w:val="28"/>
        </w:rPr>
        <w:fldChar w:fldCharType="begin"/>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ADDIN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ZOTERO</w:instrText>
      </w:r>
      <w:r w:rsidRPr="00D11BAB">
        <w:rPr>
          <w:rFonts w:ascii="Times New Roman" w:hAnsi="Times New Roman"/>
          <w:sz w:val="28"/>
          <w:szCs w:val="28"/>
        </w:rPr>
        <w:instrText>_</w:instrText>
      </w:r>
      <w:r w:rsidRPr="00D11BAB">
        <w:rPr>
          <w:rFonts w:ascii="Times New Roman" w:hAnsi="Times New Roman"/>
          <w:sz w:val="28"/>
          <w:szCs w:val="28"/>
          <w:lang w:val="en-US"/>
        </w:rPr>
        <w:instrText>ITEM</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CSL</w:instrText>
      </w:r>
      <w:r w:rsidRPr="00D11BAB">
        <w:rPr>
          <w:rFonts w:ascii="Times New Roman" w:hAnsi="Times New Roman"/>
          <w:sz w:val="28"/>
          <w:szCs w:val="28"/>
        </w:rPr>
        <w:instrText>_</w:instrText>
      </w:r>
      <w:r w:rsidRPr="00D11BAB">
        <w:rPr>
          <w:rFonts w:ascii="Times New Roman" w:hAnsi="Times New Roman"/>
          <w:sz w:val="28"/>
          <w:szCs w:val="28"/>
          <w:lang w:val="en-US"/>
        </w:rPr>
        <w:instrText>CITATION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citationID</w:instrText>
      </w:r>
      <w:r w:rsidRPr="00D11BAB">
        <w:rPr>
          <w:rFonts w:ascii="Times New Roman" w:hAnsi="Times New Roman"/>
          <w:sz w:val="28"/>
          <w:szCs w:val="28"/>
        </w:rPr>
        <w:instrText>":"</w:instrText>
      </w:r>
      <w:r w:rsidRPr="00D11BAB">
        <w:rPr>
          <w:rFonts w:ascii="Times New Roman" w:hAnsi="Times New Roman"/>
          <w:sz w:val="28"/>
          <w:szCs w:val="28"/>
          <w:lang w:val="en-US"/>
        </w:rPr>
        <w:instrText>a</w:instrText>
      </w:r>
      <w:r w:rsidRPr="00D11BAB">
        <w:rPr>
          <w:rFonts w:ascii="Times New Roman" w:hAnsi="Times New Roman"/>
          <w:sz w:val="28"/>
          <w:szCs w:val="28"/>
        </w:rPr>
        <w:instrText>1</w:instrText>
      </w:r>
      <w:r w:rsidRPr="00D11BAB">
        <w:rPr>
          <w:rFonts w:ascii="Times New Roman" w:hAnsi="Times New Roman"/>
          <w:sz w:val="28"/>
          <w:szCs w:val="28"/>
          <w:lang w:val="en-US"/>
        </w:rPr>
        <w:instrText>v</w:instrText>
      </w:r>
      <w:r w:rsidRPr="00D11BAB">
        <w:rPr>
          <w:rFonts w:ascii="Times New Roman" w:hAnsi="Times New Roman"/>
          <w:sz w:val="28"/>
          <w:szCs w:val="28"/>
        </w:rPr>
        <w:instrText>01</w:instrText>
      </w:r>
      <w:r w:rsidRPr="00D11BAB">
        <w:rPr>
          <w:rFonts w:ascii="Times New Roman" w:hAnsi="Times New Roman"/>
          <w:sz w:val="28"/>
          <w:szCs w:val="28"/>
          <w:lang w:val="en-US"/>
        </w:rPr>
        <w:instrText>e</w:instrText>
      </w:r>
      <w:r w:rsidRPr="00D11BAB">
        <w:rPr>
          <w:rFonts w:ascii="Times New Roman" w:hAnsi="Times New Roman"/>
          <w:sz w:val="28"/>
          <w:szCs w:val="28"/>
        </w:rPr>
        <w:instrText>979</w:instrText>
      </w:r>
      <w:r w:rsidRPr="00D11BAB">
        <w:rPr>
          <w:rFonts w:ascii="Times New Roman" w:hAnsi="Times New Roman"/>
          <w:sz w:val="28"/>
          <w:szCs w:val="28"/>
          <w:lang w:val="en-US"/>
        </w:rPr>
        <w:instrText>f</w:instrText>
      </w:r>
      <w:r w:rsidRPr="00D11BAB">
        <w:rPr>
          <w:rFonts w:ascii="Times New Roman" w:hAnsi="Times New Roman"/>
          <w:sz w:val="28"/>
          <w:szCs w:val="28"/>
        </w:rPr>
        <w:instrText>8","</w:instrText>
      </w:r>
      <w:r w:rsidRPr="00D11BAB">
        <w:rPr>
          <w:rFonts w:ascii="Times New Roman" w:hAnsi="Times New Roman"/>
          <w:sz w:val="28"/>
          <w:szCs w:val="28"/>
          <w:lang w:val="en-US"/>
        </w:rPr>
        <w:instrText>properties</w:instrText>
      </w:r>
      <w:r w:rsidRPr="00D11BAB">
        <w:rPr>
          <w:rFonts w:ascii="Times New Roman" w:hAnsi="Times New Roman"/>
          <w:sz w:val="28"/>
          <w:szCs w:val="28"/>
        </w:rPr>
        <w:instrText>":{"</w:instrText>
      </w:r>
      <w:r w:rsidRPr="00D11BAB">
        <w:rPr>
          <w:rFonts w:ascii="Times New Roman" w:hAnsi="Times New Roman"/>
          <w:sz w:val="28"/>
          <w:szCs w:val="28"/>
          <w:lang w:val="en-US"/>
        </w:rPr>
        <w:instrText>formattedCitation</w:instrText>
      </w:r>
      <w:r w:rsidRPr="00D11BAB">
        <w:rPr>
          <w:rFonts w:ascii="Times New Roman" w:hAnsi="Times New Roman"/>
          <w:sz w:val="28"/>
          <w:szCs w:val="28"/>
        </w:rPr>
        <w:instrText>":"[221]","</w:instrText>
      </w:r>
      <w:r w:rsidRPr="00D11BAB">
        <w:rPr>
          <w:rFonts w:ascii="Times New Roman" w:hAnsi="Times New Roman"/>
          <w:sz w:val="28"/>
          <w:szCs w:val="28"/>
          <w:lang w:val="en-US"/>
        </w:rPr>
        <w:instrText>plainCitation</w:instrText>
      </w:r>
      <w:r w:rsidRPr="00D11BAB">
        <w:rPr>
          <w:rFonts w:ascii="Times New Roman" w:hAnsi="Times New Roman"/>
          <w:sz w:val="28"/>
          <w:szCs w:val="28"/>
        </w:rPr>
        <w:instrText>":"[221]","</w:instrText>
      </w:r>
      <w:r w:rsidRPr="00D11BAB">
        <w:rPr>
          <w:rFonts w:ascii="Times New Roman" w:hAnsi="Times New Roman"/>
          <w:sz w:val="28"/>
          <w:szCs w:val="28"/>
          <w:lang w:val="en-US"/>
        </w:rPr>
        <w:instrText>noteIndex</w:instrText>
      </w:r>
      <w:r w:rsidRPr="00D11BAB">
        <w:rPr>
          <w:rFonts w:ascii="Times New Roman" w:hAnsi="Times New Roman"/>
          <w:sz w:val="28"/>
          <w:szCs w:val="28"/>
        </w:rPr>
        <w:instrText>":0},"</w:instrText>
      </w:r>
      <w:r w:rsidRPr="00D11BAB">
        <w:rPr>
          <w:rFonts w:ascii="Times New Roman" w:hAnsi="Times New Roman"/>
          <w:sz w:val="28"/>
          <w:szCs w:val="28"/>
          <w:lang w:val="en-US"/>
        </w:rPr>
        <w:instrText>citationItems</w:instrText>
      </w:r>
      <w:r w:rsidRPr="00D11BAB">
        <w:rPr>
          <w:rFonts w:ascii="Times New Roman" w:hAnsi="Times New Roman"/>
          <w:sz w:val="28"/>
          <w:szCs w:val="28"/>
        </w:rPr>
        <w:instrText>":[{"</w:instrText>
      </w:r>
      <w:r w:rsidRPr="00D11BAB">
        <w:rPr>
          <w:rFonts w:ascii="Times New Roman" w:hAnsi="Times New Roman"/>
          <w:sz w:val="28"/>
          <w:szCs w:val="28"/>
          <w:lang w:val="en-US"/>
        </w:rPr>
        <w:instrText>id</w:instrText>
      </w:r>
      <w:r w:rsidRPr="00D11BAB">
        <w:rPr>
          <w:rFonts w:ascii="Times New Roman" w:hAnsi="Times New Roman"/>
          <w:sz w:val="28"/>
          <w:szCs w:val="28"/>
        </w:rPr>
        <w:instrText>":94,"</w:instrText>
      </w:r>
      <w:r w:rsidRPr="00D11BAB">
        <w:rPr>
          <w:rFonts w:ascii="Times New Roman" w:hAnsi="Times New Roman"/>
          <w:sz w:val="28"/>
          <w:szCs w:val="28"/>
          <w:lang w:val="en-US"/>
        </w:rPr>
        <w:instrText>uris</w:instrText>
      </w:r>
      <w:r w:rsidRPr="00D11BAB">
        <w:rPr>
          <w:rFonts w:ascii="Times New Roman" w:hAnsi="Times New Roman"/>
          <w:sz w:val="28"/>
          <w:szCs w:val="28"/>
        </w:rPr>
        <w:instrText>":["</w:instrText>
      </w:r>
      <w:r w:rsidRPr="00D11BAB">
        <w:rPr>
          <w:rFonts w:ascii="Times New Roman" w:hAnsi="Times New Roman"/>
          <w:sz w:val="28"/>
          <w:szCs w:val="28"/>
          <w:lang w:val="en-US"/>
        </w:rPr>
        <w:instrText>http</w:instrText>
      </w:r>
      <w:r w:rsidRPr="00D11BAB">
        <w:rPr>
          <w:rFonts w:ascii="Times New Roman" w:hAnsi="Times New Roman"/>
          <w:sz w:val="28"/>
          <w:szCs w:val="28"/>
        </w:rPr>
        <w:instrText>://</w:instrText>
      </w:r>
      <w:r w:rsidRPr="00D11BAB">
        <w:rPr>
          <w:rFonts w:ascii="Times New Roman" w:hAnsi="Times New Roman"/>
          <w:sz w:val="28"/>
          <w:szCs w:val="28"/>
          <w:lang w:val="en-US"/>
        </w:rPr>
        <w:instrText>zotero</w:instrText>
      </w:r>
      <w:r w:rsidRPr="00D11BAB">
        <w:rPr>
          <w:rFonts w:ascii="Times New Roman" w:hAnsi="Times New Roman"/>
          <w:sz w:val="28"/>
          <w:szCs w:val="28"/>
        </w:rPr>
        <w:instrText>.</w:instrText>
      </w:r>
      <w:r w:rsidRPr="00D11BAB">
        <w:rPr>
          <w:rFonts w:ascii="Times New Roman" w:hAnsi="Times New Roman"/>
          <w:sz w:val="28"/>
          <w:szCs w:val="28"/>
          <w:lang w:val="en-US"/>
        </w:rPr>
        <w:instrText>org</w:instrText>
      </w:r>
      <w:r w:rsidRPr="00D11BAB">
        <w:rPr>
          <w:rFonts w:ascii="Times New Roman" w:hAnsi="Times New Roman"/>
          <w:sz w:val="28"/>
          <w:szCs w:val="28"/>
        </w:rPr>
        <w:instrText>/</w:instrText>
      </w:r>
      <w:r w:rsidRPr="00D11BAB">
        <w:rPr>
          <w:rFonts w:ascii="Times New Roman" w:hAnsi="Times New Roman"/>
          <w:sz w:val="28"/>
          <w:szCs w:val="28"/>
          <w:lang w:val="en-US"/>
        </w:rPr>
        <w:instrText>users</w:instrText>
      </w:r>
      <w:r w:rsidRPr="00D11BAB">
        <w:rPr>
          <w:rFonts w:ascii="Times New Roman" w:hAnsi="Times New Roman"/>
          <w:sz w:val="28"/>
          <w:szCs w:val="28"/>
        </w:rPr>
        <w:instrText>/7388323/</w:instrText>
      </w:r>
      <w:r w:rsidRPr="00D11BAB">
        <w:rPr>
          <w:rFonts w:ascii="Times New Roman" w:hAnsi="Times New Roman"/>
          <w:sz w:val="28"/>
          <w:szCs w:val="28"/>
          <w:lang w:val="en-US"/>
        </w:rPr>
        <w:instrText>items</w:instrText>
      </w:r>
      <w:r w:rsidRPr="00D11BAB">
        <w:rPr>
          <w:rFonts w:ascii="Times New Roman" w:hAnsi="Times New Roman"/>
          <w:sz w:val="28"/>
          <w:szCs w:val="28"/>
        </w:rPr>
        <w:instrText>/</w:instrText>
      </w:r>
      <w:r w:rsidRPr="00D11BAB">
        <w:rPr>
          <w:rFonts w:ascii="Times New Roman" w:hAnsi="Times New Roman"/>
          <w:sz w:val="28"/>
          <w:szCs w:val="28"/>
          <w:lang w:val="en-US"/>
        </w:rPr>
        <w:instrText>QTHFHZPN</w:instrText>
      </w:r>
      <w:r w:rsidRPr="00D11BAB">
        <w:rPr>
          <w:rFonts w:ascii="Times New Roman" w:hAnsi="Times New Roman"/>
          <w:sz w:val="28"/>
          <w:szCs w:val="28"/>
        </w:rPr>
        <w:instrText>"],"</w:instrText>
      </w:r>
      <w:r w:rsidRPr="00D11BAB">
        <w:rPr>
          <w:rFonts w:ascii="Times New Roman" w:hAnsi="Times New Roman"/>
          <w:sz w:val="28"/>
          <w:szCs w:val="28"/>
          <w:lang w:val="en-US"/>
        </w:rPr>
        <w:instrText>uri</w:instrText>
      </w:r>
      <w:r w:rsidRPr="00D11BAB">
        <w:rPr>
          <w:rFonts w:ascii="Times New Roman" w:hAnsi="Times New Roman"/>
          <w:sz w:val="28"/>
          <w:szCs w:val="28"/>
        </w:rPr>
        <w:instrText>":["</w:instrText>
      </w:r>
      <w:r w:rsidRPr="00D11BAB">
        <w:rPr>
          <w:rFonts w:ascii="Times New Roman" w:hAnsi="Times New Roman"/>
          <w:sz w:val="28"/>
          <w:szCs w:val="28"/>
          <w:lang w:val="en-US"/>
        </w:rPr>
        <w:instrText>http</w:instrText>
      </w:r>
      <w:r w:rsidRPr="00D11BAB">
        <w:rPr>
          <w:rFonts w:ascii="Times New Roman" w:hAnsi="Times New Roman"/>
          <w:sz w:val="28"/>
          <w:szCs w:val="28"/>
        </w:rPr>
        <w:instrText>://</w:instrText>
      </w:r>
      <w:r w:rsidRPr="00D11BAB">
        <w:rPr>
          <w:rFonts w:ascii="Times New Roman" w:hAnsi="Times New Roman"/>
          <w:sz w:val="28"/>
          <w:szCs w:val="28"/>
          <w:lang w:val="en-US"/>
        </w:rPr>
        <w:instrText>zotero</w:instrText>
      </w:r>
      <w:r w:rsidRPr="00D11BAB">
        <w:rPr>
          <w:rFonts w:ascii="Times New Roman" w:hAnsi="Times New Roman"/>
          <w:sz w:val="28"/>
          <w:szCs w:val="28"/>
        </w:rPr>
        <w:instrText>.</w:instrText>
      </w:r>
      <w:r w:rsidRPr="00D11BAB">
        <w:rPr>
          <w:rFonts w:ascii="Times New Roman" w:hAnsi="Times New Roman"/>
          <w:sz w:val="28"/>
          <w:szCs w:val="28"/>
          <w:lang w:val="en-US"/>
        </w:rPr>
        <w:instrText>org</w:instrText>
      </w:r>
      <w:r w:rsidRPr="00D11BAB">
        <w:rPr>
          <w:rFonts w:ascii="Times New Roman" w:hAnsi="Times New Roman"/>
          <w:sz w:val="28"/>
          <w:szCs w:val="28"/>
        </w:rPr>
        <w:instrText>/</w:instrText>
      </w:r>
      <w:r w:rsidRPr="00D11BAB">
        <w:rPr>
          <w:rFonts w:ascii="Times New Roman" w:hAnsi="Times New Roman"/>
          <w:sz w:val="28"/>
          <w:szCs w:val="28"/>
          <w:lang w:val="en-US"/>
        </w:rPr>
        <w:instrText>users</w:instrText>
      </w:r>
      <w:r w:rsidRPr="00D11BAB">
        <w:rPr>
          <w:rFonts w:ascii="Times New Roman" w:hAnsi="Times New Roman"/>
          <w:sz w:val="28"/>
          <w:szCs w:val="28"/>
        </w:rPr>
        <w:instrText>/7388323/</w:instrText>
      </w:r>
      <w:r w:rsidRPr="00D11BAB">
        <w:rPr>
          <w:rFonts w:ascii="Times New Roman" w:hAnsi="Times New Roman"/>
          <w:sz w:val="28"/>
          <w:szCs w:val="28"/>
          <w:lang w:val="en-US"/>
        </w:rPr>
        <w:instrText>items</w:instrText>
      </w:r>
      <w:r w:rsidRPr="00D11BAB">
        <w:rPr>
          <w:rFonts w:ascii="Times New Roman" w:hAnsi="Times New Roman"/>
          <w:sz w:val="28"/>
          <w:szCs w:val="28"/>
        </w:rPr>
        <w:instrText>/</w:instrText>
      </w:r>
      <w:r w:rsidRPr="00D11BAB">
        <w:rPr>
          <w:rFonts w:ascii="Times New Roman" w:hAnsi="Times New Roman"/>
          <w:sz w:val="28"/>
          <w:szCs w:val="28"/>
          <w:lang w:val="en-US"/>
        </w:rPr>
        <w:instrText>QTHFHZPN</w:instrText>
      </w:r>
      <w:r w:rsidRPr="00D11BAB">
        <w:rPr>
          <w:rFonts w:ascii="Times New Roman" w:hAnsi="Times New Roman"/>
          <w:sz w:val="28"/>
          <w:szCs w:val="28"/>
        </w:rPr>
        <w:instrText>"],"</w:instrText>
      </w:r>
      <w:r w:rsidRPr="00D11BAB">
        <w:rPr>
          <w:rFonts w:ascii="Times New Roman" w:hAnsi="Times New Roman"/>
          <w:sz w:val="28"/>
          <w:szCs w:val="28"/>
          <w:lang w:val="en-US"/>
        </w:rPr>
        <w:instrText>itemData</w:instrText>
      </w:r>
      <w:r w:rsidRPr="00D11BAB">
        <w:rPr>
          <w:rFonts w:ascii="Times New Roman" w:hAnsi="Times New Roman"/>
          <w:sz w:val="28"/>
          <w:szCs w:val="28"/>
        </w:rPr>
        <w:instrText>":{"</w:instrText>
      </w:r>
      <w:r w:rsidRPr="00D11BAB">
        <w:rPr>
          <w:rFonts w:ascii="Times New Roman" w:hAnsi="Times New Roman"/>
          <w:sz w:val="28"/>
          <w:szCs w:val="28"/>
          <w:lang w:val="en-US"/>
        </w:rPr>
        <w:instrText>id</w:instrText>
      </w:r>
      <w:r w:rsidRPr="00D11BAB">
        <w:rPr>
          <w:rFonts w:ascii="Times New Roman" w:hAnsi="Times New Roman"/>
          <w:sz w:val="28"/>
          <w:szCs w:val="28"/>
        </w:rPr>
        <w:instrText>":94,"</w:instrText>
      </w:r>
      <w:r w:rsidRPr="00D11BAB">
        <w:rPr>
          <w:rFonts w:ascii="Times New Roman" w:hAnsi="Times New Roman"/>
          <w:sz w:val="28"/>
          <w:szCs w:val="28"/>
          <w:lang w:val="en-US"/>
        </w:rPr>
        <w:instrText>type</w:instrText>
      </w:r>
      <w:r w:rsidRPr="00D11BAB">
        <w:rPr>
          <w:rFonts w:ascii="Times New Roman" w:hAnsi="Times New Roman"/>
          <w:sz w:val="28"/>
          <w:szCs w:val="28"/>
        </w:rPr>
        <w:instrText>":"</w:instrText>
      </w:r>
      <w:r w:rsidRPr="00D11BAB">
        <w:rPr>
          <w:rFonts w:ascii="Times New Roman" w:hAnsi="Times New Roman"/>
          <w:sz w:val="28"/>
          <w:szCs w:val="28"/>
          <w:lang w:val="en-US"/>
        </w:rPr>
        <w:instrText>article</w:instrText>
      </w:r>
      <w:r w:rsidRPr="00D11BAB">
        <w:rPr>
          <w:rFonts w:ascii="Times New Roman" w:hAnsi="Times New Roman"/>
          <w:sz w:val="28"/>
          <w:szCs w:val="28"/>
        </w:rPr>
        <w:instrText>-</w:instrText>
      </w:r>
      <w:r w:rsidRPr="00D11BAB">
        <w:rPr>
          <w:rFonts w:ascii="Times New Roman" w:hAnsi="Times New Roman"/>
          <w:sz w:val="28"/>
          <w:szCs w:val="28"/>
          <w:lang w:val="en-US"/>
        </w:rPr>
        <w:instrText>journal</w:instrText>
      </w:r>
      <w:r w:rsidRPr="00D11BAB">
        <w:rPr>
          <w:rFonts w:ascii="Times New Roman" w:hAnsi="Times New Roman"/>
          <w:sz w:val="28"/>
          <w:szCs w:val="28"/>
        </w:rPr>
        <w:instrText>","</w:instrText>
      </w:r>
      <w:r w:rsidRPr="00D11BAB">
        <w:rPr>
          <w:rFonts w:ascii="Times New Roman" w:hAnsi="Times New Roman"/>
          <w:sz w:val="28"/>
          <w:szCs w:val="28"/>
          <w:lang w:val="en-US"/>
        </w:rPr>
        <w:instrText>abstract</w:instrText>
      </w:r>
      <w:r w:rsidRPr="00D11BAB">
        <w:rPr>
          <w:rFonts w:ascii="Times New Roman" w:hAnsi="Times New Roman"/>
          <w:sz w:val="28"/>
          <w:szCs w:val="28"/>
        </w:rPr>
        <w:instrText>":"</w:instrText>
      </w:r>
      <w:r w:rsidRPr="00D11BAB">
        <w:rPr>
          <w:rFonts w:ascii="Times New Roman" w:hAnsi="Times New Roman"/>
          <w:sz w:val="28"/>
          <w:szCs w:val="28"/>
          <w:lang w:val="en-US"/>
        </w:rPr>
        <w:instrText>Cancers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are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among</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leading</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causes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morbidity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and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mortality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worldwide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and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number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new</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cases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expected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rise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signiﬁcantly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over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next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decades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same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time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all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types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cancer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treatment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such</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surgery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radiation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therapy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and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pharmacological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therapies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are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improving</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sophistication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precision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and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power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target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speciﬁc</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characteristics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individual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cancers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Thus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while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many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cancers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may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still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not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cured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may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converted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to</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chronic</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diseases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All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these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treatments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however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are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impeded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precluded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frequent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development</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of</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malnutrition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and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metabolic</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derangements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cancer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patients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induced</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the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tumor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by</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its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treatment</w:instrText>
      </w:r>
      <w:r w:rsidRPr="00D11BAB">
        <w:rPr>
          <w:rFonts w:ascii="Times New Roman" w:hAnsi="Times New Roman"/>
          <w:sz w:val="28"/>
          <w:szCs w:val="28"/>
        </w:rPr>
        <w:instrText>.","</w:instrText>
      </w:r>
      <w:r w:rsidRPr="00D11BAB">
        <w:rPr>
          <w:rFonts w:ascii="Times New Roman" w:hAnsi="Times New Roman"/>
          <w:sz w:val="28"/>
          <w:szCs w:val="28"/>
          <w:lang w:val="en-US"/>
        </w:rPr>
        <w:instrText>container</w:instrText>
      </w:r>
      <w:r w:rsidRPr="00D11BAB">
        <w:rPr>
          <w:rFonts w:ascii="Times New Roman" w:hAnsi="Times New Roman"/>
          <w:sz w:val="28"/>
          <w:szCs w:val="28"/>
        </w:rPr>
        <w:instrText>-</w:instrText>
      </w:r>
      <w:r w:rsidRPr="00D11BAB">
        <w:rPr>
          <w:rFonts w:ascii="Times New Roman" w:hAnsi="Times New Roman"/>
          <w:sz w:val="28"/>
          <w:szCs w:val="28"/>
          <w:lang w:val="en-US"/>
        </w:rPr>
        <w:instrText>title</w:instrText>
      </w:r>
      <w:r w:rsidRPr="00D11BAB">
        <w:rPr>
          <w:rFonts w:ascii="Times New Roman" w:hAnsi="Times New Roman"/>
          <w:sz w:val="28"/>
          <w:szCs w:val="28"/>
        </w:rPr>
        <w:instrText>":"</w:instrText>
      </w:r>
      <w:r w:rsidRPr="00D11BAB">
        <w:rPr>
          <w:rFonts w:ascii="Times New Roman" w:hAnsi="Times New Roman"/>
          <w:sz w:val="28"/>
          <w:szCs w:val="28"/>
          <w:lang w:val="en-US"/>
        </w:rPr>
        <w:instrText>Clinical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Nutrition</w:instrText>
      </w:r>
      <w:r w:rsidRPr="00D11BAB">
        <w:rPr>
          <w:rFonts w:ascii="Times New Roman" w:hAnsi="Times New Roman"/>
          <w:sz w:val="28"/>
          <w:szCs w:val="28"/>
        </w:rPr>
        <w:instrText>","</w:instrText>
      </w:r>
      <w:r w:rsidRPr="00D11BAB">
        <w:rPr>
          <w:rFonts w:ascii="Times New Roman" w:hAnsi="Times New Roman"/>
          <w:sz w:val="28"/>
          <w:szCs w:val="28"/>
          <w:lang w:val="en-US"/>
        </w:rPr>
        <w:instrText>DOI</w:instrText>
      </w:r>
      <w:r w:rsidRPr="00D11BAB">
        <w:rPr>
          <w:rFonts w:ascii="Times New Roman" w:hAnsi="Times New Roman"/>
          <w:sz w:val="28"/>
          <w:szCs w:val="28"/>
        </w:rPr>
        <w:instrText>":"10.1016/</w:instrText>
      </w:r>
      <w:r w:rsidRPr="00D11BAB">
        <w:rPr>
          <w:rFonts w:ascii="Times New Roman" w:hAnsi="Times New Roman"/>
          <w:sz w:val="28"/>
          <w:szCs w:val="28"/>
          <w:lang w:val="en-US"/>
        </w:rPr>
        <w:instrText>j</w:instrText>
      </w:r>
      <w:r w:rsidRPr="00D11BAB">
        <w:rPr>
          <w:rFonts w:ascii="Times New Roman" w:hAnsi="Times New Roman"/>
          <w:sz w:val="28"/>
          <w:szCs w:val="28"/>
        </w:rPr>
        <w:instrText>.</w:instrText>
      </w:r>
      <w:r w:rsidRPr="00D11BAB">
        <w:rPr>
          <w:rFonts w:ascii="Times New Roman" w:hAnsi="Times New Roman"/>
          <w:sz w:val="28"/>
          <w:szCs w:val="28"/>
          <w:lang w:val="en-US"/>
        </w:rPr>
        <w:instrText>clnu</w:instrText>
      </w:r>
      <w:r w:rsidRPr="00D11BAB">
        <w:rPr>
          <w:rFonts w:ascii="Times New Roman" w:hAnsi="Times New Roman"/>
          <w:sz w:val="28"/>
          <w:szCs w:val="28"/>
        </w:rPr>
        <w:instrText>.2016.07.015","</w:instrText>
      </w:r>
      <w:r w:rsidRPr="00D11BAB">
        <w:rPr>
          <w:rFonts w:ascii="Times New Roman" w:hAnsi="Times New Roman"/>
          <w:sz w:val="28"/>
          <w:szCs w:val="28"/>
          <w:lang w:val="en-US"/>
        </w:rPr>
        <w:instrText>ISSN</w:instrText>
      </w:r>
      <w:r w:rsidRPr="00D11BAB">
        <w:rPr>
          <w:rFonts w:ascii="Times New Roman" w:hAnsi="Times New Roman"/>
          <w:sz w:val="28"/>
          <w:szCs w:val="28"/>
        </w:rPr>
        <w:instrText>":"02615614","</w:instrText>
      </w:r>
      <w:r w:rsidRPr="00D11BAB">
        <w:rPr>
          <w:rFonts w:ascii="Times New Roman" w:hAnsi="Times New Roman"/>
          <w:sz w:val="28"/>
          <w:szCs w:val="28"/>
          <w:lang w:val="en-US"/>
        </w:rPr>
        <w:instrText>issue</w:instrText>
      </w:r>
      <w:r w:rsidRPr="00D11BAB">
        <w:rPr>
          <w:rFonts w:ascii="Times New Roman" w:hAnsi="Times New Roman"/>
          <w:sz w:val="28"/>
          <w:szCs w:val="28"/>
        </w:rPr>
        <w:instrText>":"1","</w:instrText>
      </w:r>
      <w:r w:rsidRPr="00D11BAB">
        <w:rPr>
          <w:rFonts w:ascii="Times New Roman" w:hAnsi="Times New Roman"/>
          <w:sz w:val="28"/>
          <w:szCs w:val="28"/>
          <w:lang w:val="en-US"/>
        </w:rPr>
        <w:instrText>journalAbbreviation</w:instrText>
      </w:r>
      <w:r w:rsidRPr="00D11BAB">
        <w:rPr>
          <w:rFonts w:ascii="Times New Roman" w:hAnsi="Times New Roman"/>
          <w:sz w:val="28"/>
          <w:szCs w:val="28"/>
        </w:rPr>
        <w:instrText>":"</w:instrText>
      </w:r>
      <w:r w:rsidRPr="00D11BAB">
        <w:rPr>
          <w:rFonts w:ascii="Times New Roman" w:hAnsi="Times New Roman"/>
          <w:sz w:val="28"/>
          <w:szCs w:val="28"/>
          <w:lang w:val="en-US"/>
        </w:rPr>
        <w:instrText>Clinical</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Nutrition</w:instrText>
      </w:r>
      <w:r w:rsidRPr="00D11BAB">
        <w:rPr>
          <w:rFonts w:ascii="Times New Roman" w:hAnsi="Times New Roman"/>
          <w:sz w:val="28"/>
          <w:szCs w:val="28"/>
        </w:rPr>
        <w:instrText>","</w:instrText>
      </w:r>
      <w:r w:rsidRPr="00D11BAB">
        <w:rPr>
          <w:rFonts w:ascii="Times New Roman" w:hAnsi="Times New Roman"/>
          <w:sz w:val="28"/>
          <w:szCs w:val="28"/>
          <w:lang w:val="en-US"/>
        </w:rPr>
        <w:instrText>language</w:instrText>
      </w:r>
      <w:r w:rsidRPr="00D11BAB">
        <w:rPr>
          <w:rFonts w:ascii="Times New Roman" w:hAnsi="Times New Roman"/>
          <w:sz w:val="28"/>
          <w:szCs w:val="28"/>
        </w:rPr>
        <w:instrText>":"</w:instrText>
      </w:r>
      <w:r w:rsidRPr="00D11BAB">
        <w:rPr>
          <w:rFonts w:ascii="Times New Roman" w:hAnsi="Times New Roman"/>
          <w:sz w:val="28"/>
          <w:szCs w:val="28"/>
          <w:lang w:val="en-US"/>
        </w:rPr>
        <w:instrText>en</w:instrText>
      </w:r>
      <w:r w:rsidRPr="00D11BAB">
        <w:rPr>
          <w:rFonts w:ascii="Times New Roman" w:hAnsi="Times New Roman"/>
          <w:sz w:val="28"/>
          <w:szCs w:val="28"/>
        </w:rPr>
        <w:instrText>","</w:instrText>
      </w:r>
      <w:r w:rsidRPr="00D11BAB">
        <w:rPr>
          <w:rFonts w:ascii="Times New Roman" w:hAnsi="Times New Roman"/>
          <w:sz w:val="28"/>
          <w:szCs w:val="28"/>
          <w:lang w:val="en-US"/>
        </w:rPr>
        <w:instrText>page</w:instrText>
      </w:r>
      <w:r w:rsidRPr="00D11BAB">
        <w:rPr>
          <w:rFonts w:ascii="Times New Roman" w:hAnsi="Times New Roman"/>
          <w:sz w:val="28"/>
          <w:szCs w:val="28"/>
        </w:rPr>
        <w:instrText>":"11-48","</w:instrText>
      </w:r>
      <w:r w:rsidRPr="00D11BAB">
        <w:rPr>
          <w:rFonts w:ascii="Times New Roman" w:hAnsi="Times New Roman"/>
          <w:sz w:val="28"/>
          <w:szCs w:val="28"/>
          <w:lang w:val="en-US"/>
        </w:rPr>
        <w:instrText>source</w:instrText>
      </w:r>
      <w:r w:rsidRPr="00D11BAB">
        <w:rPr>
          <w:rFonts w:ascii="Times New Roman" w:hAnsi="Times New Roman"/>
          <w:sz w:val="28"/>
          <w:szCs w:val="28"/>
        </w:rPr>
        <w:instrText>":"</w:instrText>
      </w:r>
      <w:r w:rsidRPr="00D11BAB">
        <w:rPr>
          <w:rFonts w:ascii="Times New Roman" w:hAnsi="Times New Roman"/>
          <w:sz w:val="28"/>
          <w:szCs w:val="28"/>
          <w:lang w:val="en-US"/>
        </w:rPr>
        <w:instrText>DOI</w:instrText>
      </w:r>
      <w:r w:rsidRPr="00D11BAB">
        <w:rPr>
          <w:rFonts w:ascii="Times New Roman" w:hAnsi="Times New Roman"/>
          <w:sz w:val="28"/>
          <w:szCs w:val="28"/>
        </w:rPr>
        <w:instrText>.</w:instrText>
      </w:r>
      <w:r w:rsidRPr="00D11BAB">
        <w:rPr>
          <w:rFonts w:ascii="Times New Roman" w:hAnsi="Times New Roman"/>
          <w:sz w:val="28"/>
          <w:szCs w:val="28"/>
          <w:lang w:val="en-US"/>
        </w:rPr>
        <w:instrText>org</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Crossref</w:instrText>
      </w:r>
      <w:r w:rsidRPr="00D11BAB">
        <w:rPr>
          <w:rFonts w:ascii="Times New Roman" w:hAnsi="Times New Roman"/>
          <w:sz w:val="28"/>
          <w:szCs w:val="28"/>
        </w:rPr>
        <w:instrText>)","</w:instrText>
      </w:r>
      <w:r w:rsidRPr="00D11BAB">
        <w:rPr>
          <w:rFonts w:ascii="Times New Roman" w:hAnsi="Times New Roman"/>
          <w:sz w:val="28"/>
          <w:szCs w:val="28"/>
          <w:lang w:val="en-US"/>
        </w:rPr>
        <w:instrText>title</w:instrText>
      </w:r>
      <w:r w:rsidRPr="00D11BAB">
        <w:rPr>
          <w:rFonts w:ascii="Times New Roman" w:hAnsi="Times New Roman"/>
          <w:sz w:val="28"/>
          <w:szCs w:val="28"/>
        </w:rPr>
        <w:instrText>":"</w:instrText>
      </w:r>
      <w:r w:rsidRPr="00D11BAB">
        <w:rPr>
          <w:rFonts w:ascii="Times New Roman" w:hAnsi="Times New Roman"/>
          <w:sz w:val="28"/>
          <w:szCs w:val="28"/>
          <w:lang w:val="en-US"/>
        </w:rPr>
        <w:instrText>ESPEN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guidelines</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nutrition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in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cancer</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patients</w:instrText>
      </w:r>
      <w:r w:rsidRPr="00D11BAB">
        <w:rPr>
          <w:rFonts w:ascii="Times New Roman" w:hAnsi="Times New Roman"/>
          <w:sz w:val="28"/>
          <w:szCs w:val="28"/>
        </w:rPr>
        <w:instrText>","</w:instrText>
      </w:r>
      <w:r w:rsidRPr="00D11BAB">
        <w:rPr>
          <w:rFonts w:ascii="Times New Roman" w:hAnsi="Times New Roman"/>
          <w:sz w:val="28"/>
          <w:szCs w:val="28"/>
          <w:lang w:val="en-US"/>
        </w:rPr>
        <w:instrText>URL</w:instrText>
      </w:r>
      <w:r w:rsidRPr="00D11BAB">
        <w:rPr>
          <w:rFonts w:ascii="Times New Roman" w:hAnsi="Times New Roman"/>
          <w:sz w:val="28"/>
          <w:szCs w:val="28"/>
        </w:rPr>
        <w:instrText>":"</w:instrText>
      </w:r>
      <w:r w:rsidRPr="00D11BAB">
        <w:rPr>
          <w:rFonts w:ascii="Times New Roman" w:hAnsi="Times New Roman"/>
          <w:sz w:val="28"/>
          <w:szCs w:val="28"/>
          <w:lang w:val="en-US"/>
        </w:rPr>
        <w:instrText>https</w:instrText>
      </w:r>
      <w:r w:rsidRPr="00D11BAB">
        <w:rPr>
          <w:rFonts w:ascii="Times New Roman" w:hAnsi="Times New Roman"/>
          <w:sz w:val="28"/>
          <w:szCs w:val="28"/>
        </w:rPr>
        <w:instrText>://</w:instrText>
      </w:r>
      <w:r w:rsidRPr="00D11BAB">
        <w:rPr>
          <w:rFonts w:ascii="Times New Roman" w:hAnsi="Times New Roman"/>
          <w:sz w:val="28"/>
          <w:szCs w:val="28"/>
          <w:lang w:val="en-US"/>
        </w:rPr>
        <w:instrText>linkinghub</w:instrText>
      </w:r>
      <w:r w:rsidRPr="00D11BAB">
        <w:rPr>
          <w:rFonts w:ascii="Times New Roman" w:hAnsi="Times New Roman"/>
          <w:sz w:val="28"/>
          <w:szCs w:val="28"/>
        </w:rPr>
        <w:instrText>.</w:instrText>
      </w:r>
      <w:r w:rsidRPr="00D11BAB">
        <w:rPr>
          <w:rFonts w:ascii="Times New Roman" w:hAnsi="Times New Roman"/>
          <w:sz w:val="28"/>
          <w:szCs w:val="28"/>
          <w:lang w:val="en-US"/>
        </w:rPr>
        <w:instrText>elsevier</w:instrText>
      </w:r>
      <w:r w:rsidRPr="00D11BAB">
        <w:rPr>
          <w:rFonts w:ascii="Times New Roman" w:hAnsi="Times New Roman"/>
          <w:sz w:val="28"/>
          <w:szCs w:val="28"/>
        </w:rPr>
        <w:instrText>.</w:instrText>
      </w:r>
      <w:r w:rsidRPr="00D11BAB">
        <w:rPr>
          <w:rFonts w:ascii="Times New Roman" w:hAnsi="Times New Roman"/>
          <w:sz w:val="28"/>
          <w:szCs w:val="28"/>
          <w:lang w:val="en-US"/>
        </w:rPr>
        <w:instrText>com</w:instrText>
      </w:r>
      <w:r w:rsidRPr="00D11BAB">
        <w:rPr>
          <w:rFonts w:ascii="Times New Roman" w:hAnsi="Times New Roman"/>
          <w:sz w:val="28"/>
          <w:szCs w:val="28"/>
        </w:rPr>
        <w:instrText>/</w:instrText>
      </w:r>
      <w:r w:rsidRPr="00D11BAB">
        <w:rPr>
          <w:rFonts w:ascii="Times New Roman" w:hAnsi="Times New Roman"/>
          <w:sz w:val="28"/>
          <w:szCs w:val="28"/>
          <w:lang w:val="en-US"/>
        </w:rPr>
        <w:instrText>retrieve</w:instrText>
      </w:r>
      <w:r w:rsidRPr="00D11BAB">
        <w:rPr>
          <w:rFonts w:ascii="Times New Roman" w:hAnsi="Times New Roman"/>
          <w:sz w:val="28"/>
          <w:szCs w:val="28"/>
        </w:rPr>
        <w:instrText>/</w:instrText>
      </w:r>
      <w:r w:rsidRPr="00D11BAB">
        <w:rPr>
          <w:rFonts w:ascii="Times New Roman" w:hAnsi="Times New Roman"/>
          <w:sz w:val="28"/>
          <w:szCs w:val="28"/>
          <w:lang w:val="en-US"/>
        </w:rPr>
        <w:instrText>pii</w:instrText>
      </w:r>
      <w:r w:rsidRPr="00D11BAB">
        <w:rPr>
          <w:rFonts w:ascii="Times New Roman" w:hAnsi="Times New Roman"/>
          <w:sz w:val="28"/>
          <w:szCs w:val="28"/>
        </w:rPr>
        <w:instrText>/</w:instrText>
      </w:r>
      <w:r w:rsidRPr="00D11BAB">
        <w:rPr>
          <w:rFonts w:ascii="Times New Roman" w:hAnsi="Times New Roman"/>
          <w:sz w:val="28"/>
          <w:szCs w:val="28"/>
          <w:lang w:val="en-US"/>
        </w:rPr>
        <w:instrText>S</w:instrText>
      </w:r>
      <w:r w:rsidRPr="00D11BAB">
        <w:rPr>
          <w:rFonts w:ascii="Times New Roman" w:hAnsi="Times New Roman"/>
          <w:sz w:val="28"/>
          <w:szCs w:val="28"/>
        </w:rPr>
        <w:instrText>0261561416301819","</w:instrText>
      </w:r>
      <w:r w:rsidRPr="00D11BAB">
        <w:rPr>
          <w:rFonts w:ascii="Times New Roman" w:hAnsi="Times New Roman"/>
          <w:sz w:val="28"/>
          <w:szCs w:val="28"/>
          <w:lang w:val="en-US"/>
        </w:rPr>
        <w:instrText>volume</w:instrText>
      </w:r>
      <w:r w:rsidRPr="00D11BAB">
        <w:rPr>
          <w:rFonts w:ascii="Times New Roman" w:hAnsi="Times New Roman"/>
          <w:sz w:val="28"/>
          <w:szCs w:val="28"/>
        </w:rPr>
        <w:instrText>":"36","</w:instrText>
      </w:r>
      <w:r w:rsidRPr="00D11BAB">
        <w:rPr>
          <w:rFonts w:ascii="Times New Roman" w:hAnsi="Times New Roman"/>
          <w:sz w:val="28"/>
          <w:szCs w:val="28"/>
          <w:lang w:val="en-US"/>
        </w:rPr>
        <w:instrText>author</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Arends</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Jann</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Bachmann</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Patrick</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Baracos</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Vickie</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Barthelemy</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Nicole</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Bertz</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Hartmut</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Bozzetti</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Federico</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Fearon</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Ken</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H</w:instrText>
      </w:r>
      <w:r w:rsidRPr="00D11BAB">
        <w:rPr>
          <w:rFonts w:ascii="Times New Roman" w:hAnsi="Times New Roman"/>
          <w:sz w:val="28"/>
          <w:szCs w:val="28"/>
        </w:rPr>
        <w:instrText>ü</w:instrText>
      </w:r>
      <w:r w:rsidRPr="00D11BAB">
        <w:rPr>
          <w:rFonts w:ascii="Times New Roman" w:hAnsi="Times New Roman"/>
          <w:sz w:val="28"/>
          <w:szCs w:val="28"/>
          <w:lang w:val="en-US"/>
        </w:rPr>
        <w:instrText>tterer</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Elisabeth</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Isenring</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Elizabeth</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Kaasa</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Stein</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Krznaric</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Zeljko</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Laird</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Barry</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Larsson</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Maria</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Laviano</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Alessandro</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M</w:instrText>
      </w:r>
      <w:r w:rsidRPr="00D11BAB">
        <w:rPr>
          <w:rFonts w:ascii="Times New Roman" w:hAnsi="Times New Roman"/>
          <w:sz w:val="28"/>
          <w:szCs w:val="28"/>
        </w:rPr>
        <w:instrText>ü</w:instrText>
      </w:r>
      <w:r w:rsidRPr="00D11BAB">
        <w:rPr>
          <w:rFonts w:ascii="Times New Roman" w:hAnsi="Times New Roman"/>
          <w:sz w:val="28"/>
          <w:szCs w:val="28"/>
          <w:lang w:val="en-US"/>
        </w:rPr>
        <w:instrText>hlebach</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Stefan</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Muscaritoli</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Maurizio</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Oldervoll</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Line</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Ravasco</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Paula</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Solheim</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Tora</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Strasser</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Florian</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Schueren</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Marian</w:instrText>
      </w:r>
      <w:r w:rsidRPr="00D11BAB">
        <w:rPr>
          <w:rFonts w:ascii="Times New Roman" w:hAnsi="Times New Roman"/>
          <w:sz w:val="28"/>
          <w:szCs w:val="28"/>
        </w:rPr>
        <w:instrText>","</w:instrText>
      </w:r>
      <w:r w:rsidRPr="00D11BAB">
        <w:rPr>
          <w:rFonts w:ascii="Times New Roman" w:hAnsi="Times New Roman"/>
          <w:sz w:val="28"/>
          <w:szCs w:val="28"/>
          <w:lang w:val="en-US"/>
        </w:rPr>
        <w:instrText>non</w:instrText>
      </w:r>
      <w:r w:rsidRPr="00D11BAB">
        <w:rPr>
          <w:rFonts w:ascii="Times New Roman" w:hAnsi="Times New Roman"/>
          <w:sz w:val="28"/>
          <w:szCs w:val="28"/>
        </w:rPr>
        <w:instrText>-</w:instrText>
      </w:r>
      <w:r w:rsidRPr="00D11BAB">
        <w:rPr>
          <w:rFonts w:ascii="Times New Roman" w:hAnsi="Times New Roman"/>
          <w:sz w:val="28"/>
          <w:szCs w:val="28"/>
          <w:lang w:val="en-US"/>
        </w:rPr>
        <w:instrText>dropping</w:instrText>
      </w:r>
      <w:r w:rsidRPr="00D11BAB">
        <w:rPr>
          <w:rFonts w:ascii="Times New Roman" w:hAnsi="Times New Roman"/>
          <w:sz w:val="28"/>
          <w:szCs w:val="28"/>
        </w:rPr>
        <w:instrText>-</w:instrText>
      </w:r>
      <w:r w:rsidRPr="00D11BAB">
        <w:rPr>
          <w:rFonts w:ascii="Times New Roman" w:hAnsi="Times New Roman"/>
          <w:sz w:val="28"/>
          <w:szCs w:val="28"/>
          <w:lang w:val="en-US"/>
        </w:rPr>
        <w:instrText>particle</w:instrText>
      </w:r>
      <w:r w:rsidRPr="00D11BAB">
        <w:rPr>
          <w:rFonts w:ascii="Times New Roman" w:hAnsi="Times New Roman"/>
          <w:sz w:val="28"/>
          <w:szCs w:val="28"/>
        </w:rPr>
        <w:instrText>":"</w:instrText>
      </w:r>
      <w:r w:rsidRPr="00D11BAB">
        <w:rPr>
          <w:rFonts w:ascii="Times New Roman" w:hAnsi="Times New Roman"/>
          <w:sz w:val="28"/>
          <w:szCs w:val="28"/>
          <w:lang w:val="en-US"/>
        </w:rPr>
        <w:instrText>de</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van</w:instrText>
      </w:r>
      <w:r w:rsidRPr="00D11BAB">
        <w:rPr>
          <w:rFonts w:ascii="Times New Roman" w:hAnsi="Times New Roman"/>
          <w:sz w:val="28"/>
          <w:szCs w:val="28"/>
        </w:rPr>
        <w:instrText xml:space="preserve"> </w:instrText>
      </w:r>
      <w:r w:rsidRPr="00D11BAB">
        <w:rPr>
          <w:rFonts w:ascii="Times New Roman" w:hAnsi="Times New Roman"/>
          <w:sz w:val="28"/>
          <w:szCs w:val="28"/>
          <w:lang w:val="en-US"/>
        </w:rPr>
        <w:instrText>der</w:instrText>
      </w:r>
      <w:r w:rsidRPr="00D11BAB">
        <w:rPr>
          <w:rFonts w:ascii="Times New Roman" w:hAnsi="Times New Roman"/>
          <w:sz w:val="28"/>
          <w:szCs w:val="28"/>
        </w:rPr>
        <w:instrText>"},{"</w:instrText>
      </w:r>
      <w:r w:rsidRPr="00D11BAB">
        <w:rPr>
          <w:rFonts w:ascii="Times New Roman" w:hAnsi="Times New Roman"/>
          <w:sz w:val="28"/>
          <w:szCs w:val="28"/>
          <w:lang w:val="en-US"/>
        </w:rPr>
        <w:instrText>family</w:instrText>
      </w:r>
      <w:r w:rsidRPr="00D11BAB">
        <w:rPr>
          <w:rFonts w:ascii="Times New Roman" w:hAnsi="Times New Roman"/>
          <w:sz w:val="28"/>
          <w:szCs w:val="28"/>
        </w:rPr>
        <w:instrText>":"</w:instrText>
      </w:r>
      <w:r w:rsidRPr="00D11BAB">
        <w:rPr>
          <w:rFonts w:ascii="Times New Roman" w:hAnsi="Times New Roman"/>
          <w:sz w:val="28"/>
          <w:szCs w:val="28"/>
          <w:lang w:val="en-US"/>
        </w:rPr>
        <w:instrText>Preiser</w:instrText>
      </w:r>
      <w:r w:rsidRPr="00D11BAB">
        <w:rPr>
          <w:rFonts w:ascii="Times New Roman" w:hAnsi="Times New Roman"/>
          <w:sz w:val="28"/>
          <w:szCs w:val="28"/>
        </w:rPr>
        <w:instrText>","</w:instrText>
      </w:r>
      <w:r w:rsidRPr="00D11BAB">
        <w:rPr>
          <w:rFonts w:ascii="Times New Roman" w:hAnsi="Times New Roman"/>
          <w:sz w:val="28"/>
          <w:szCs w:val="28"/>
          <w:lang w:val="en-US"/>
        </w:rPr>
        <w:instrText>given</w:instrText>
      </w:r>
      <w:r w:rsidRPr="00D11BAB">
        <w:rPr>
          <w:rFonts w:ascii="Times New Roman" w:hAnsi="Times New Roman"/>
          <w:sz w:val="28"/>
          <w:szCs w:val="28"/>
        </w:rPr>
        <w:instrText>":"</w:instrText>
      </w:r>
      <w:r w:rsidRPr="00D11BAB">
        <w:rPr>
          <w:rFonts w:ascii="Times New Roman" w:hAnsi="Times New Roman"/>
          <w:sz w:val="28"/>
          <w:szCs w:val="28"/>
          <w:lang w:val="en-US"/>
        </w:rPr>
        <w:instrText>Jean</w:instrText>
      </w:r>
      <w:r w:rsidRPr="00D11BAB">
        <w:rPr>
          <w:rFonts w:ascii="Times New Roman" w:hAnsi="Times New Roman"/>
          <w:sz w:val="28"/>
          <w:szCs w:val="28"/>
        </w:rPr>
        <w:instrText>-</w:instrText>
      </w:r>
      <w:r w:rsidRPr="00D11BAB">
        <w:rPr>
          <w:rFonts w:ascii="Times New Roman" w:hAnsi="Times New Roman"/>
          <w:sz w:val="28"/>
          <w:szCs w:val="28"/>
          <w:lang w:val="en-US"/>
        </w:rPr>
        <w:instrText>Charles</w:instrText>
      </w:r>
      <w:r w:rsidRPr="00D11BAB">
        <w:rPr>
          <w:rFonts w:ascii="Times New Roman" w:hAnsi="Times New Roman"/>
          <w:sz w:val="28"/>
          <w:szCs w:val="28"/>
        </w:rPr>
        <w:instrText>"}],"</w:instrText>
      </w:r>
      <w:r w:rsidRPr="00D11BAB">
        <w:rPr>
          <w:rFonts w:ascii="Times New Roman" w:hAnsi="Times New Roman"/>
          <w:sz w:val="28"/>
          <w:szCs w:val="28"/>
          <w:lang w:val="en-US"/>
        </w:rPr>
        <w:instrText>accessed</w:instrText>
      </w:r>
      <w:r w:rsidRPr="00D11BAB">
        <w:rPr>
          <w:rFonts w:ascii="Times New Roman" w:hAnsi="Times New Roman"/>
          <w:sz w:val="28"/>
          <w:szCs w:val="28"/>
        </w:rPr>
        <w:instrText>":{"</w:instrText>
      </w:r>
      <w:r w:rsidRPr="00D11BAB">
        <w:rPr>
          <w:rFonts w:ascii="Times New Roman" w:hAnsi="Times New Roman"/>
          <w:sz w:val="28"/>
          <w:szCs w:val="28"/>
          <w:lang w:val="en-US"/>
        </w:rPr>
        <w:instrText>date</w:instrText>
      </w:r>
      <w:r w:rsidRPr="00D11BAB">
        <w:rPr>
          <w:rFonts w:ascii="Times New Roman" w:hAnsi="Times New Roman"/>
          <w:sz w:val="28"/>
          <w:szCs w:val="28"/>
        </w:rPr>
        <w:instrText>-</w:instrText>
      </w:r>
      <w:r w:rsidRPr="00D11BAB">
        <w:rPr>
          <w:rFonts w:ascii="Times New Roman" w:hAnsi="Times New Roman"/>
          <w:sz w:val="28"/>
          <w:szCs w:val="28"/>
          <w:lang w:val="en-US"/>
        </w:rPr>
        <w:instrText>parts</w:instrText>
      </w:r>
      <w:r w:rsidRPr="00D11BAB">
        <w:rPr>
          <w:rFonts w:ascii="Times New Roman" w:hAnsi="Times New Roman"/>
          <w:sz w:val="28"/>
          <w:szCs w:val="28"/>
        </w:rPr>
        <w:instrText>":[["2020",8,5]]},"</w:instrText>
      </w:r>
      <w:r w:rsidRPr="00D11BAB">
        <w:rPr>
          <w:rFonts w:ascii="Times New Roman" w:hAnsi="Times New Roman"/>
          <w:sz w:val="28"/>
          <w:szCs w:val="28"/>
          <w:lang w:val="en-US"/>
        </w:rPr>
        <w:instrText>issued</w:instrText>
      </w:r>
      <w:r w:rsidRPr="00D11BAB">
        <w:rPr>
          <w:rFonts w:ascii="Times New Roman" w:hAnsi="Times New Roman"/>
          <w:sz w:val="28"/>
          <w:szCs w:val="28"/>
        </w:rPr>
        <w:instrText>":{"</w:instrText>
      </w:r>
      <w:r w:rsidRPr="00D11BAB">
        <w:rPr>
          <w:rFonts w:ascii="Times New Roman" w:hAnsi="Times New Roman"/>
          <w:sz w:val="28"/>
          <w:szCs w:val="28"/>
          <w:lang w:val="en-US"/>
        </w:rPr>
        <w:instrText>date</w:instrText>
      </w:r>
      <w:r w:rsidRPr="00D11BAB">
        <w:rPr>
          <w:rFonts w:ascii="Times New Roman" w:hAnsi="Times New Roman"/>
          <w:sz w:val="28"/>
          <w:szCs w:val="28"/>
        </w:rPr>
        <w:instrText>-</w:instrText>
      </w:r>
      <w:r w:rsidRPr="00D11BAB">
        <w:rPr>
          <w:rFonts w:ascii="Times New Roman" w:hAnsi="Times New Roman"/>
          <w:sz w:val="28"/>
          <w:szCs w:val="28"/>
          <w:lang w:val="en-US"/>
        </w:rPr>
        <w:instrText>parts</w:instrText>
      </w:r>
      <w:r w:rsidRPr="00D11BAB">
        <w:rPr>
          <w:rFonts w:ascii="Times New Roman" w:hAnsi="Times New Roman"/>
          <w:sz w:val="28"/>
          <w:szCs w:val="28"/>
        </w:rPr>
        <w:instrText>":[["2017",2]]}}}],"</w:instrText>
      </w:r>
      <w:r w:rsidRPr="00D11BAB">
        <w:rPr>
          <w:rFonts w:ascii="Times New Roman" w:hAnsi="Times New Roman"/>
          <w:sz w:val="28"/>
          <w:szCs w:val="28"/>
          <w:lang w:val="en-US"/>
        </w:rPr>
        <w:instrText>schema</w:instrText>
      </w:r>
      <w:r w:rsidRPr="00D11BAB">
        <w:rPr>
          <w:rFonts w:ascii="Times New Roman" w:hAnsi="Times New Roman"/>
          <w:sz w:val="28"/>
          <w:szCs w:val="28"/>
        </w:rPr>
        <w:instrText>":"</w:instrText>
      </w:r>
      <w:r w:rsidRPr="00D11BAB">
        <w:rPr>
          <w:rFonts w:ascii="Times New Roman" w:hAnsi="Times New Roman"/>
          <w:sz w:val="28"/>
          <w:szCs w:val="28"/>
          <w:lang w:val="en-US"/>
        </w:rPr>
        <w:instrText>https</w:instrText>
      </w:r>
      <w:r w:rsidRPr="00D11BAB">
        <w:rPr>
          <w:rFonts w:ascii="Times New Roman" w:hAnsi="Times New Roman"/>
          <w:sz w:val="28"/>
          <w:szCs w:val="28"/>
        </w:rPr>
        <w:instrText>://</w:instrText>
      </w:r>
      <w:r w:rsidRPr="00D11BAB">
        <w:rPr>
          <w:rFonts w:ascii="Times New Roman" w:hAnsi="Times New Roman"/>
          <w:sz w:val="28"/>
          <w:szCs w:val="28"/>
          <w:lang w:val="en-US"/>
        </w:rPr>
        <w:instrText>github</w:instrText>
      </w:r>
      <w:r w:rsidRPr="00D11BAB">
        <w:rPr>
          <w:rFonts w:ascii="Times New Roman" w:hAnsi="Times New Roman"/>
          <w:sz w:val="28"/>
          <w:szCs w:val="28"/>
        </w:rPr>
        <w:instrText>.</w:instrText>
      </w:r>
      <w:r w:rsidRPr="00D11BAB">
        <w:rPr>
          <w:rFonts w:ascii="Times New Roman" w:hAnsi="Times New Roman"/>
          <w:sz w:val="28"/>
          <w:szCs w:val="28"/>
          <w:lang w:val="en-US"/>
        </w:rPr>
        <w:instrText>com</w:instrText>
      </w:r>
      <w:r w:rsidRPr="00D11BAB">
        <w:rPr>
          <w:rFonts w:ascii="Times New Roman" w:hAnsi="Times New Roman"/>
          <w:sz w:val="28"/>
          <w:szCs w:val="28"/>
        </w:rPr>
        <w:instrText>/</w:instrText>
      </w:r>
      <w:r w:rsidRPr="00D11BAB">
        <w:rPr>
          <w:rFonts w:ascii="Times New Roman" w:hAnsi="Times New Roman"/>
          <w:sz w:val="28"/>
          <w:szCs w:val="28"/>
          <w:lang w:val="en-US"/>
        </w:rPr>
        <w:instrText>citation</w:instrText>
      </w:r>
      <w:r w:rsidRPr="00D11BAB">
        <w:rPr>
          <w:rFonts w:ascii="Times New Roman" w:hAnsi="Times New Roman"/>
          <w:sz w:val="28"/>
          <w:szCs w:val="28"/>
        </w:rPr>
        <w:instrText>-</w:instrText>
      </w:r>
      <w:r w:rsidRPr="00D11BAB">
        <w:rPr>
          <w:rFonts w:ascii="Times New Roman" w:hAnsi="Times New Roman"/>
          <w:sz w:val="28"/>
          <w:szCs w:val="28"/>
          <w:lang w:val="en-US"/>
        </w:rPr>
        <w:instrText>style</w:instrText>
      </w:r>
      <w:r w:rsidRPr="00D11BAB">
        <w:rPr>
          <w:rFonts w:ascii="Times New Roman" w:hAnsi="Times New Roman"/>
          <w:sz w:val="28"/>
          <w:szCs w:val="28"/>
        </w:rPr>
        <w:instrText>-</w:instrText>
      </w:r>
      <w:r w:rsidRPr="00D11BAB">
        <w:rPr>
          <w:rFonts w:ascii="Times New Roman" w:hAnsi="Times New Roman"/>
          <w:sz w:val="28"/>
          <w:szCs w:val="28"/>
          <w:lang w:val="en-US"/>
        </w:rPr>
        <w:instrText>language</w:instrText>
      </w:r>
      <w:r w:rsidRPr="00D11BAB">
        <w:rPr>
          <w:rFonts w:ascii="Times New Roman" w:hAnsi="Times New Roman"/>
          <w:sz w:val="28"/>
          <w:szCs w:val="28"/>
        </w:rPr>
        <w:instrText>/</w:instrText>
      </w:r>
      <w:r w:rsidRPr="00D11BAB">
        <w:rPr>
          <w:rFonts w:ascii="Times New Roman" w:hAnsi="Times New Roman"/>
          <w:sz w:val="28"/>
          <w:szCs w:val="28"/>
          <w:lang w:val="en-US"/>
        </w:rPr>
        <w:instrText>schema</w:instrText>
      </w:r>
      <w:r w:rsidRPr="00D11BAB">
        <w:rPr>
          <w:rFonts w:ascii="Times New Roman" w:hAnsi="Times New Roman"/>
          <w:sz w:val="28"/>
          <w:szCs w:val="28"/>
        </w:rPr>
        <w:instrText>/</w:instrText>
      </w:r>
      <w:r w:rsidRPr="00D11BAB">
        <w:rPr>
          <w:rFonts w:ascii="Times New Roman" w:hAnsi="Times New Roman"/>
          <w:sz w:val="28"/>
          <w:szCs w:val="28"/>
          <w:lang w:val="en-US"/>
        </w:rPr>
        <w:instrText>raw</w:instrText>
      </w:r>
      <w:r w:rsidRPr="00D11BAB">
        <w:rPr>
          <w:rFonts w:ascii="Times New Roman" w:hAnsi="Times New Roman"/>
          <w:sz w:val="28"/>
          <w:szCs w:val="28"/>
        </w:rPr>
        <w:instrText>/</w:instrText>
      </w:r>
      <w:r w:rsidRPr="00D11BAB">
        <w:rPr>
          <w:rFonts w:ascii="Times New Roman" w:hAnsi="Times New Roman"/>
          <w:sz w:val="28"/>
          <w:szCs w:val="28"/>
          <w:lang w:val="en-US"/>
        </w:rPr>
        <w:instrText>master</w:instrText>
      </w:r>
      <w:r w:rsidRPr="00D11BAB">
        <w:rPr>
          <w:rFonts w:ascii="Times New Roman" w:hAnsi="Times New Roman"/>
          <w:sz w:val="28"/>
          <w:szCs w:val="28"/>
        </w:rPr>
        <w:instrText>/</w:instrText>
      </w:r>
      <w:r w:rsidRPr="00D11BAB">
        <w:rPr>
          <w:rFonts w:ascii="Times New Roman" w:hAnsi="Times New Roman"/>
          <w:sz w:val="28"/>
          <w:szCs w:val="28"/>
          <w:lang w:val="en-US"/>
        </w:rPr>
        <w:instrText>csl</w:instrText>
      </w:r>
      <w:r w:rsidRPr="00D11BAB">
        <w:rPr>
          <w:rFonts w:ascii="Times New Roman" w:hAnsi="Times New Roman"/>
          <w:sz w:val="28"/>
          <w:szCs w:val="28"/>
        </w:rPr>
        <w:instrText>-</w:instrText>
      </w:r>
      <w:r w:rsidRPr="00D11BAB">
        <w:rPr>
          <w:rFonts w:ascii="Times New Roman" w:hAnsi="Times New Roman"/>
          <w:sz w:val="28"/>
          <w:szCs w:val="28"/>
          <w:lang w:val="en-US"/>
        </w:rPr>
        <w:instrText>citation</w:instrText>
      </w:r>
      <w:r w:rsidRPr="00D11BAB">
        <w:rPr>
          <w:rFonts w:ascii="Times New Roman" w:hAnsi="Times New Roman"/>
          <w:sz w:val="28"/>
          <w:szCs w:val="28"/>
        </w:rPr>
        <w:instrText>.</w:instrText>
      </w:r>
      <w:r w:rsidRPr="00D11BAB">
        <w:rPr>
          <w:rFonts w:ascii="Times New Roman" w:hAnsi="Times New Roman"/>
          <w:sz w:val="28"/>
          <w:szCs w:val="28"/>
          <w:lang w:val="en-US"/>
        </w:rPr>
        <w:instrText>json</w:instrText>
      </w:r>
      <w:r w:rsidRPr="00D11BAB">
        <w:rPr>
          <w:rFonts w:ascii="Times New Roman" w:hAnsi="Times New Roman"/>
          <w:sz w:val="28"/>
          <w:szCs w:val="28"/>
        </w:rPr>
        <w:instrText xml:space="preserve">"} </w:instrText>
      </w:r>
      <w:r w:rsidRPr="00D11BAB">
        <w:rPr>
          <w:rFonts w:ascii="Times New Roman" w:hAnsi="Times New Roman"/>
          <w:sz w:val="28"/>
          <w:szCs w:val="28"/>
        </w:rPr>
        <w:fldChar w:fldCharType="separate"/>
      </w:r>
      <w:r w:rsidRPr="00D11BAB">
        <w:rPr>
          <w:rFonts w:ascii="Times New Roman" w:hAnsi="Times New Roman"/>
          <w:sz w:val="28"/>
          <w:szCs w:val="24"/>
        </w:rPr>
        <w:t>[243]</w:t>
      </w:r>
      <w:r w:rsidRPr="00D11BAB">
        <w:rPr>
          <w:rFonts w:ascii="Times New Roman" w:hAnsi="Times New Roman"/>
          <w:sz w:val="28"/>
          <w:szCs w:val="28"/>
        </w:rPr>
        <w:fldChar w:fldCharType="end"/>
      </w:r>
      <w:r w:rsidRPr="00D11BAB">
        <w:rPr>
          <w:rFonts w:ascii="Times New Roman" w:hAnsi="Times New Roman"/>
          <w:sz w:val="28"/>
          <w:szCs w:val="28"/>
        </w:rPr>
        <w:t xml:space="preserve">, мы констатировали степени нутритивной недостаточности (истощение отчетливое, значительное и предельное) по индексу массы тела по </w:t>
      </w:r>
      <w:proofErr w:type="spellStart"/>
      <w:r w:rsidRPr="00D11BAB">
        <w:rPr>
          <w:rFonts w:ascii="Times New Roman" w:hAnsi="Times New Roman"/>
          <w:sz w:val="28"/>
          <w:szCs w:val="28"/>
        </w:rPr>
        <w:t>Кетле</w:t>
      </w:r>
      <w:proofErr w:type="spellEnd"/>
      <w:r w:rsidRPr="00D11BAB">
        <w:rPr>
          <w:rFonts w:ascii="Times New Roman" w:hAnsi="Times New Roman"/>
          <w:sz w:val="28"/>
          <w:szCs w:val="28"/>
        </w:rPr>
        <w:t xml:space="preserve">. Проанализированы доли больных с отклонениями в параметрах нутритивного статуса на момент начала наблюдения в программе реабилитации и к 12 месяцу после операции. </w:t>
      </w:r>
    </w:p>
    <w:p w14:paraId="660190E2" w14:textId="77777777" w:rsidR="00EF5CD6" w:rsidRDefault="00EF5CD6" w:rsidP="00EF5CD6">
      <w:pPr>
        <w:tabs>
          <w:tab w:val="left" w:pos="851"/>
        </w:tabs>
        <w:spacing w:after="0" w:line="240" w:lineRule="auto"/>
        <w:ind w:firstLine="567"/>
        <w:jc w:val="both"/>
        <w:rPr>
          <w:rFonts w:ascii="Times New Roman" w:hAnsi="Times New Roman"/>
          <w:bCs/>
          <w:sz w:val="28"/>
          <w:szCs w:val="28"/>
        </w:rPr>
      </w:pPr>
      <w:r w:rsidRPr="00D11BAB">
        <w:rPr>
          <w:rFonts w:ascii="Times New Roman" w:hAnsi="Times New Roman"/>
          <w:bCs/>
          <w:sz w:val="28"/>
          <w:szCs w:val="28"/>
        </w:rPr>
        <w:t xml:space="preserve">Выявлено, что доля больных с отчетливым истощением (ИМТ </w:t>
      </w:r>
      <w:r w:rsidRPr="00D11BAB">
        <w:rPr>
          <w:rFonts w:ascii="Times New Roman" w:hAnsi="Times New Roman"/>
          <w:sz w:val="28"/>
          <w:szCs w:val="28"/>
        </w:rPr>
        <w:t>до 20 кг/м</w:t>
      </w:r>
      <w:r w:rsidRPr="00D11BAB">
        <w:rPr>
          <w:rFonts w:ascii="Times New Roman" w:hAnsi="Times New Roman"/>
          <w:sz w:val="28"/>
          <w:szCs w:val="28"/>
          <w:vertAlign w:val="superscript"/>
        </w:rPr>
        <w:t>2)</w:t>
      </w:r>
      <w:r w:rsidRPr="00D11BAB">
        <w:rPr>
          <w:rFonts w:ascii="Times New Roman" w:hAnsi="Times New Roman"/>
          <w:bCs/>
          <w:sz w:val="28"/>
          <w:szCs w:val="28"/>
        </w:rPr>
        <w:t xml:space="preserve"> уменьшилась с 66,6% с начала наблюдения до 29,3% к 12 месяцу реабилитационной программы (р=0,003), процент больных со значительным истощением (ИМТ </w:t>
      </w:r>
      <w:r w:rsidRPr="00D11BAB">
        <w:rPr>
          <w:rFonts w:ascii="Times New Roman" w:hAnsi="Times New Roman"/>
          <w:sz w:val="28"/>
          <w:szCs w:val="28"/>
        </w:rPr>
        <w:t>до 17 кг/м</w:t>
      </w:r>
      <w:r w:rsidRPr="00D11BAB">
        <w:rPr>
          <w:rFonts w:ascii="Times New Roman" w:hAnsi="Times New Roman"/>
          <w:sz w:val="28"/>
          <w:szCs w:val="28"/>
          <w:vertAlign w:val="superscript"/>
        </w:rPr>
        <w:t>2)</w:t>
      </w:r>
      <w:r w:rsidRPr="00D11BAB">
        <w:rPr>
          <w:rFonts w:ascii="Times New Roman" w:hAnsi="Times New Roman"/>
          <w:bCs/>
          <w:sz w:val="28"/>
          <w:szCs w:val="28"/>
        </w:rPr>
        <w:t xml:space="preserve"> снизился с 19,6 до 3,9% (р=0,002), доля больных с предельным истощением (ИМТ </w:t>
      </w:r>
      <w:r w:rsidRPr="00D11BAB">
        <w:rPr>
          <w:rFonts w:ascii="Times New Roman" w:hAnsi="Times New Roman"/>
          <w:sz w:val="28"/>
          <w:szCs w:val="28"/>
        </w:rPr>
        <w:t>до 16кг / м</w:t>
      </w:r>
      <w:r w:rsidRPr="00D11BAB">
        <w:rPr>
          <w:rFonts w:ascii="Times New Roman" w:hAnsi="Times New Roman"/>
          <w:sz w:val="28"/>
          <w:szCs w:val="28"/>
          <w:vertAlign w:val="superscript"/>
        </w:rPr>
        <w:t>2)</w:t>
      </w:r>
      <w:r w:rsidRPr="00D11BAB">
        <w:rPr>
          <w:rFonts w:ascii="Times New Roman" w:hAnsi="Times New Roman"/>
          <w:bCs/>
          <w:sz w:val="28"/>
          <w:szCs w:val="28"/>
        </w:rPr>
        <w:t xml:space="preserve"> уменьшилась с 13,7 до 1,9% (р=0,031) (рисунок </w:t>
      </w:r>
      <w:r>
        <w:rPr>
          <w:rFonts w:ascii="Times New Roman" w:hAnsi="Times New Roman"/>
          <w:bCs/>
          <w:sz w:val="28"/>
          <w:szCs w:val="28"/>
        </w:rPr>
        <w:t>33</w:t>
      </w:r>
      <w:r w:rsidRPr="00D11BAB">
        <w:rPr>
          <w:rFonts w:ascii="Times New Roman" w:hAnsi="Times New Roman"/>
          <w:bCs/>
          <w:sz w:val="28"/>
          <w:szCs w:val="28"/>
        </w:rPr>
        <w:t>).</w:t>
      </w:r>
    </w:p>
    <w:p w14:paraId="65202E01" w14:textId="77777777" w:rsidR="00EF5CD6" w:rsidRPr="00D11BAB" w:rsidRDefault="00EF5CD6" w:rsidP="00EF5CD6">
      <w:pPr>
        <w:tabs>
          <w:tab w:val="left" w:pos="851"/>
        </w:tabs>
        <w:spacing w:after="0" w:line="240" w:lineRule="auto"/>
        <w:ind w:firstLine="709"/>
        <w:jc w:val="both"/>
        <w:rPr>
          <w:rFonts w:ascii="Times New Roman" w:hAnsi="Times New Roman"/>
          <w:bCs/>
          <w:sz w:val="28"/>
          <w:szCs w:val="28"/>
        </w:rPr>
      </w:pPr>
      <w:r w:rsidRPr="00D11BAB">
        <w:rPr>
          <w:rFonts w:ascii="Times New Roman" w:hAnsi="Times New Roman"/>
          <w:bCs/>
          <w:sz w:val="28"/>
          <w:szCs w:val="28"/>
        </w:rPr>
        <w:t xml:space="preserve">Средние показатели общего белка и альбумина приблизились к норме к 12 месяцу наблюдения: показатели общего белка и альбумина достоверно повысились к 12 месяцу реабилитации (р=0,003) (таблица </w:t>
      </w:r>
      <w:r>
        <w:rPr>
          <w:rFonts w:ascii="Times New Roman" w:hAnsi="Times New Roman"/>
          <w:bCs/>
          <w:sz w:val="28"/>
          <w:szCs w:val="28"/>
        </w:rPr>
        <w:t>41</w:t>
      </w:r>
      <w:r w:rsidRPr="00D11BAB">
        <w:rPr>
          <w:rFonts w:ascii="Times New Roman" w:hAnsi="Times New Roman"/>
          <w:bCs/>
          <w:sz w:val="28"/>
          <w:szCs w:val="28"/>
        </w:rPr>
        <w:t xml:space="preserve">, рисунок </w:t>
      </w:r>
      <w:r>
        <w:rPr>
          <w:rFonts w:ascii="Times New Roman" w:hAnsi="Times New Roman"/>
          <w:bCs/>
          <w:sz w:val="28"/>
          <w:szCs w:val="28"/>
        </w:rPr>
        <w:t>34</w:t>
      </w:r>
      <w:r w:rsidRPr="00D11BAB">
        <w:rPr>
          <w:rFonts w:ascii="Times New Roman" w:hAnsi="Times New Roman"/>
          <w:bCs/>
          <w:sz w:val="28"/>
          <w:szCs w:val="28"/>
        </w:rPr>
        <w:t xml:space="preserve">).  Отмечается так статистически достоверное повышение как массы тела, так и ИМТ (р=0,003) (таблица </w:t>
      </w:r>
      <w:r>
        <w:rPr>
          <w:rFonts w:ascii="Times New Roman" w:hAnsi="Times New Roman"/>
          <w:bCs/>
          <w:sz w:val="28"/>
          <w:szCs w:val="28"/>
        </w:rPr>
        <w:t>42</w:t>
      </w:r>
      <w:r w:rsidRPr="00D11BAB">
        <w:rPr>
          <w:rFonts w:ascii="Times New Roman" w:hAnsi="Times New Roman"/>
          <w:bCs/>
          <w:sz w:val="28"/>
          <w:szCs w:val="28"/>
        </w:rPr>
        <w:t>).</w:t>
      </w:r>
    </w:p>
    <w:p w14:paraId="1E91B887" w14:textId="77777777" w:rsidR="00EF5CD6" w:rsidRPr="00D11BAB" w:rsidRDefault="00EF5CD6" w:rsidP="00EF5CD6">
      <w:pPr>
        <w:tabs>
          <w:tab w:val="left" w:pos="567"/>
        </w:tabs>
        <w:spacing w:after="0" w:line="240" w:lineRule="auto"/>
        <w:jc w:val="center"/>
        <w:rPr>
          <w:rFonts w:ascii="Times New Roman" w:hAnsi="Times New Roman"/>
          <w:sz w:val="28"/>
          <w:szCs w:val="28"/>
        </w:rPr>
      </w:pPr>
      <w:r w:rsidRPr="00D11BAB">
        <w:rPr>
          <w:rFonts w:ascii="Times New Roman" w:hAnsi="Times New Roman"/>
          <w:noProof/>
          <w:sz w:val="28"/>
          <w:szCs w:val="28"/>
        </w:rPr>
        <w:lastRenderedPageBreak/>
        <w:drawing>
          <wp:inline distT="0" distB="0" distL="0" distR="0" wp14:anchorId="4C327F88" wp14:editId="48537480">
            <wp:extent cx="4349115" cy="2171065"/>
            <wp:effectExtent l="0" t="0" r="0" b="0"/>
            <wp:docPr id="31" name="Диаграмма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760D68D" w14:textId="77777777" w:rsidR="00EF5CD6" w:rsidRPr="00D11BAB" w:rsidRDefault="00EF5CD6" w:rsidP="00EF5CD6">
      <w:pPr>
        <w:tabs>
          <w:tab w:val="left" w:pos="1650"/>
        </w:tabs>
        <w:spacing w:after="0" w:line="240" w:lineRule="auto"/>
        <w:jc w:val="center"/>
        <w:rPr>
          <w:rFonts w:ascii="Times New Roman" w:hAnsi="Times New Roman"/>
          <w:bCs/>
          <w:sz w:val="16"/>
          <w:szCs w:val="16"/>
        </w:rPr>
      </w:pPr>
    </w:p>
    <w:p w14:paraId="3913D250" w14:textId="77777777" w:rsidR="00EF5CD6" w:rsidRPr="00D11BAB" w:rsidRDefault="00EF5CD6" w:rsidP="00EF5CD6">
      <w:pPr>
        <w:tabs>
          <w:tab w:val="left" w:pos="1650"/>
        </w:tabs>
        <w:spacing w:after="0" w:line="240" w:lineRule="auto"/>
        <w:jc w:val="center"/>
        <w:rPr>
          <w:rFonts w:ascii="Times New Roman" w:hAnsi="Times New Roman"/>
          <w:bCs/>
          <w:sz w:val="28"/>
          <w:szCs w:val="28"/>
        </w:rPr>
      </w:pPr>
      <w:r w:rsidRPr="00D11BAB">
        <w:rPr>
          <w:rFonts w:ascii="Times New Roman" w:hAnsi="Times New Roman"/>
          <w:bCs/>
          <w:sz w:val="28"/>
          <w:szCs w:val="28"/>
        </w:rPr>
        <w:t xml:space="preserve">Рисунок </w:t>
      </w:r>
      <w:r>
        <w:rPr>
          <w:rFonts w:ascii="Times New Roman" w:hAnsi="Times New Roman"/>
          <w:bCs/>
          <w:sz w:val="28"/>
          <w:szCs w:val="28"/>
        </w:rPr>
        <w:t>33</w:t>
      </w:r>
      <w:r w:rsidRPr="00D11BAB">
        <w:rPr>
          <w:rFonts w:ascii="Times New Roman" w:hAnsi="Times New Roman"/>
          <w:bCs/>
          <w:sz w:val="28"/>
          <w:szCs w:val="28"/>
        </w:rPr>
        <w:t xml:space="preserve"> – Уменьшение доли больных с нутритивной</w:t>
      </w:r>
    </w:p>
    <w:p w14:paraId="487820E7" w14:textId="77777777" w:rsidR="00EF5CD6" w:rsidRPr="00D11BAB" w:rsidRDefault="00EF5CD6" w:rsidP="00EF5CD6">
      <w:pPr>
        <w:tabs>
          <w:tab w:val="left" w:pos="1650"/>
        </w:tabs>
        <w:spacing w:after="0" w:line="240" w:lineRule="auto"/>
        <w:jc w:val="center"/>
        <w:rPr>
          <w:rFonts w:ascii="Times New Roman" w:hAnsi="Times New Roman"/>
          <w:bCs/>
          <w:sz w:val="28"/>
          <w:szCs w:val="28"/>
        </w:rPr>
      </w:pPr>
      <w:r w:rsidRPr="00D11BAB">
        <w:rPr>
          <w:rFonts w:ascii="Times New Roman" w:hAnsi="Times New Roman"/>
          <w:bCs/>
          <w:sz w:val="28"/>
          <w:szCs w:val="28"/>
        </w:rPr>
        <w:t xml:space="preserve"> </w:t>
      </w:r>
      <w:proofErr w:type="gramStart"/>
      <w:r w:rsidRPr="00D11BAB">
        <w:rPr>
          <w:rFonts w:ascii="Times New Roman" w:hAnsi="Times New Roman"/>
          <w:bCs/>
          <w:sz w:val="28"/>
          <w:szCs w:val="28"/>
        </w:rPr>
        <w:t>недостаточностью</w:t>
      </w:r>
      <w:proofErr w:type="gramEnd"/>
      <w:r w:rsidRPr="00D11BAB">
        <w:rPr>
          <w:rFonts w:ascii="Times New Roman" w:hAnsi="Times New Roman"/>
          <w:bCs/>
          <w:sz w:val="28"/>
          <w:szCs w:val="28"/>
        </w:rPr>
        <w:t xml:space="preserve"> в динамике</w:t>
      </w:r>
    </w:p>
    <w:p w14:paraId="43930F97" w14:textId="77777777" w:rsidR="00EF5CD6" w:rsidRDefault="00EF5CD6" w:rsidP="00EF5CD6">
      <w:pPr>
        <w:tabs>
          <w:tab w:val="left" w:pos="851"/>
        </w:tabs>
        <w:spacing w:after="0" w:line="240" w:lineRule="auto"/>
        <w:ind w:firstLine="709"/>
        <w:jc w:val="both"/>
        <w:rPr>
          <w:rFonts w:ascii="Times New Roman" w:hAnsi="Times New Roman"/>
          <w:bCs/>
          <w:sz w:val="28"/>
          <w:szCs w:val="28"/>
        </w:rPr>
      </w:pPr>
    </w:p>
    <w:p w14:paraId="7BC9ED3E" w14:textId="77777777" w:rsidR="00EF5CD6" w:rsidRPr="00D11BAB" w:rsidRDefault="00EF5CD6" w:rsidP="00EF5CD6">
      <w:pPr>
        <w:spacing w:after="0" w:line="240" w:lineRule="auto"/>
        <w:jc w:val="both"/>
        <w:rPr>
          <w:rFonts w:ascii="Times New Roman" w:hAnsi="Times New Roman"/>
          <w:sz w:val="28"/>
          <w:szCs w:val="28"/>
        </w:rPr>
      </w:pPr>
      <w:r w:rsidRPr="00D11BAB">
        <w:rPr>
          <w:rFonts w:ascii="Times New Roman" w:hAnsi="Times New Roman"/>
          <w:sz w:val="28"/>
          <w:szCs w:val="28"/>
        </w:rPr>
        <w:t xml:space="preserve">Таблица </w:t>
      </w:r>
      <w:r>
        <w:rPr>
          <w:rFonts w:ascii="Times New Roman" w:hAnsi="Times New Roman"/>
          <w:sz w:val="28"/>
          <w:szCs w:val="28"/>
        </w:rPr>
        <w:t>41</w:t>
      </w:r>
      <w:r w:rsidRPr="00D11BAB">
        <w:rPr>
          <w:rFonts w:ascii="Times New Roman" w:hAnsi="Times New Roman"/>
          <w:sz w:val="28"/>
          <w:szCs w:val="28"/>
        </w:rPr>
        <w:t xml:space="preserve"> – Динамика лабораторных параметров нутритивного статуса </w:t>
      </w:r>
    </w:p>
    <w:p w14:paraId="0C9F581E" w14:textId="77777777" w:rsidR="00EF5CD6" w:rsidRPr="00D11BAB" w:rsidRDefault="00EF5CD6" w:rsidP="00EF5CD6">
      <w:pPr>
        <w:spacing w:after="0" w:line="240" w:lineRule="auto"/>
        <w:jc w:val="both"/>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1"/>
        <w:gridCol w:w="2769"/>
        <w:gridCol w:w="2524"/>
        <w:gridCol w:w="2476"/>
      </w:tblGrid>
      <w:tr w:rsidR="00EF5CD6" w:rsidRPr="00D11BAB" w14:paraId="46A95DB4" w14:textId="77777777" w:rsidTr="00094F6F">
        <w:trPr>
          <w:trHeight w:hRule="exact" w:val="340"/>
        </w:trPr>
        <w:tc>
          <w:tcPr>
            <w:tcW w:w="1761" w:type="dxa"/>
            <w:shd w:val="clear" w:color="auto" w:fill="auto"/>
          </w:tcPr>
          <w:p w14:paraId="58041C49"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 xml:space="preserve">Параметры </w:t>
            </w:r>
          </w:p>
        </w:tc>
        <w:tc>
          <w:tcPr>
            <w:tcW w:w="2804" w:type="dxa"/>
            <w:shd w:val="clear" w:color="auto" w:fill="auto"/>
          </w:tcPr>
          <w:p w14:paraId="30BE0EDD"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Начало наблюдения</w:t>
            </w:r>
          </w:p>
        </w:tc>
        <w:tc>
          <w:tcPr>
            <w:tcW w:w="2552" w:type="dxa"/>
            <w:shd w:val="clear" w:color="auto" w:fill="auto"/>
          </w:tcPr>
          <w:p w14:paraId="064CEECF"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12 месяц наблюдения</w:t>
            </w:r>
          </w:p>
        </w:tc>
        <w:tc>
          <w:tcPr>
            <w:tcW w:w="2522" w:type="dxa"/>
            <w:shd w:val="clear" w:color="auto" w:fill="auto"/>
          </w:tcPr>
          <w:p w14:paraId="5072295B" w14:textId="77777777" w:rsidR="00EF5CD6" w:rsidRPr="00D11BAB" w:rsidRDefault="00EF5CD6" w:rsidP="00094F6F">
            <w:pPr>
              <w:tabs>
                <w:tab w:val="left" w:pos="1650"/>
              </w:tabs>
              <w:spacing w:after="0" w:line="240" w:lineRule="auto"/>
              <w:jc w:val="both"/>
              <w:rPr>
                <w:rFonts w:ascii="Times New Roman" w:hAnsi="Times New Roman"/>
                <w:bCs/>
                <w:sz w:val="24"/>
                <w:szCs w:val="24"/>
              </w:rPr>
            </w:pPr>
            <w:proofErr w:type="gramStart"/>
            <w:r w:rsidRPr="00D11BAB">
              <w:rPr>
                <w:rFonts w:ascii="Times New Roman" w:hAnsi="Times New Roman"/>
                <w:bCs/>
                <w:sz w:val="24"/>
                <w:szCs w:val="24"/>
              </w:rPr>
              <w:t>р</w:t>
            </w:r>
            <w:proofErr w:type="gramEnd"/>
          </w:p>
        </w:tc>
      </w:tr>
      <w:tr w:rsidR="00EF5CD6" w:rsidRPr="00D11BAB" w14:paraId="4605DC2C" w14:textId="77777777" w:rsidTr="00094F6F">
        <w:trPr>
          <w:trHeight w:hRule="exact" w:val="340"/>
        </w:trPr>
        <w:tc>
          <w:tcPr>
            <w:tcW w:w="1761" w:type="dxa"/>
            <w:shd w:val="clear" w:color="auto" w:fill="auto"/>
          </w:tcPr>
          <w:p w14:paraId="6A7C8D77"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Общий белок</w:t>
            </w:r>
          </w:p>
        </w:tc>
        <w:tc>
          <w:tcPr>
            <w:tcW w:w="2804" w:type="dxa"/>
            <w:shd w:val="clear" w:color="auto" w:fill="auto"/>
          </w:tcPr>
          <w:p w14:paraId="474C0E95"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53,9±5,9</w:t>
            </w:r>
          </w:p>
        </w:tc>
        <w:tc>
          <w:tcPr>
            <w:tcW w:w="2552" w:type="dxa"/>
            <w:shd w:val="clear" w:color="auto" w:fill="auto"/>
          </w:tcPr>
          <w:p w14:paraId="4BD849BD"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68,8±9,6</w:t>
            </w:r>
          </w:p>
        </w:tc>
        <w:tc>
          <w:tcPr>
            <w:tcW w:w="2522" w:type="dxa"/>
            <w:shd w:val="clear" w:color="auto" w:fill="auto"/>
          </w:tcPr>
          <w:p w14:paraId="4391A8CF"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0,003</w:t>
            </w:r>
          </w:p>
        </w:tc>
      </w:tr>
      <w:tr w:rsidR="00EF5CD6" w:rsidRPr="00D11BAB" w14:paraId="175E4BD5" w14:textId="77777777" w:rsidTr="00094F6F">
        <w:trPr>
          <w:trHeight w:hRule="exact" w:val="340"/>
        </w:trPr>
        <w:tc>
          <w:tcPr>
            <w:tcW w:w="1761" w:type="dxa"/>
            <w:shd w:val="clear" w:color="auto" w:fill="auto"/>
          </w:tcPr>
          <w:p w14:paraId="69DC6F0E"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Альбумин</w:t>
            </w:r>
          </w:p>
        </w:tc>
        <w:tc>
          <w:tcPr>
            <w:tcW w:w="2804" w:type="dxa"/>
            <w:shd w:val="clear" w:color="auto" w:fill="auto"/>
          </w:tcPr>
          <w:p w14:paraId="489D5B94"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27,8±4,0</w:t>
            </w:r>
          </w:p>
        </w:tc>
        <w:tc>
          <w:tcPr>
            <w:tcW w:w="2552" w:type="dxa"/>
            <w:shd w:val="clear" w:color="auto" w:fill="auto"/>
          </w:tcPr>
          <w:p w14:paraId="57CF2165"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36,4±4,9</w:t>
            </w:r>
          </w:p>
        </w:tc>
        <w:tc>
          <w:tcPr>
            <w:tcW w:w="2522" w:type="dxa"/>
            <w:shd w:val="clear" w:color="auto" w:fill="auto"/>
          </w:tcPr>
          <w:p w14:paraId="4040F75C"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0,003</w:t>
            </w:r>
          </w:p>
        </w:tc>
      </w:tr>
      <w:tr w:rsidR="00EF5CD6" w:rsidRPr="00D11BAB" w14:paraId="7F9D439F" w14:textId="77777777" w:rsidTr="00094F6F">
        <w:trPr>
          <w:trHeight w:val="715"/>
        </w:trPr>
        <w:tc>
          <w:tcPr>
            <w:tcW w:w="9639" w:type="dxa"/>
            <w:gridSpan w:val="4"/>
            <w:shd w:val="clear" w:color="auto" w:fill="auto"/>
          </w:tcPr>
          <w:p w14:paraId="178FE1D4" w14:textId="77777777" w:rsidR="00EF5CD6" w:rsidRPr="00D11BAB" w:rsidRDefault="00EF5CD6" w:rsidP="00094F6F">
            <w:pPr>
              <w:tabs>
                <w:tab w:val="left" w:pos="1650"/>
              </w:tabs>
              <w:spacing w:after="0" w:line="240" w:lineRule="auto"/>
              <w:ind w:firstLine="601"/>
              <w:jc w:val="both"/>
              <w:rPr>
                <w:rFonts w:ascii="Times New Roman" w:hAnsi="Times New Roman"/>
                <w:bCs/>
                <w:sz w:val="24"/>
                <w:szCs w:val="24"/>
              </w:rPr>
            </w:pPr>
            <w:r w:rsidRPr="00D11BAB">
              <w:rPr>
                <w:rFonts w:ascii="Times New Roman" w:hAnsi="Times New Roman"/>
                <w:bCs/>
                <w:sz w:val="24"/>
                <w:szCs w:val="24"/>
              </w:rPr>
              <w:t>Примечания:</w:t>
            </w:r>
          </w:p>
          <w:p w14:paraId="05D74561"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1. Данные представлены в M±S</w:t>
            </w:r>
            <w:r w:rsidRPr="00D11BAB">
              <w:rPr>
                <w:rFonts w:ascii="Times New Roman" w:hAnsi="Times New Roman"/>
                <w:bCs/>
                <w:sz w:val="24"/>
                <w:szCs w:val="24"/>
                <w:lang w:val="en-US"/>
              </w:rPr>
              <w:t>D</w:t>
            </w:r>
            <w:r w:rsidRPr="00D11BAB">
              <w:rPr>
                <w:rFonts w:ascii="Times New Roman" w:hAnsi="Times New Roman"/>
                <w:bCs/>
                <w:sz w:val="24"/>
                <w:szCs w:val="24"/>
              </w:rPr>
              <w:t>.</w:t>
            </w:r>
          </w:p>
          <w:p w14:paraId="2E8D5908"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2. p ˂0,05 уровень значимости для критерия Вилкоксона</w:t>
            </w:r>
          </w:p>
        </w:tc>
      </w:tr>
    </w:tbl>
    <w:p w14:paraId="4F38220C" w14:textId="77777777" w:rsidR="00EF5CD6" w:rsidRPr="00D11BAB" w:rsidRDefault="00EF5CD6" w:rsidP="00EF5CD6">
      <w:pPr>
        <w:tabs>
          <w:tab w:val="left" w:pos="1650"/>
        </w:tabs>
        <w:spacing w:after="0" w:line="240" w:lineRule="auto"/>
        <w:jc w:val="both"/>
        <w:rPr>
          <w:rFonts w:ascii="Times New Roman" w:hAnsi="Times New Roman"/>
          <w:bCs/>
          <w:sz w:val="28"/>
          <w:szCs w:val="28"/>
        </w:rPr>
      </w:pPr>
    </w:p>
    <w:p w14:paraId="377F06CB" w14:textId="77777777" w:rsidR="00EF5CD6" w:rsidRPr="00D11BAB" w:rsidRDefault="00EF5CD6" w:rsidP="00EF5CD6">
      <w:pPr>
        <w:tabs>
          <w:tab w:val="left" w:pos="1650"/>
        </w:tabs>
        <w:spacing w:after="0" w:line="240" w:lineRule="auto"/>
        <w:jc w:val="center"/>
        <w:rPr>
          <w:rFonts w:ascii="Times New Roman" w:hAnsi="Times New Roman"/>
          <w:bCs/>
          <w:sz w:val="28"/>
          <w:szCs w:val="28"/>
        </w:rPr>
      </w:pPr>
      <w:r w:rsidRPr="00D11BAB">
        <w:rPr>
          <w:rFonts w:ascii="Times New Roman" w:hAnsi="Times New Roman"/>
          <w:noProof/>
          <w:sz w:val="28"/>
          <w:szCs w:val="28"/>
        </w:rPr>
        <w:drawing>
          <wp:inline distT="0" distB="0" distL="0" distR="0" wp14:anchorId="44A92226" wp14:editId="278FE8DE">
            <wp:extent cx="5248800" cy="3999600"/>
            <wp:effectExtent l="0" t="0" r="9525" b="1270"/>
            <wp:docPr id="32" name="Рисунок 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8" descr="Chart, box and whisker chart&#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48800" cy="3999600"/>
                    </a:xfrm>
                    <a:prstGeom prst="rect">
                      <a:avLst/>
                    </a:prstGeom>
                    <a:noFill/>
                    <a:ln>
                      <a:noFill/>
                    </a:ln>
                  </pic:spPr>
                </pic:pic>
              </a:graphicData>
            </a:graphic>
          </wp:inline>
        </w:drawing>
      </w:r>
    </w:p>
    <w:p w14:paraId="1F346AD2" w14:textId="77777777" w:rsidR="00EF5CD6" w:rsidRPr="00D11BAB" w:rsidRDefault="00EF5CD6" w:rsidP="00EF5CD6">
      <w:pPr>
        <w:tabs>
          <w:tab w:val="left" w:pos="1650"/>
        </w:tabs>
        <w:spacing w:after="0" w:line="240" w:lineRule="auto"/>
        <w:jc w:val="center"/>
        <w:rPr>
          <w:rFonts w:ascii="Times New Roman" w:hAnsi="Times New Roman"/>
          <w:bCs/>
          <w:sz w:val="16"/>
          <w:szCs w:val="16"/>
        </w:rPr>
      </w:pPr>
    </w:p>
    <w:p w14:paraId="38F2C24C" w14:textId="77777777" w:rsidR="00EF5CD6" w:rsidRPr="00D11BAB" w:rsidRDefault="00EF5CD6" w:rsidP="00EF5CD6">
      <w:pPr>
        <w:tabs>
          <w:tab w:val="left" w:pos="1650"/>
        </w:tabs>
        <w:spacing w:after="0" w:line="240" w:lineRule="auto"/>
        <w:jc w:val="center"/>
        <w:rPr>
          <w:rFonts w:ascii="Times New Roman" w:hAnsi="Times New Roman"/>
          <w:bCs/>
          <w:sz w:val="28"/>
          <w:szCs w:val="28"/>
        </w:rPr>
      </w:pPr>
      <w:r w:rsidRPr="00D11BAB">
        <w:rPr>
          <w:rFonts w:ascii="Times New Roman" w:hAnsi="Times New Roman"/>
          <w:bCs/>
          <w:sz w:val="28"/>
          <w:szCs w:val="28"/>
        </w:rPr>
        <w:t xml:space="preserve">Рисунок </w:t>
      </w:r>
      <w:r>
        <w:rPr>
          <w:rFonts w:ascii="Times New Roman" w:hAnsi="Times New Roman"/>
          <w:bCs/>
          <w:sz w:val="28"/>
          <w:szCs w:val="28"/>
        </w:rPr>
        <w:t>34</w:t>
      </w:r>
      <w:r w:rsidRPr="00D11BAB">
        <w:rPr>
          <w:rFonts w:ascii="Times New Roman" w:hAnsi="Times New Roman"/>
          <w:bCs/>
          <w:sz w:val="28"/>
          <w:szCs w:val="28"/>
        </w:rPr>
        <w:t xml:space="preserve"> – Динамика лабораторных показателей нутритивного статуса у больных в реабилитационном периоде</w:t>
      </w:r>
    </w:p>
    <w:p w14:paraId="5414A670" w14:textId="77777777" w:rsidR="00EF5CD6" w:rsidRPr="00D11BAB" w:rsidRDefault="00EF5CD6" w:rsidP="00EF5CD6">
      <w:pPr>
        <w:tabs>
          <w:tab w:val="left" w:pos="1650"/>
        </w:tabs>
        <w:spacing w:after="0" w:line="240" w:lineRule="auto"/>
        <w:jc w:val="both"/>
        <w:rPr>
          <w:rFonts w:ascii="Times New Roman" w:hAnsi="Times New Roman"/>
          <w:bCs/>
          <w:sz w:val="28"/>
          <w:szCs w:val="28"/>
        </w:rPr>
      </w:pPr>
      <w:r w:rsidRPr="00D11BAB">
        <w:rPr>
          <w:rFonts w:ascii="Times New Roman" w:hAnsi="Times New Roman"/>
          <w:bCs/>
          <w:sz w:val="28"/>
          <w:szCs w:val="28"/>
        </w:rPr>
        <w:lastRenderedPageBreak/>
        <w:t xml:space="preserve">Таблица </w:t>
      </w:r>
      <w:r>
        <w:rPr>
          <w:rFonts w:ascii="Times New Roman" w:hAnsi="Times New Roman"/>
          <w:bCs/>
          <w:sz w:val="28"/>
          <w:szCs w:val="28"/>
        </w:rPr>
        <w:t>42</w:t>
      </w:r>
      <w:r w:rsidRPr="00D11BAB">
        <w:rPr>
          <w:rFonts w:ascii="Times New Roman" w:hAnsi="Times New Roman"/>
          <w:bCs/>
          <w:sz w:val="28"/>
          <w:szCs w:val="28"/>
        </w:rPr>
        <w:t xml:space="preserve"> – Динамика антропометрических параметров нутритивного статуса</w:t>
      </w:r>
    </w:p>
    <w:p w14:paraId="374205CF" w14:textId="77777777" w:rsidR="00EF5CD6" w:rsidRPr="00D11BAB" w:rsidRDefault="00EF5CD6" w:rsidP="00EF5CD6">
      <w:pPr>
        <w:tabs>
          <w:tab w:val="left" w:pos="1650"/>
        </w:tabs>
        <w:spacing w:after="0" w:line="240" w:lineRule="auto"/>
        <w:jc w:val="right"/>
        <w:rPr>
          <w:rFonts w:ascii="Times New Roman" w:hAnsi="Times New Roman"/>
          <w:bCs/>
          <w:sz w:val="16"/>
          <w:szCs w:val="16"/>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3211"/>
        <w:gridCol w:w="2258"/>
        <w:gridCol w:w="1046"/>
      </w:tblGrid>
      <w:tr w:rsidR="00EF5CD6" w:rsidRPr="00D11BAB" w14:paraId="7485694D" w14:textId="77777777" w:rsidTr="00094F6F">
        <w:tc>
          <w:tcPr>
            <w:tcW w:w="2996" w:type="dxa"/>
            <w:shd w:val="clear" w:color="auto" w:fill="auto"/>
            <w:vAlign w:val="center"/>
          </w:tcPr>
          <w:p w14:paraId="7AE597FC" w14:textId="77777777" w:rsidR="00EF5CD6" w:rsidRPr="00D11BAB" w:rsidRDefault="00EF5CD6" w:rsidP="00094F6F">
            <w:pPr>
              <w:tabs>
                <w:tab w:val="left" w:pos="1650"/>
              </w:tabs>
              <w:spacing w:after="0" w:line="240" w:lineRule="auto"/>
              <w:jc w:val="center"/>
              <w:rPr>
                <w:rFonts w:ascii="Times New Roman" w:hAnsi="Times New Roman"/>
                <w:bCs/>
                <w:sz w:val="24"/>
                <w:szCs w:val="24"/>
              </w:rPr>
            </w:pPr>
            <w:r w:rsidRPr="00D11BAB">
              <w:rPr>
                <w:rFonts w:ascii="Times New Roman" w:hAnsi="Times New Roman"/>
                <w:bCs/>
                <w:sz w:val="24"/>
                <w:szCs w:val="24"/>
              </w:rPr>
              <w:t>Параметры</w:t>
            </w:r>
          </w:p>
        </w:tc>
        <w:tc>
          <w:tcPr>
            <w:tcW w:w="3233" w:type="dxa"/>
            <w:shd w:val="clear" w:color="auto" w:fill="auto"/>
            <w:vAlign w:val="center"/>
          </w:tcPr>
          <w:p w14:paraId="55048AD1" w14:textId="77777777" w:rsidR="00EF5CD6" w:rsidRPr="00D11BAB" w:rsidRDefault="00EF5CD6" w:rsidP="00094F6F">
            <w:pPr>
              <w:tabs>
                <w:tab w:val="left" w:pos="1650"/>
              </w:tabs>
              <w:spacing w:after="0" w:line="240" w:lineRule="auto"/>
              <w:jc w:val="center"/>
              <w:rPr>
                <w:rFonts w:ascii="Times New Roman" w:hAnsi="Times New Roman"/>
                <w:bCs/>
                <w:sz w:val="24"/>
                <w:szCs w:val="24"/>
              </w:rPr>
            </w:pPr>
            <w:r w:rsidRPr="00D11BAB">
              <w:rPr>
                <w:rFonts w:ascii="Times New Roman" w:hAnsi="Times New Roman"/>
                <w:bCs/>
                <w:sz w:val="24"/>
                <w:szCs w:val="24"/>
              </w:rPr>
              <w:t>Начало наблюдения</w:t>
            </w:r>
          </w:p>
        </w:tc>
        <w:tc>
          <w:tcPr>
            <w:tcW w:w="2268" w:type="dxa"/>
            <w:shd w:val="clear" w:color="auto" w:fill="auto"/>
            <w:vAlign w:val="center"/>
          </w:tcPr>
          <w:p w14:paraId="2A4E5FE6" w14:textId="77777777" w:rsidR="00EF5CD6" w:rsidRPr="00D11BAB" w:rsidRDefault="00EF5CD6" w:rsidP="00094F6F">
            <w:pPr>
              <w:tabs>
                <w:tab w:val="left" w:pos="1650"/>
              </w:tabs>
              <w:spacing w:after="0" w:line="240" w:lineRule="auto"/>
              <w:jc w:val="center"/>
              <w:rPr>
                <w:rFonts w:ascii="Times New Roman" w:hAnsi="Times New Roman"/>
                <w:bCs/>
                <w:sz w:val="24"/>
                <w:szCs w:val="24"/>
              </w:rPr>
            </w:pPr>
            <w:r w:rsidRPr="00D11BAB">
              <w:rPr>
                <w:rFonts w:ascii="Times New Roman" w:hAnsi="Times New Roman"/>
                <w:bCs/>
                <w:sz w:val="24"/>
                <w:szCs w:val="24"/>
              </w:rPr>
              <w:t>12 месяц наблюдения</w:t>
            </w:r>
          </w:p>
        </w:tc>
        <w:tc>
          <w:tcPr>
            <w:tcW w:w="1050" w:type="dxa"/>
            <w:shd w:val="clear" w:color="auto" w:fill="auto"/>
            <w:vAlign w:val="center"/>
          </w:tcPr>
          <w:p w14:paraId="1BC1CA95" w14:textId="77777777" w:rsidR="00EF5CD6" w:rsidRPr="00D11BAB" w:rsidRDefault="00EF5CD6" w:rsidP="00094F6F">
            <w:pPr>
              <w:tabs>
                <w:tab w:val="left" w:pos="1650"/>
              </w:tabs>
              <w:spacing w:after="0" w:line="240" w:lineRule="auto"/>
              <w:jc w:val="center"/>
              <w:rPr>
                <w:rFonts w:ascii="Times New Roman" w:hAnsi="Times New Roman"/>
                <w:bCs/>
                <w:sz w:val="24"/>
                <w:szCs w:val="24"/>
              </w:rPr>
            </w:pPr>
            <w:proofErr w:type="gramStart"/>
            <w:r w:rsidRPr="00D11BAB">
              <w:rPr>
                <w:rFonts w:ascii="Times New Roman" w:hAnsi="Times New Roman"/>
                <w:bCs/>
                <w:sz w:val="24"/>
                <w:szCs w:val="24"/>
              </w:rPr>
              <w:t>р</w:t>
            </w:r>
            <w:proofErr w:type="gramEnd"/>
          </w:p>
        </w:tc>
      </w:tr>
      <w:tr w:rsidR="00EF5CD6" w:rsidRPr="00D11BAB" w14:paraId="3DC62248" w14:textId="77777777" w:rsidTr="00094F6F">
        <w:trPr>
          <w:trHeight w:hRule="exact" w:val="340"/>
        </w:trPr>
        <w:tc>
          <w:tcPr>
            <w:tcW w:w="2996" w:type="dxa"/>
            <w:shd w:val="clear" w:color="auto" w:fill="auto"/>
          </w:tcPr>
          <w:p w14:paraId="3D25B180"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Масса тела</w:t>
            </w:r>
          </w:p>
        </w:tc>
        <w:tc>
          <w:tcPr>
            <w:tcW w:w="3233" w:type="dxa"/>
            <w:shd w:val="clear" w:color="auto" w:fill="auto"/>
          </w:tcPr>
          <w:p w14:paraId="6A173F28"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53,0±7,9</w:t>
            </w:r>
          </w:p>
        </w:tc>
        <w:tc>
          <w:tcPr>
            <w:tcW w:w="2268" w:type="dxa"/>
            <w:shd w:val="clear" w:color="auto" w:fill="auto"/>
          </w:tcPr>
          <w:p w14:paraId="18DEE28F"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62,9±8,7</w:t>
            </w:r>
          </w:p>
        </w:tc>
        <w:tc>
          <w:tcPr>
            <w:tcW w:w="1050" w:type="dxa"/>
            <w:shd w:val="clear" w:color="auto" w:fill="auto"/>
          </w:tcPr>
          <w:p w14:paraId="39A6598C"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0,002</w:t>
            </w:r>
          </w:p>
        </w:tc>
      </w:tr>
      <w:tr w:rsidR="00EF5CD6" w:rsidRPr="00D11BAB" w14:paraId="3C1AF7C4" w14:textId="77777777" w:rsidTr="00094F6F">
        <w:trPr>
          <w:trHeight w:hRule="exact" w:val="340"/>
        </w:trPr>
        <w:tc>
          <w:tcPr>
            <w:tcW w:w="2996" w:type="dxa"/>
            <w:shd w:val="clear" w:color="auto" w:fill="auto"/>
          </w:tcPr>
          <w:p w14:paraId="751DF680"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ИМТ</w:t>
            </w:r>
          </w:p>
        </w:tc>
        <w:tc>
          <w:tcPr>
            <w:tcW w:w="3233" w:type="dxa"/>
            <w:shd w:val="clear" w:color="auto" w:fill="auto"/>
          </w:tcPr>
          <w:p w14:paraId="19867E3E"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17,7±1,2</w:t>
            </w:r>
          </w:p>
        </w:tc>
        <w:tc>
          <w:tcPr>
            <w:tcW w:w="2268" w:type="dxa"/>
            <w:shd w:val="clear" w:color="auto" w:fill="auto"/>
          </w:tcPr>
          <w:p w14:paraId="57A5E02C"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19,8±2,5</w:t>
            </w:r>
          </w:p>
        </w:tc>
        <w:tc>
          <w:tcPr>
            <w:tcW w:w="1050" w:type="dxa"/>
            <w:shd w:val="clear" w:color="auto" w:fill="auto"/>
          </w:tcPr>
          <w:p w14:paraId="1195D50C"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0,002</w:t>
            </w:r>
          </w:p>
        </w:tc>
      </w:tr>
      <w:tr w:rsidR="00EF5CD6" w:rsidRPr="00D11BAB" w14:paraId="04C04632" w14:textId="77777777" w:rsidTr="00094F6F">
        <w:tc>
          <w:tcPr>
            <w:tcW w:w="9547" w:type="dxa"/>
            <w:gridSpan w:val="4"/>
            <w:shd w:val="clear" w:color="auto" w:fill="auto"/>
          </w:tcPr>
          <w:p w14:paraId="719FDBD6" w14:textId="77777777" w:rsidR="00EF5CD6" w:rsidRPr="00D11BAB" w:rsidRDefault="00EF5CD6" w:rsidP="00094F6F">
            <w:pPr>
              <w:tabs>
                <w:tab w:val="left" w:pos="1650"/>
              </w:tabs>
              <w:spacing w:after="0" w:line="240" w:lineRule="auto"/>
              <w:ind w:firstLine="601"/>
              <w:jc w:val="both"/>
              <w:rPr>
                <w:rFonts w:ascii="Times New Roman" w:hAnsi="Times New Roman"/>
                <w:bCs/>
                <w:sz w:val="24"/>
                <w:szCs w:val="24"/>
              </w:rPr>
            </w:pPr>
            <w:r w:rsidRPr="00D11BAB">
              <w:rPr>
                <w:rFonts w:ascii="Times New Roman" w:hAnsi="Times New Roman"/>
                <w:bCs/>
                <w:sz w:val="24"/>
                <w:szCs w:val="24"/>
              </w:rPr>
              <w:t>Примечания:</w:t>
            </w:r>
          </w:p>
          <w:p w14:paraId="1CC1A571"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1. Данные представлены в M±S</w:t>
            </w:r>
            <w:r w:rsidRPr="00D11BAB">
              <w:rPr>
                <w:rFonts w:ascii="Times New Roman" w:hAnsi="Times New Roman"/>
                <w:bCs/>
                <w:sz w:val="24"/>
                <w:szCs w:val="24"/>
                <w:lang w:val="en-US"/>
              </w:rPr>
              <w:t>D</w:t>
            </w:r>
            <w:r w:rsidRPr="00D11BAB">
              <w:rPr>
                <w:rFonts w:ascii="Times New Roman" w:hAnsi="Times New Roman"/>
                <w:bCs/>
                <w:sz w:val="24"/>
                <w:szCs w:val="24"/>
              </w:rPr>
              <w:t>.</w:t>
            </w:r>
          </w:p>
          <w:p w14:paraId="4BF4ADE7" w14:textId="77777777" w:rsidR="00EF5CD6" w:rsidRPr="00D11BAB" w:rsidRDefault="00EF5CD6" w:rsidP="00094F6F">
            <w:pPr>
              <w:tabs>
                <w:tab w:val="left" w:pos="1650"/>
              </w:tabs>
              <w:spacing w:after="0" w:line="240" w:lineRule="auto"/>
              <w:jc w:val="both"/>
              <w:rPr>
                <w:rFonts w:ascii="Times New Roman" w:hAnsi="Times New Roman"/>
                <w:bCs/>
                <w:sz w:val="24"/>
                <w:szCs w:val="24"/>
              </w:rPr>
            </w:pPr>
            <w:r w:rsidRPr="00D11BAB">
              <w:rPr>
                <w:rFonts w:ascii="Times New Roman" w:hAnsi="Times New Roman"/>
                <w:bCs/>
                <w:sz w:val="24"/>
                <w:szCs w:val="24"/>
              </w:rPr>
              <w:t>2. p ˂0,05 уровень значимости для критерия Вилкоксона</w:t>
            </w:r>
          </w:p>
        </w:tc>
      </w:tr>
    </w:tbl>
    <w:p w14:paraId="5F51A662" w14:textId="77777777" w:rsidR="00EF5CD6" w:rsidRPr="00D11BAB" w:rsidRDefault="00EF5CD6" w:rsidP="00EF5CD6">
      <w:pPr>
        <w:tabs>
          <w:tab w:val="left" w:pos="1650"/>
        </w:tabs>
        <w:spacing w:after="0" w:line="240" w:lineRule="auto"/>
        <w:jc w:val="both"/>
        <w:rPr>
          <w:rFonts w:ascii="Times New Roman" w:hAnsi="Times New Roman"/>
          <w:bCs/>
          <w:sz w:val="28"/>
          <w:szCs w:val="28"/>
        </w:rPr>
      </w:pPr>
    </w:p>
    <w:p w14:paraId="5A68DC9C" w14:textId="77777777" w:rsidR="00EF5CD6" w:rsidRDefault="00EF5CD6" w:rsidP="00EF5CD6">
      <w:pPr>
        <w:tabs>
          <w:tab w:val="left" w:pos="851"/>
        </w:tabs>
        <w:spacing w:after="0" w:line="240" w:lineRule="auto"/>
        <w:ind w:firstLine="567"/>
        <w:jc w:val="both"/>
        <w:rPr>
          <w:rFonts w:ascii="Times New Roman" w:hAnsi="Times New Roman"/>
          <w:sz w:val="28"/>
          <w:szCs w:val="28"/>
          <w:lang w:val="kk-KZ"/>
        </w:rPr>
      </w:pPr>
    </w:p>
    <w:p w14:paraId="03E432CE" w14:textId="77777777" w:rsidR="00EF5CD6" w:rsidRDefault="00EF5CD6" w:rsidP="00EF5CD6">
      <w:pPr>
        <w:tabs>
          <w:tab w:val="left" w:pos="851"/>
        </w:tabs>
        <w:spacing w:after="0" w:line="240" w:lineRule="auto"/>
        <w:ind w:firstLine="567"/>
        <w:jc w:val="both"/>
        <w:rPr>
          <w:rFonts w:ascii="Times New Roman" w:hAnsi="Times New Roman"/>
          <w:sz w:val="28"/>
          <w:szCs w:val="28"/>
        </w:rPr>
      </w:pPr>
      <w:r w:rsidRPr="00D11BAB">
        <w:rPr>
          <w:rFonts w:ascii="Times New Roman" w:hAnsi="Times New Roman"/>
          <w:sz w:val="28"/>
          <w:szCs w:val="28"/>
          <w:lang w:val="kk-KZ"/>
        </w:rPr>
        <w:t>В результате комплексных мероприятий отмечается прирост массы тела больных в течение реабилитационного периода</w:t>
      </w:r>
      <w:r w:rsidRPr="00D11BAB">
        <w:rPr>
          <w:rFonts w:ascii="Times New Roman" w:hAnsi="Times New Roman"/>
          <w:sz w:val="28"/>
          <w:szCs w:val="28"/>
        </w:rPr>
        <w:t xml:space="preserve"> [244]</w:t>
      </w:r>
      <w:r w:rsidRPr="00D11BAB">
        <w:rPr>
          <w:rFonts w:ascii="Times New Roman" w:hAnsi="Times New Roman"/>
          <w:sz w:val="28"/>
          <w:szCs w:val="28"/>
          <w:lang w:val="kk-KZ"/>
        </w:rPr>
        <w:t xml:space="preserve">. </w:t>
      </w:r>
      <w:r w:rsidRPr="00D11BAB">
        <w:rPr>
          <w:rFonts w:ascii="Times New Roman" w:hAnsi="Times New Roman"/>
          <w:sz w:val="28"/>
          <w:szCs w:val="28"/>
        </w:rPr>
        <w:t xml:space="preserve">Выяснено, что средний процент увеличения веса тела больных через 6 месяцев составил 12,7%, через 9 месяца – 16,1%, через 12 месяцев – 20,5% (рисунок </w:t>
      </w:r>
      <w:r>
        <w:rPr>
          <w:rFonts w:ascii="Times New Roman" w:hAnsi="Times New Roman"/>
          <w:sz w:val="28"/>
          <w:szCs w:val="28"/>
        </w:rPr>
        <w:t>35</w:t>
      </w:r>
      <w:r w:rsidRPr="00D11BAB">
        <w:rPr>
          <w:rFonts w:ascii="Times New Roman" w:hAnsi="Times New Roman"/>
          <w:sz w:val="28"/>
          <w:szCs w:val="28"/>
        </w:rPr>
        <w:t>).</w:t>
      </w:r>
    </w:p>
    <w:p w14:paraId="647DAC0D" w14:textId="77777777" w:rsidR="00EF5CD6" w:rsidRDefault="00EF5CD6" w:rsidP="00EF5CD6">
      <w:pPr>
        <w:tabs>
          <w:tab w:val="left" w:pos="851"/>
        </w:tabs>
        <w:spacing w:after="0" w:line="240" w:lineRule="auto"/>
        <w:ind w:firstLine="567"/>
        <w:jc w:val="both"/>
        <w:rPr>
          <w:rFonts w:ascii="Times New Roman" w:hAnsi="Times New Roman"/>
          <w:sz w:val="28"/>
          <w:szCs w:val="28"/>
        </w:rPr>
      </w:pPr>
    </w:p>
    <w:p w14:paraId="443E56CC" w14:textId="77777777" w:rsidR="00EF5CD6" w:rsidRPr="00D11BAB" w:rsidRDefault="00EF5CD6" w:rsidP="00EF5CD6">
      <w:pPr>
        <w:tabs>
          <w:tab w:val="left" w:pos="851"/>
        </w:tabs>
        <w:spacing w:after="0" w:line="240" w:lineRule="auto"/>
        <w:ind w:firstLine="567"/>
        <w:jc w:val="both"/>
        <w:rPr>
          <w:rFonts w:ascii="Times New Roman" w:hAnsi="Times New Roman"/>
          <w:sz w:val="28"/>
          <w:szCs w:val="28"/>
        </w:rPr>
      </w:pPr>
    </w:p>
    <w:p w14:paraId="2694B56A" w14:textId="77777777" w:rsidR="00EF5CD6" w:rsidRPr="00D11BAB" w:rsidRDefault="00EF5CD6" w:rsidP="00EF5CD6">
      <w:pPr>
        <w:tabs>
          <w:tab w:val="left" w:pos="567"/>
        </w:tabs>
        <w:spacing w:after="0" w:line="240" w:lineRule="auto"/>
        <w:jc w:val="center"/>
        <w:rPr>
          <w:rFonts w:ascii="Times New Roman" w:hAnsi="Times New Roman"/>
          <w:noProof/>
        </w:rPr>
      </w:pPr>
      <w:r w:rsidRPr="00D11BAB">
        <w:rPr>
          <w:rFonts w:ascii="Times New Roman" w:hAnsi="Times New Roman"/>
          <w:noProof/>
        </w:rPr>
        <w:drawing>
          <wp:inline distT="0" distB="0" distL="0" distR="0" wp14:anchorId="56E5570D" wp14:editId="374975B9">
            <wp:extent cx="4884420" cy="2811780"/>
            <wp:effectExtent l="0" t="0" r="0" b="0"/>
            <wp:docPr id="33" name="Диаграмма 5"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Диаграмма 5" descr="Chart, line chart&#10;&#10;Description automatically generated"/>
                    <pic:cNvPicPr>
                      <a:picLocks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84420" cy="2811780"/>
                    </a:xfrm>
                    <a:prstGeom prst="rect">
                      <a:avLst/>
                    </a:prstGeom>
                    <a:noFill/>
                    <a:ln>
                      <a:noFill/>
                    </a:ln>
                  </pic:spPr>
                </pic:pic>
              </a:graphicData>
            </a:graphic>
          </wp:inline>
        </w:drawing>
      </w:r>
    </w:p>
    <w:p w14:paraId="32006D2A" w14:textId="77777777" w:rsidR="00EF5CD6" w:rsidRPr="00D11BAB" w:rsidRDefault="00EF5CD6" w:rsidP="00EF5CD6">
      <w:pPr>
        <w:tabs>
          <w:tab w:val="left" w:pos="2355"/>
        </w:tabs>
        <w:spacing w:after="0" w:line="240" w:lineRule="auto"/>
        <w:jc w:val="center"/>
        <w:rPr>
          <w:rFonts w:ascii="Times New Roman" w:hAnsi="Times New Roman"/>
          <w:sz w:val="16"/>
          <w:szCs w:val="16"/>
        </w:rPr>
      </w:pPr>
    </w:p>
    <w:p w14:paraId="5568ACF0" w14:textId="77777777" w:rsidR="00EF5CD6" w:rsidRPr="00D11BAB" w:rsidRDefault="00EF5CD6" w:rsidP="00EF5CD6">
      <w:pPr>
        <w:tabs>
          <w:tab w:val="left" w:pos="2355"/>
        </w:tabs>
        <w:spacing w:after="0" w:line="240" w:lineRule="auto"/>
        <w:jc w:val="center"/>
        <w:rPr>
          <w:rFonts w:ascii="Times New Roman" w:hAnsi="Times New Roman"/>
          <w:bCs/>
          <w:sz w:val="28"/>
          <w:szCs w:val="28"/>
        </w:rPr>
      </w:pPr>
      <w:r w:rsidRPr="00D11BAB">
        <w:rPr>
          <w:rFonts w:ascii="Times New Roman" w:hAnsi="Times New Roman"/>
          <w:sz w:val="28"/>
          <w:szCs w:val="28"/>
        </w:rPr>
        <w:t xml:space="preserve">Рисунок </w:t>
      </w:r>
      <w:r>
        <w:rPr>
          <w:rFonts w:ascii="Times New Roman" w:hAnsi="Times New Roman"/>
          <w:sz w:val="28"/>
          <w:szCs w:val="28"/>
        </w:rPr>
        <w:t>35</w:t>
      </w:r>
      <w:r w:rsidRPr="00D11BAB">
        <w:rPr>
          <w:rFonts w:ascii="Times New Roman" w:hAnsi="Times New Roman"/>
          <w:sz w:val="28"/>
          <w:szCs w:val="28"/>
        </w:rPr>
        <w:t xml:space="preserve"> – Процент увеличения массы тела больных в течение 12 месяцев наблюдения</w:t>
      </w:r>
    </w:p>
    <w:p w14:paraId="2BBF545F" w14:textId="77777777" w:rsidR="00EF5CD6" w:rsidRDefault="00EF5CD6" w:rsidP="00EF5CD6">
      <w:pPr>
        <w:tabs>
          <w:tab w:val="left" w:pos="1650"/>
        </w:tabs>
        <w:spacing w:after="0" w:line="240" w:lineRule="auto"/>
        <w:ind w:firstLine="567"/>
        <w:jc w:val="both"/>
        <w:rPr>
          <w:rFonts w:ascii="Times New Roman" w:hAnsi="Times New Roman"/>
          <w:bCs/>
          <w:sz w:val="28"/>
          <w:szCs w:val="28"/>
        </w:rPr>
      </w:pPr>
    </w:p>
    <w:p w14:paraId="66148A8A" w14:textId="77777777" w:rsidR="00EF5CD6" w:rsidRPr="00D11BAB" w:rsidRDefault="00EF5CD6" w:rsidP="00EF5CD6">
      <w:pPr>
        <w:tabs>
          <w:tab w:val="left" w:pos="1650"/>
        </w:tabs>
        <w:spacing w:after="0" w:line="240" w:lineRule="auto"/>
        <w:ind w:firstLine="567"/>
        <w:jc w:val="both"/>
        <w:rPr>
          <w:rFonts w:ascii="Times New Roman" w:hAnsi="Times New Roman"/>
          <w:bCs/>
          <w:sz w:val="28"/>
          <w:szCs w:val="28"/>
        </w:rPr>
      </w:pPr>
    </w:p>
    <w:p w14:paraId="3D13BBA8" w14:textId="77777777" w:rsidR="00EF5CD6" w:rsidRPr="00BB1768" w:rsidRDefault="00EF5CD6" w:rsidP="00EF5CD6">
      <w:pPr>
        <w:tabs>
          <w:tab w:val="left" w:pos="1650"/>
        </w:tabs>
        <w:spacing w:after="0" w:line="240" w:lineRule="auto"/>
        <w:ind w:firstLine="567"/>
        <w:jc w:val="both"/>
        <w:rPr>
          <w:rFonts w:ascii="Times New Roman" w:hAnsi="Times New Roman"/>
          <w:b/>
          <w:sz w:val="28"/>
          <w:szCs w:val="28"/>
        </w:rPr>
      </w:pPr>
      <w:r>
        <w:rPr>
          <w:rFonts w:ascii="Times New Roman" w:hAnsi="Times New Roman"/>
          <w:b/>
          <w:sz w:val="28"/>
          <w:szCs w:val="28"/>
        </w:rPr>
        <w:t>4</w:t>
      </w:r>
      <w:r w:rsidRPr="00D11BAB">
        <w:rPr>
          <w:rFonts w:ascii="Times New Roman" w:hAnsi="Times New Roman"/>
          <w:b/>
          <w:sz w:val="28"/>
          <w:szCs w:val="28"/>
        </w:rPr>
        <w:t xml:space="preserve">.5 </w:t>
      </w:r>
      <w:r w:rsidRPr="00D11BAB">
        <w:rPr>
          <w:rFonts w:ascii="Times New Roman" w:hAnsi="Times New Roman"/>
          <w:b/>
          <w:sz w:val="28"/>
          <w:szCs w:val="28"/>
          <w:lang w:bidi="kn-IN"/>
        </w:rPr>
        <w:t>Динамика показателей качества жизни больных в результате реабилитационных мероприятий</w:t>
      </w:r>
    </w:p>
    <w:p w14:paraId="3912E89C" w14:textId="77777777" w:rsidR="00EF5CD6" w:rsidRPr="00D11BAB" w:rsidRDefault="00EF5CD6" w:rsidP="00EF5CD6">
      <w:pPr>
        <w:tabs>
          <w:tab w:val="left" w:pos="1134"/>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Согласно постулатам Европейской организации по исследованию и лечению рака исследование качества жизни дает возможность описать и измерить сложную гамму многоплановых нарушений, которые развиваются у онкологического пациента после специального лечения и в период реабилитации, позволяет изучить влияние заболевания и лечения на показатели качества жизни больного. На данный момент в онкологии приобретает актуальность ситуация, когда и врач, и пациент ставят вопрос о повышении КЖ как в течение всего периода лечения, так и после его завершения. В соответствии </w:t>
      </w:r>
      <w:r w:rsidRPr="00D11BAB">
        <w:rPr>
          <w:rFonts w:ascii="Times New Roman" w:hAnsi="Times New Roman"/>
          <w:sz w:val="28"/>
          <w:szCs w:val="28"/>
        </w:rPr>
        <w:lastRenderedPageBreak/>
        <w:t>с руководством Европейской организации по исследованию и лечению рака, подготовленным рабочей группой по оценке качества жизни, кроме клинического ответа на проводимое лечение необходимо оценивать ответ, связанный с качеством жизни.</w:t>
      </w:r>
    </w:p>
    <w:p w14:paraId="25727494" w14:textId="77777777" w:rsidR="00EF5CD6" w:rsidRPr="00D11BAB" w:rsidRDefault="00EF5CD6" w:rsidP="00EF5CD6">
      <w:pPr>
        <w:tabs>
          <w:tab w:val="left" w:pos="1134"/>
        </w:tabs>
        <w:spacing w:after="0" w:line="240" w:lineRule="auto"/>
        <w:ind w:firstLine="567"/>
        <w:jc w:val="both"/>
        <w:rPr>
          <w:rFonts w:ascii="Times New Roman" w:hAnsi="Times New Roman"/>
          <w:sz w:val="28"/>
          <w:szCs w:val="28"/>
        </w:rPr>
      </w:pPr>
      <w:r w:rsidRPr="00D11BAB">
        <w:rPr>
          <w:rFonts w:ascii="Times New Roman" w:hAnsi="Times New Roman"/>
          <w:sz w:val="28"/>
          <w:szCs w:val="28"/>
        </w:rPr>
        <w:t>Как уже отмечалось выше, мониторинг показателей качества жизни у пациентов после радикального хирургического лечения рака ободочной кишки, проводился в течение года, с интервалом в 3 месяца. После оперативного вмешательства (сроком через 3 месяца) определялись исходно низкие показатели качества жизни по функциональным шкалам, в частности у больных после резекции кишечника с формированием стомы и правосторонней гемиколэктомии. Минимальное среднее значение физического функционирования составило 35,2±2,1 балла, которая наблюдалась у больных с кишечными стомами. Больные после правосторонней гемиколэктомии также показали низкие баллы (55,6±3,2) физического функционирования. Через 3 месяца после левосторонней гемиколэктомии и резекции поперечно-ободочной кишки больные имели баллы выше среднего уровня по данной шкале, 62,3±1,5 и 64,3±2,3 соответственно. В результате мониторинга функциональных шкал определено улучшение физического функционирования к 12 месяцу наблюдения у больных после правосторонней гемиколэктомии (78,8±2,3), левосторонней гемиколэктомии (87,54±2,4), резекции поперечно-ободочной кишки (86,6±1,9) и резекции кишечника с формированием стомы (62,3±2,3) (</w:t>
      </w:r>
      <w:r w:rsidRPr="00D11BAB">
        <w:rPr>
          <w:rFonts w:ascii="Times New Roman" w:hAnsi="Times New Roman"/>
          <w:sz w:val="28"/>
          <w:szCs w:val="28"/>
          <w:lang w:val="en-US"/>
        </w:rPr>
        <w:t>p</w:t>
      </w:r>
      <w:r w:rsidRPr="00D11BAB">
        <w:rPr>
          <w:rFonts w:ascii="Times New Roman" w:hAnsi="Times New Roman"/>
          <w:sz w:val="28"/>
          <w:szCs w:val="28"/>
        </w:rPr>
        <w:t>˂0,05) (рисунок 3</w:t>
      </w:r>
      <w:r>
        <w:rPr>
          <w:rFonts w:ascii="Times New Roman" w:hAnsi="Times New Roman"/>
          <w:sz w:val="28"/>
          <w:szCs w:val="28"/>
        </w:rPr>
        <w:t>6</w:t>
      </w:r>
      <w:r w:rsidRPr="00D11BAB">
        <w:rPr>
          <w:rFonts w:ascii="Times New Roman" w:hAnsi="Times New Roman"/>
          <w:sz w:val="28"/>
          <w:szCs w:val="28"/>
        </w:rPr>
        <w:t>).</w:t>
      </w:r>
    </w:p>
    <w:p w14:paraId="32EF0551" w14:textId="77777777" w:rsidR="00EF5CD6" w:rsidRPr="00D11BAB" w:rsidRDefault="00EF5CD6" w:rsidP="00EF5CD6">
      <w:pPr>
        <w:tabs>
          <w:tab w:val="left" w:pos="1134"/>
        </w:tabs>
        <w:spacing w:after="0" w:line="240" w:lineRule="auto"/>
        <w:ind w:firstLine="709"/>
        <w:jc w:val="both"/>
        <w:rPr>
          <w:rFonts w:ascii="Times New Roman" w:hAnsi="Times New Roman"/>
          <w:sz w:val="28"/>
          <w:szCs w:val="28"/>
        </w:rPr>
      </w:pPr>
    </w:p>
    <w:p w14:paraId="16ABCD12" w14:textId="77777777" w:rsidR="00EF5CD6" w:rsidRPr="00D11BAB" w:rsidRDefault="00EF5CD6" w:rsidP="00EF5CD6">
      <w:pPr>
        <w:tabs>
          <w:tab w:val="left" w:pos="1134"/>
        </w:tabs>
        <w:spacing w:after="0" w:line="240" w:lineRule="auto"/>
        <w:jc w:val="center"/>
        <w:rPr>
          <w:rFonts w:ascii="Times New Roman" w:hAnsi="Times New Roman"/>
          <w:sz w:val="28"/>
          <w:szCs w:val="28"/>
        </w:rPr>
      </w:pPr>
      <w:r w:rsidRPr="00D11BAB">
        <w:rPr>
          <w:rFonts w:ascii="Times New Roman" w:hAnsi="Times New Roman"/>
          <w:noProof/>
        </w:rPr>
        <w:drawing>
          <wp:inline distT="0" distB="0" distL="0" distR="0" wp14:anchorId="1836188B" wp14:editId="6E585A45">
            <wp:extent cx="5775960" cy="3307080"/>
            <wp:effectExtent l="0" t="0" r="0" b="0"/>
            <wp:docPr id="34" name="Диаграмма 1" descr="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Диаграмма 1" descr="Table&#10;&#10;Description automatically generated"/>
                    <pic:cNvPicPr>
                      <a:picLocks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75960" cy="3307080"/>
                    </a:xfrm>
                    <a:prstGeom prst="rect">
                      <a:avLst/>
                    </a:prstGeom>
                    <a:noFill/>
                    <a:ln>
                      <a:noFill/>
                    </a:ln>
                  </pic:spPr>
                </pic:pic>
              </a:graphicData>
            </a:graphic>
          </wp:inline>
        </w:drawing>
      </w:r>
    </w:p>
    <w:p w14:paraId="57E6DA71" w14:textId="77777777" w:rsidR="00EF5CD6" w:rsidRPr="00BB1768" w:rsidRDefault="00EF5CD6" w:rsidP="00EF5CD6">
      <w:pPr>
        <w:tabs>
          <w:tab w:val="left" w:pos="1134"/>
        </w:tabs>
        <w:spacing w:after="0" w:line="240" w:lineRule="auto"/>
        <w:ind w:firstLine="709"/>
        <w:jc w:val="both"/>
        <w:rPr>
          <w:rFonts w:ascii="Times New Roman" w:hAnsi="Times New Roman"/>
          <w:sz w:val="28"/>
          <w:szCs w:val="28"/>
        </w:rPr>
      </w:pPr>
    </w:p>
    <w:p w14:paraId="4E571603" w14:textId="77777777" w:rsidR="00EF5CD6" w:rsidRPr="00D11BAB" w:rsidRDefault="00EF5CD6" w:rsidP="00EF5CD6">
      <w:pPr>
        <w:tabs>
          <w:tab w:val="left" w:pos="1134"/>
        </w:tabs>
        <w:spacing w:after="0" w:line="240" w:lineRule="auto"/>
        <w:jc w:val="center"/>
        <w:rPr>
          <w:rFonts w:ascii="Times New Roman" w:hAnsi="Times New Roman"/>
          <w:sz w:val="28"/>
          <w:szCs w:val="28"/>
        </w:rPr>
      </w:pPr>
      <w:r w:rsidRPr="00D11BAB">
        <w:rPr>
          <w:rFonts w:ascii="Times New Roman" w:hAnsi="Times New Roman"/>
          <w:sz w:val="28"/>
          <w:szCs w:val="28"/>
        </w:rPr>
        <w:t>Рисунок 3</w:t>
      </w:r>
      <w:r>
        <w:rPr>
          <w:rFonts w:ascii="Times New Roman" w:hAnsi="Times New Roman"/>
          <w:sz w:val="28"/>
          <w:szCs w:val="28"/>
        </w:rPr>
        <w:t>6</w:t>
      </w:r>
      <w:r w:rsidRPr="00D11BAB">
        <w:rPr>
          <w:rFonts w:ascii="Times New Roman" w:hAnsi="Times New Roman"/>
          <w:sz w:val="28"/>
          <w:szCs w:val="28"/>
        </w:rPr>
        <w:t xml:space="preserve"> – Динамика показателя Физическое функционирование по анкете </w:t>
      </w:r>
      <w:r w:rsidRPr="00D11BAB">
        <w:rPr>
          <w:rFonts w:ascii="Times New Roman" w:hAnsi="Times New Roman"/>
          <w:sz w:val="28"/>
          <w:szCs w:val="28"/>
          <w:lang w:val="en-US"/>
        </w:rPr>
        <w:t>EORTC</w:t>
      </w:r>
      <w:r w:rsidRPr="00D11BAB">
        <w:rPr>
          <w:rFonts w:ascii="Times New Roman" w:hAnsi="Times New Roman"/>
          <w:sz w:val="28"/>
          <w:szCs w:val="28"/>
        </w:rPr>
        <w:t xml:space="preserve"> </w:t>
      </w:r>
      <w:r w:rsidRPr="00D11BAB">
        <w:rPr>
          <w:rFonts w:ascii="Times New Roman" w:hAnsi="Times New Roman"/>
          <w:sz w:val="28"/>
          <w:szCs w:val="28"/>
          <w:lang w:val="en-US"/>
        </w:rPr>
        <w:t>QLQ</w:t>
      </w:r>
      <w:r w:rsidRPr="00D11BAB">
        <w:rPr>
          <w:rFonts w:ascii="Times New Roman" w:hAnsi="Times New Roman"/>
          <w:sz w:val="28"/>
          <w:szCs w:val="28"/>
        </w:rPr>
        <w:t xml:space="preserve"> </w:t>
      </w:r>
      <w:r w:rsidRPr="00D11BAB">
        <w:rPr>
          <w:rFonts w:ascii="Times New Roman" w:hAnsi="Times New Roman"/>
          <w:sz w:val="28"/>
          <w:szCs w:val="28"/>
          <w:lang w:val="en-US"/>
        </w:rPr>
        <w:t>C</w:t>
      </w:r>
      <w:r w:rsidRPr="00D11BAB">
        <w:rPr>
          <w:rFonts w:ascii="Times New Roman" w:hAnsi="Times New Roman"/>
          <w:sz w:val="28"/>
          <w:szCs w:val="28"/>
        </w:rPr>
        <w:t>30 в течение 12 месяцев наблюдения</w:t>
      </w:r>
    </w:p>
    <w:p w14:paraId="7DF45FAE" w14:textId="77777777" w:rsidR="00EF5CD6" w:rsidRPr="00D11BAB" w:rsidRDefault="00EF5CD6" w:rsidP="00EF5CD6">
      <w:pPr>
        <w:tabs>
          <w:tab w:val="left" w:pos="1134"/>
        </w:tabs>
        <w:spacing w:after="0" w:line="240" w:lineRule="auto"/>
        <w:ind w:firstLine="709"/>
        <w:jc w:val="both"/>
        <w:rPr>
          <w:rFonts w:ascii="Times New Roman" w:hAnsi="Times New Roman"/>
          <w:sz w:val="28"/>
          <w:szCs w:val="28"/>
        </w:rPr>
      </w:pPr>
    </w:p>
    <w:p w14:paraId="23079A50" w14:textId="77777777" w:rsidR="00EF5CD6" w:rsidRPr="00D11BAB" w:rsidRDefault="00EF5CD6" w:rsidP="00EF5CD6">
      <w:pPr>
        <w:tabs>
          <w:tab w:val="left" w:pos="1134"/>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Тенденция снижения функционирования к 3 месяцу после операции ниже 50 баллов отмечено и по другим параметрам функциональных шкал у больных после резекции кишечника с формированием стомы и правосторонней </w:t>
      </w:r>
      <w:r w:rsidRPr="00D11BAB">
        <w:rPr>
          <w:rFonts w:ascii="Times New Roman" w:hAnsi="Times New Roman"/>
          <w:sz w:val="28"/>
          <w:szCs w:val="28"/>
        </w:rPr>
        <w:lastRenderedPageBreak/>
        <w:t>гемиколэктомии: ролевое, социальное, эмоциональное, когнитивное функционирование. Предполагается, что низкие показатели функциональных шкал обусловлены объемом оперативного вмешательства, госпитализацией в онкологический диспансер, необходимостью получать дальнейшее специальное лечение, апатичным состоянием, которое объясняется личностной тревогой об исходе заболевания, а также развитием нарушений после резекции ободочной кишки, в частности энтероколита в сочетании с нутритивной недостаточностью и электролитными нарушениями. В течение всего реабилитационного периода по показаниям пациентам проводилась психологическая поддержка в виде бесед, аутотренингов, что имело положительный эффект на психологическое состояние пациентов. Об этом свидетельствуют результаты исследования эмоциональных, ролевых, когнитивных параметров качества жизни. Например, зарегистрирована положительная динамика эмоционального функционирования при изучении качества жизни на 9 и 12 месяцы после операции (рисунок 3</w:t>
      </w:r>
      <w:r>
        <w:rPr>
          <w:rFonts w:ascii="Times New Roman" w:hAnsi="Times New Roman"/>
          <w:sz w:val="28"/>
          <w:szCs w:val="28"/>
        </w:rPr>
        <w:t>7</w:t>
      </w:r>
      <w:r w:rsidRPr="00D11BAB">
        <w:rPr>
          <w:rFonts w:ascii="Times New Roman" w:hAnsi="Times New Roman"/>
          <w:sz w:val="28"/>
          <w:szCs w:val="28"/>
        </w:rPr>
        <w:t>). Нормализация функциональных параметров в эти сроки обусловлено улучшением адаптационных процессов к новому анатомо-физиологическому состоянию, проведенными реабилитационными мероприятиями и психологической поддержки, как больного, так и его родственников.</w:t>
      </w:r>
    </w:p>
    <w:p w14:paraId="75B7AB87" w14:textId="77777777" w:rsidR="00EF5CD6" w:rsidRDefault="00EF5CD6" w:rsidP="00EF5CD6">
      <w:pPr>
        <w:tabs>
          <w:tab w:val="left" w:pos="1134"/>
        </w:tabs>
        <w:spacing w:after="0" w:line="240" w:lineRule="auto"/>
        <w:ind w:firstLine="567"/>
        <w:jc w:val="both"/>
        <w:rPr>
          <w:rFonts w:ascii="Times New Roman" w:hAnsi="Times New Roman"/>
          <w:sz w:val="28"/>
          <w:szCs w:val="28"/>
        </w:rPr>
      </w:pPr>
    </w:p>
    <w:p w14:paraId="223C4A4A" w14:textId="77777777" w:rsidR="00EF5CD6" w:rsidRPr="00D11BAB" w:rsidRDefault="00EF5CD6" w:rsidP="00EF5CD6">
      <w:pPr>
        <w:tabs>
          <w:tab w:val="left" w:pos="1134"/>
        </w:tabs>
        <w:spacing w:after="0" w:line="240" w:lineRule="auto"/>
        <w:ind w:firstLine="567"/>
        <w:jc w:val="both"/>
        <w:rPr>
          <w:rFonts w:ascii="Times New Roman" w:hAnsi="Times New Roman"/>
          <w:sz w:val="28"/>
          <w:szCs w:val="28"/>
        </w:rPr>
      </w:pPr>
    </w:p>
    <w:p w14:paraId="7DFAB040" w14:textId="77777777" w:rsidR="00EF5CD6" w:rsidRPr="00D11BAB" w:rsidRDefault="00EF5CD6" w:rsidP="00EF5CD6">
      <w:pPr>
        <w:tabs>
          <w:tab w:val="left" w:pos="1134"/>
        </w:tabs>
        <w:spacing w:after="0" w:line="240" w:lineRule="auto"/>
        <w:jc w:val="center"/>
        <w:rPr>
          <w:rFonts w:ascii="Times New Roman" w:hAnsi="Times New Roman"/>
          <w:sz w:val="28"/>
          <w:szCs w:val="28"/>
        </w:rPr>
      </w:pPr>
      <w:r w:rsidRPr="00D11BAB">
        <w:rPr>
          <w:rFonts w:ascii="Times New Roman" w:hAnsi="Times New Roman"/>
          <w:noProof/>
        </w:rPr>
        <w:drawing>
          <wp:inline distT="0" distB="0" distL="0" distR="0" wp14:anchorId="4E8BF7BC" wp14:editId="6AABCC13">
            <wp:extent cx="5501640" cy="3535680"/>
            <wp:effectExtent l="0" t="0" r="0" b="0"/>
            <wp:docPr id="35" name="Диаграмма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6"/>
                    <pic:cNvPicPr>
                      <a:picLocks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01640" cy="3535680"/>
                    </a:xfrm>
                    <a:prstGeom prst="rect">
                      <a:avLst/>
                    </a:prstGeom>
                    <a:noFill/>
                    <a:ln>
                      <a:noFill/>
                    </a:ln>
                  </pic:spPr>
                </pic:pic>
              </a:graphicData>
            </a:graphic>
          </wp:inline>
        </w:drawing>
      </w:r>
    </w:p>
    <w:p w14:paraId="1548905F" w14:textId="77777777" w:rsidR="00EF5CD6" w:rsidRPr="00D11BAB" w:rsidRDefault="00EF5CD6" w:rsidP="00EF5CD6">
      <w:pPr>
        <w:tabs>
          <w:tab w:val="left" w:pos="1134"/>
        </w:tabs>
        <w:spacing w:after="0" w:line="240" w:lineRule="auto"/>
        <w:ind w:firstLine="567"/>
        <w:jc w:val="both"/>
        <w:rPr>
          <w:rFonts w:ascii="Times New Roman" w:hAnsi="Times New Roman"/>
          <w:sz w:val="16"/>
          <w:szCs w:val="16"/>
        </w:rPr>
      </w:pPr>
    </w:p>
    <w:p w14:paraId="1BD74F93" w14:textId="77777777" w:rsidR="00EF5CD6" w:rsidRPr="00D11BAB" w:rsidRDefault="00EF5CD6" w:rsidP="00EF5CD6">
      <w:pPr>
        <w:tabs>
          <w:tab w:val="left" w:pos="1545"/>
        </w:tabs>
        <w:spacing w:after="0" w:line="240" w:lineRule="auto"/>
        <w:jc w:val="center"/>
        <w:rPr>
          <w:rFonts w:ascii="Times New Roman" w:hAnsi="Times New Roman"/>
          <w:sz w:val="28"/>
          <w:szCs w:val="28"/>
        </w:rPr>
      </w:pPr>
      <w:r w:rsidRPr="00D11BAB">
        <w:rPr>
          <w:rFonts w:ascii="Times New Roman" w:hAnsi="Times New Roman"/>
          <w:sz w:val="28"/>
          <w:szCs w:val="28"/>
        </w:rPr>
        <w:t>Рисунок 3</w:t>
      </w:r>
      <w:r>
        <w:rPr>
          <w:rFonts w:ascii="Times New Roman" w:hAnsi="Times New Roman"/>
          <w:sz w:val="28"/>
          <w:szCs w:val="28"/>
        </w:rPr>
        <w:t>7</w:t>
      </w:r>
      <w:r w:rsidRPr="00D11BAB">
        <w:rPr>
          <w:rFonts w:ascii="Times New Roman" w:hAnsi="Times New Roman"/>
          <w:sz w:val="28"/>
          <w:szCs w:val="28"/>
        </w:rPr>
        <w:t xml:space="preserve"> – Динамика показателя Эмоциональное функционирование по анкете </w:t>
      </w:r>
      <w:r w:rsidRPr="00D11BAB">
        <w:rPr>
          <w:rFonts w:ascii="Times New Roman" w:hAnsi="Times New Roman"/>
          <w:sz w:val="28"/>
          <w:szCs w:val="28"/>
          <w:lang w:val="en-US"/>
        </w:rPr>
        <w:t>EORTC</w:t>
      </w:r>
      <w:r w:rsidRPr="00D11BAB">
        <w:rPr>
          <w:rFonts w:ascii="Times New Roman" w:hAnsi="Times New Roman"/>
          <w:sz w:val="28"/>
          <w:szCs w:val="28"/>
        </w:rPr>
        <w:t xml:space="preserve"> </w:t>
      </w:r>
      <w:r w:rsidRPr="00D11BAB">
        <w:rPr>
          <w:rFonts w:ascii="Times New Roman" w:hAnsi="Times New Roman"/>
          <w:sz w:val="28"/>
          <w:szCs w:val="28"/>
          <w:lang w:val="en-US"/>
        </w:rPr>
        <w:t>QLQ</w:t>
      </w:r>
      <w:r w:rsidRPr="00D11BAB">
        <w:rPr>
          <w:rFonts w:ascii="Times New Roman" w:hAnsi="Times New Roman"/>
          <w:sz w:val="28"/>
          <w:szCs w:val="28"/>
        </w:rPr>
        <w:t xml:space="preserve"> </w:t>
      </w:r>
      <w:r w:rsidRPr="00D11BAB">
        <w:rPr>
          <w:rFonts w:ascii="Times New Roman" w:hAnsi="Times New Roman"/>
          <w:sz w:val="28"/>
          <w:szCs w:val="28"/>
          <w:lang w:val="en-US"/>
        </w:rPr>
        <w:t>C</w:t>
      </w:r>
      <w:r w:rsidRPr="00D11BAB">
        <w:rPr>
          <w:rFonts w:ascii="Times New Roman" w:hAnsi="Times New Roman"/>
          <w:sz w:val="28"/>
          <w:szCs w:val="28"/>
        </w:rPr>
        <w:t>30 в течение 12 месяцев после операции</w:t>
      </w:r>
    </w:p>
    <w:p w14:paraId="2E1483AF" w14:textId="77777777" w:rsidR="00EF5CD6" w:rsidRDefault="00EF5CD6" w:rsidP="00EF5CD6">
      <w:pPr>
        <w:tabs>
          <w:tab w:val="left" w:pos="1134"/>
        </w:tabs>
        <w:spacing w:after="0" w:line="240" w:lineRule="auto"/>
        <w:ind w:firstLine="567"/>
        <w:jc w:val="both"/>
        <w:rPr>
          <w:rFonts w:ascii="Times New Roman" w:hAnsi="Times New Roman"/>
          <w:sz w:val="28"/>
          <w:szCs w:val="28"/>
        </w:rPr>
      </w:pPr>
    </w:p>
    <w:p w14:paraId="640C9CC6" w14:textId="77777777" w:rsidR="00EF5CD6" w:rsidRPr="00D11BAB" w:rsidRDefault="00EF5CD6" w:rsidP="00EF5CD6">
      <w:pPr>
        <w:tabs>
          <w:tab w:val="left" w:pos="1134"/>
        </w:tabs>
        <w:spacing w:after="0" w:line="240" w:lineRule="auto"/>
        <w:ind w:firstLine="567"/>
        <w:jc w:val="both"/>
        <w:rPr>
          <w:rFonts w:ascii="Times New Roman" w:hAnsi="Times New Roman"/>
          <w:sz w:val="28"/>
          <w:szCs w:val="28"/>
        </w:rPr>
      </w:pPr>
    </w:p>
    <w:p w14:paraId="52E74DB7" w14:textId="77777777" w:rsidR="00EF5CD6" w:rsidRPr="00D11BAB" w:rsidRDefault="00EF5CD6" w:rsidP="00EF5CD6">
      <w:pPr>
        <w:tabs>
          <w:tab w:val="left" w:pos="1134"/>
        </w:tabs>
        <w:spacing w:after="0" w:line="240" w:lineRule="auto"/>
        <w:ind w:firstLine="567"/>
        <w:jc w:val="both"/>
        <w:rPr>
          <w:rFonts w:ascii="Times New Roman" w:hAnsi="Times New Roman"/>
          <w:sz w:val="28"/>
          <w:szCs w:val="28"/>
        </w:rPr>
      </w:pPr>
      <w:r w:rsidRPr="00D11BAB">
        <w:rPr>
          <w:rFonts w:ascii="Times New Roman" w:hAnsi="Times New Roman"/>
          <w:sz w:val="28"/>
          <w:szCs w:val="28"/>
        </w:rPr>
        <w:t>Кроме того, отмечено рост ролевого функционирования, отражающая степень влияния физического состояния на выполнение повседневных обязанностей. Таким образом, рисунок 3</w:t>
      </w:r>
      <w:r>
        <w:rPr>
          <w:rFonts w:ascii="Times New Roman" w:hAnsi="Times New Roman"/>
          <w:sz w:val="28"/>
          <w:szCs w:val="28"/>
        </w:rPr>
        <w:t>8</w:t>
      </w:r>
      <w:r w:rsidRPr="00D11BAB">
        <w:rPr>
          <w:rFonts w:ascii="Times New Roman" w:hAnsi="Times New Roman"/>
          <w:sz w:val="28"/>
          <w:szCs w:val="28"/>
        </w:rPr>
        <w:t xml:space="preserve"> демонстрирует, исходно высокий </w:t>
      </w:r>
      <w:r w:rsidRPr="00D11BAB">
        <w:rPr>
          <w:rFonts w:ascii="Times New Roman" w:hAnsi="Times New Roman"/>
          <w:sz w:val="28"/>
          <w:szCs w:val="28"/>
        </w:rPr>
        <w:lastRenderedPageBreak/>
        <w:t xml:space="preserve">показатель ролевого функционирования у больных после резекции поперечно-ободочной кишки (80,5±2,4) и левосторонней гемиколэктомии (68,9±2,1), данная группа больных показала повышение показателей свыше 80 баллов к 12 месяцу реабилитации. </w:t>
      </w:r>
    </w:p>
    <w:p w14:paraId="0E9D5401" w14:textId="77777777" w:rsidR="00EF5CD6" w:rsidRDefault="00EF5CD6" w:rsidP="00EF5CD6">
      <w:pPr>
        <w:tabs>
          <w:tab w:val="left" w:pos="1134"/>
        </w:tabs>
        <w:spacing w:after="0" w:line="240" w:lineRule="auto"/>
        <w:ind w:firstLine="709"/>
        <w:jc w:val="both"/>
        <w:rPr>
          <w:rFonts w:ascii="Times New Roman" w:hAnsi="Times New Roman"/>
          <w:sz w:val="28"/>
          <w:szCs w:val="28"/>
        </w:rPr>
      </w:pPr>
      <w:r w:rsidRPr="00D11BAB">
        <w:rPr>
          <w:rFonts w:ascii="Times New Roman" w:hAnsi="Times New Roman"/>
          <w:sz w:val="28"/>
          <w:szCs w:val="28"/>
        </w:rPr>
        <w:t xml:space="preserve"> </w:t>
      </w:r>
    </w:p>
    <w:p w14:paraId="44AC5AC4" w14:textId="77777777" w:rsidR="00EF5CD6" w:rsidRPr="00D11BAB" w:rsidRDefault="00EF5CD6" w:rsidP="00EF5CD6">
      <w:pPr>
        <w:tabs>
          <w:tab w:val="left" w:pos="1134"/>
        </w:tabs>
        <w:spacing w:after="0" w:line="240" w:lineRule="auto"/>
        <w:ind w:firstLine="709"/>
        <w:jc w:val="both"/>
        <w:rPr>
          <w:rFonts w:ascii="Times New Roman" w:hAnsi="Times New Roman"/>
          <w:sz w:val="28"/>
          <w:szCs w:val="28"/>
        </w:rPr>
      </w:pPr>
    </w:p>
    <w:p w14:paraId="2322F815" w14:textId="77777777" w:rsidR="00EF5CD6" w:rsidRPr="00D11BAB" w:rsidRDefault="00EF5CD6" w:rsidP="00EF5CD6">
      <w:pPr>
        <w:tabs>
          <w:tab w:val="left" w:pos="1134"/>
        </w:tabs>
        <w:spacing w:after="0" w:line="240" w:lineRule="auto"/>
        <w:jc w:val="center"/>
        <w:rPr>
          <w:rFonts w:ascii="Times New Roman" w:hAnsi="Times New Roman"/>
          <w:sz w:val="28"/>
          <w:szCs w:val="28"/>
        </w:rPr>
      </w:pPr>
      <w:r w:rsidRPr="00D11BAB">
        <w:rPr>
          <w:rFonts w:ascii="Times New Roman" w:hAnsi="Times New Roman"/>
          <w:noProof/>
        </w:rPr>
        <w:drawing>
          <wp:inline distT="0" distB="0" distL="0" distR="0" wp14:anchorId="5BC0DA81" wp14:editId="108B6C65">
            <wp:extent cx="5310000" cy="3204000"/>
            <wp:effectExtent l="0" t="0" r="5080" b="0"/>
            <wp:docPr id="36" name="Диаграмма 57" descr="Tabl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Диаграмма 57" descr="Table&#10;&#10;Description automatically generated with medium confidence"/>
                    <pic:cNvPicPr>
                      <a:picLocks noChangeArrowheads="1"/>
                    </pic:cNvPicPr>
                  </pic:nvPicPr>
                  <pic:blipFill>
                    <a:blip r:embed="rId62" cstate="print">
                      <a:extLst>
                        <a:ext uri="{28A0092B-C50C-407E-A947-70E740481C1C}">
                          <a14:useLocalDpi xmlns:a14="http://schemas.microsoft.com/office/drawing/2010/main" val="0"/>
                        </a:ext>
                      </a:extLst>
                    </a:blip>
                    <a:srcRect l="1772" t="1152" r="1389" b="943"/>
                    <a:stretch>
                      <a:fillRect/>
                    </a:stretch>
                  </pic:blipFill>
                  <pic:spPr bwMode="auto">
                    <a:xfrm>
                      <a:off x="0" y="0"/>
                      <a:ext cx="5310000" cy="3204000"/>
                    </a:xfrm>
                    <a:prstGeom prst="rect">
                      <a:avLst/>
                    </a:prstGeom>
                    <a:noFill/>
                    <a:ln>
                      <a:noFill/>
                    </a:ln>
                  </pic:spPr>
                </pic:pic>
              </a:graphicData>
            </a:graphic>
          </wp:inline>
        </w:drawing>
      </w:r>
    </w:p>
    <w:p w14:paraId="0F94002B" w14:textId="77777777" w:rsidR="00EF5CD6" w:rsidRPr="00D11BAB" w:rsidRDefault="00EF5CD6" w:rsidP="00EF5CD6">
      <w:pPr>
        <w:tabs>
          <w:tab w:val="left" w:pos="1134"/>
        </w:tabs>
        <w:spacing w:after="0" w:line="240" w:lineRule="auto"/>
        <w:ind w:firstLine="709"/>
        <w:jc w:val="both"/>
        <w:rPr>
          <w:rFonts w:ascii="Times New Roman" w:hAnsi="Times New Roman"/>
          <w:sz w:val="16"/>
          <w:szCs w:val="16"/>
        </w:rPr>
      </w:pPr>
    </w:p>
    <w:p w14:paraId="3BD7307D" w14:textId="77777777" w:rsidR="00EF5CD6" w:rsidRPr="00D11BAB" w:rsidRDefault="00EF5CD6" w:rsidP="00EF5CD6">
      <w:pPr>
        <w:tabs>
          <w:tab w:val="left" w:pos="3664"/>
        </w:tabs>
        <w:spacing w:after="0" w:line="240" w:lineRule="auto"/>
        <w:jc w:val="center"/>
        <w:rPr>
          <w:rFonts w:ascii="Times New Roman" w:hAnsi="Times New Roman"/>
          <w:sz w:val="28"/>
          <w:szCs w:val="28"/>
        </w:rPr>
      </w:pPr>
      <w:r w:rsidRPr="00D11BAB">
        <w:rPr>
          <w:rFonts w:ascii="Times New Roman" w:hAnsi="Times New Roman"/>
          <w:sz w:val="28"/>
          <w:szCs w:val="28"/>
        </w:rPr>
        <w:t>Рисунок 3</w:t>
      </w:r>
      <w:r>
        <w:rPr>
          <w:rFonts w:ascii="Times New Roman" w:hAnsi="Times New Roman"/>
          <w:sz w:val="28"/>
          <w:szCs w:val="28"/>
        </w:rPr>
        <w:t>8</w:t>
      </w:r>
      <w:r w:rsidRPr="00D11BAB">
        <w:rPr>
          <w:rFonts w:ascii="Times New Roman" w:hAnsi="Times New Roman"/>
          <w:sz w:val="28"/>
          <w:szCs w:val="28"/>
        </w:rPr>
        <w:t xml:space="preserve"> – Динамика показателя Ролевое функционирование по анкете</w:t>
      </w:r>
    </w:p>
    <w:p w14:paraId="496BEE19" w14:textId="77777777" w:rsidR="00EF5CD6" w:rsidRPr="00D11BAB" w:rsidRDefault="00EF5CD6" w:rsidP="00EF5CD6">
      <w:pPr>
        <w:tabs>
          <w:tab w:val="left" w:pos="3664"/>
        </w:tabs>
        <w:spacing w:after="0" w:line="240" w:lineRule="auto"/>
        <w:jc w:val="center"/>
        <w:rPr>
          <w:rFonts w:ascii="Times New Roman" w:hAnsi="Times New Roman"/>
          <w:sz w:val="28"/>
          <w:szCs w:val="28"/>
        </w:rPr>
      </w:pPr>
      <w:r w:rsidRPr="00D11BAB">
        <w:rPr>
          <w:rFonts w:ascii="Times New Roman" w:hAnsi="Times New Roman"/>
          <w:sz w:val="28"/>
          <w:szCs w:val="28"/>
          <w:lang w:val="en-US"/>
        </w:rPr>
        <w:t>EORTC</w:t>
      </w:r>
      <w:r w:rsidRPr="00D11BAB">
        <w:rPr>
          <w:rFonts w:ascii="Times New Roman" w:hAnsi="Times New Roman"/>
          <w:sz w:val="28"/>
          <w:szCs w:val="28"/>
        </w:rPr>
        <w:t xml:space="preserve"> </w:t>
      </w:r>
      <w:r w:rsidRPr="00D11BAB">
        <w:rPr>
          <w:rFonts w:ascii="Times New Roman" w:hAnsi="Times New Roman"/>
          <w:sz w:val="28"/>
          <w:szCs w:val="28"/>
          <w:lang w:val="en-US"/>
        </w:rPr>
        <w:t>QLQ</w:t>
      </w:r>
      <w:r w:rsidRPr="00D11BAB">
        <w:rPr>
          <w:rFonts w:ascii="Times New Roman" w:hAnsi="Times New Roman"/>
          <w:sz w:val="28"/>
          <w:szCs w:val="28"/>
        </w:rPr>
        <w:t xml:space="preserve"> </w:t>
      </w:r>
      <w:r w:rsidRPr="00D11BAB">
        <w:rPr>
          <w:rFonts w:ascii="Times New Roman" w:hAnsi="Times New Roman"/>
          <w:sz w:val="28"/>
          <w:szCs w:val="28"/>
          <w:lang w:val="en-US"/>
        </w:rPr>
        <w:t>C</w:t>
      </w:r>
      <w:r w:rsidRPr="00D11BAB">
        <w:rPr>
          <w:rFonts w:ascii="Times New Roman" w:hAnsi="Times New Roman"/>
          <w:sz w:val="28"/>
          <w:szCs w:val="28"/>
        </w:rPr>
        <w:t>30 в течение 12 месяцев наблюдения</w:t>
      </w:r>
    </w:p>
    <w:p w14:paraId="4C9A01E2" w14:textId="77777777" w:rsidR="00EF5CD6" w:rsidRPr="00D11BAB" w:rsidRDefault="00EF5CD6" w:rsidP="00EF5CD6">
      <w:pPr>
        <w:tabs>
          <w:tab w:val="left" w:pos="3664"/>
        </w:tabs>
        <w:spacing w:after="0" w:line="240" w:lineRule="auto"/>
        <w:jc w:val="center"/>
        <w:rPr>
          <w:rFonts w:ascii="Times New Roman" w:hAnsi="Times New Roman"/>
          <w:sz w:val="28"/>
          <w:szCs w:val="28"/>
        </w:rPr>
      </w:pPr>
    </w:p>
    <w:p w14:paraId="4B471BE9" w14:textId="77777777" w:rsidR="00EF5CD6" w:rsidRPr="00D11BAB" w:rsidRDefault="00EF5CD6" w:rsidP="00EF5CD6">
      <w:pPr>
        <w:tabs>
          <w:tab w:val="left" w:pos="1134"/>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Больные после правосторонней гемиколэктомии и резекции кишечника с формированием стомы к 3 месяцу после операции неудовлетворительно справлялись с повседневными обязанностями, что отражает шкала ролевого функционирование с показателями 41±2,2 и 35,9±1,9 баллов соответственно. Однако к 12 месяцу динамического наблюдения наблюдается рост показателей ролевого функционирования у больных после правосторонней гемиколэктомии до 72,6±1,8 и 45,2±2,2 баллов у пациентов после резекции кишечника с формированием стомы. </w:t>
      </w:r>
    </w:p>
    <w:p w14:paraId="02068733" w14:textId="77777777" w:rsidR="00EF5CD6" w:rsidRDefault="00EF5CD6" w:rsidP="00EF5CD6">
      <w:pPr>
        <w:tabs>
          <w:tab w:val="left" w:pos="1134"/>
        </w:tabs>
        <w:spacing w:after="0" w:line="240" w:lineRule="auto"/>
        <w:ind w:firstLine="567"/>
        <w:jc w:val="both"/>
        <w:rPr>
          <w:rFonts w:ascii="Times New Roman" w:hAnsi="Times New Roman"/>
          <w:sz w:val="28"/>
          <w:szCs w:val="28"/>
        </w:rPr>
      </w:pPr>
      <w:r w:rsidRPr="00D11BAB">
        <w:rPr>
          <w:rFonts w:ascii="Times New Roman" w:hAnsi="Times New Roman"/>
          <w:sz w:val="28"/>
          <w:szCs w:val="28"/>
        </w:rPr>
        <w:t>Когнитивное восприятие больных после всех видов операции имела удовлетворительные показатели на весь период наблюдения с незначительной тенденцией к улучшению (рисунок 3</w:t>
      </w:r>
      <w:r>
        <w:rPr>
          <w:rFonts w:ascii="Times New Roman" w:hAnsi="Times New Roman"/>
          <w:sz w:val="28"/>
          <w:szCs w:val="28"/>
        </w:rPr>
        <w:t>9</w:t>
      </w:r>
      <w:r w:rsidRPr="00D11BAB">
        <w:rPr>
          <w:rFonts w:ascii="Times New Roman" w:hAnsi="Times New Roman"/>
          <w:sz w:val="28"/>
          <w:szCs w:val="28"/>
        </w:rPr>
        <w:t>). К 12 месяцу наблюдения средний показатель когнитивного восприятия достиг уровня свыше 80 баллов, что является показателем рациональной деятельности мозга.</w:t>
      </w:r>
    </w:p>
    <w:p w14:paraId="4F7D62ED" w14:textId="77777777" w:rsidR="00EF5CD6" w:rsidRPr="00D11BAB" w:rsidRDefault="00EF5CD6" w:rsidP="00EF5CD6">
      <w:pPr>
        <w:tabs>
          <w:tab w:val="left" w:pos="1134"/>
        </w:tabs>
        <w:spacing w:after="0" w:line="240" w:lineRule="auto"/>
        <w:ind w:firstLine="567"/>
        <w:jc w:val="both"/>
        <w:rPr>
          <w:rFonts w:ascii="Times New Roman" w:hAnsi="Times New Roman"/>
          <w:sz w:val="28"/>
          <w:szCs w:val="28"/>
        </w:rPr>
      </w:pPr>
      <w:r w:rsidRPr="00D11BAB">
        <w:rPr>
          <w:rFonts w:ascii="Times New Roman" w:hAnsi="Times New Roman"/>
          <w:sz w:val="28"/>
          <w:szCs w:val="28"/>
        </w:rPr>
        <w:t>Параметры социального функционирования остаются без видимых изменений, особенно у больных с кишечными стомами, что обусловлено социальной дезадаптацией пациентов, вследствие длительной госпитализации и необходимости частого амбулаторного посещения поликлиники (</w:t>
      </w:r>
      <w:r w:rsidRPr="00D11BAB">
        <w:rPr>
          <w:rFonts w:ascii="Times New Roman" w:hAnsi="Times New Roman"/>
          <w:sz w:val="28"/>
          <w:szCs w:val="28"/>
          <w:lang w:val="en-US"/>
        </w:rPr>
        <w:t>p</w:t>
      </w:r>
      <w:r w:rsidRPr="00D11BAB">
        <w:rPr>
          <w:rFonts w:ascii="Times New Roman" w:hAnsi="Times New Roman"/>
          <w:sz w:val="28"/>
          <w:szCs w:val="28"/>
        </w:rPr>
        <w:t xml:space="preserve">˃0,05) (рисунок </w:t>
      </w:r>
      <w:r>
        <w:rPr>
          <w:rFonts w:ascii="Times New Roman" w:hAnsi="Times New Roman"/>
          <w:sz w:val="28"/>
          <w:szCs w:val="28"/>
        </w:rPr>
        <w:t>40</w:t>
      </w:r>
      <w:r w:rsidRPr="00D11BAB">
        <w:rPr>
          <w:rFonts w:ascii="Times New Roman" w:hAnsi="Times New Roman"/>
          <w:sz w:val="28"/>
          <w:szCs w:val="28"/>
        </w:rPr>
        <w:t>).</w:t>
      </w:r>
    </w:p>
    <w:p w14:paraId="18490F2B" w14:textId="77777777" w:rsidR="00EF5CD6" w:rsidRPr="00D11BAB" w:rsidRDefault="00EF5CD6" w:rsidP="00EF5CD6">
      <w:pPr>
        <w:tabs>
          <w:tab w:val="left" w:pos="1134"/>
        </w:tabs>
        <w:spacing w:after="0" w:line="240" w:lineRule="auto"/>
        <w:jc w:val="center"/>
        <w:rPr>
          <w:rFonts w:ascii="Times New Roman" w:hAnsi="Times New Roman"/>
          <w:sz w:val="28"/>
          <w:szCs w:val="28"/>
        </w:rPr>
      </w:pPr>
      <w:r w:rsidRPr="00D11BAB">
        <w:rPr>
          <w:rFonts w:ascii="Times New Roman" w:hAnsi="Times New Roman"/>
          <w:noProof/>
        </w:rPr>
        <w:lastRenderedPageBreak/>
        <w:drawing>
          <wp:inline distT="0" distB="0" distL="0" distR="0" wp14:anchorId="4FCA16E3" wp14:editId="16DCE526">
            <wp:extent cx="5600700" cy="3429000"/>
            <wp:effectExtent l="0" t="0" r="0" b="0"/>
            <wp:docPr id="37" name="Диаграмма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9"/>
                    <pic:cNvPicPr>
                      <a:picLocks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00700" cy="3429000"/>
                    </a:xfrm>
                    <a:prstGeom prst="rect">
                      <a:avLst/>
                    </a:prstGeom>
                    <a:noFill/>
                    <a:ln>
                      <a:noFill/>
                    </a:ln>
                  </pic:spPr>
                </pic:pic>
              </a:graphicData>
            </a:graphic>
          </wp:inline>
        </w:drawing>
      </w:r>
    </w:p>
    <w:p w14:paraId="45D7B2C5" w14:textId="77777777" w:rsidR="00EF5CD6" w:rsidRPr="00D11BAB" w:rsidRDefault="00EF5CD6" w:rsidP="00EF5CD6">
      <w:pPr>
        <w:tabs>
          <w:tab w:val="left" w:pos="1545"/>
        </w:tabs>
        <w:spacing w:after="0" w:line="240" w:lineRule="auto"/>
        <w:jc w:val="center"/>
        <w:rPr>
          <w:rFonts w:ascii="Times New Roman" w:hAnsi="Times New Roman"/>
          <w:sz w:val="16"/>
          <w:szCs w:val="16"/>
        </w:rPr>
      </w:pPr>
    </w:p>
    <w:p w14:paraId="7EF21AB6" w14:textId="77777777" w:rsidR="00EF5CD6" w:rsidRPr="00D11BAB" w:rsidRDefault="00EF5CD6" w:rsidP="00EF5CD6">
      <w:pPr>
        <w:tabs>
          <w:tab w:val="left" w:pos="1545"/>
        </w:tabs>
        <w:spacing w:after="0" w:line="240" w:lineRule="auto"/>
        <w:jc w:val="center"/>
        <w:rPr>
          <w:rFonts w:ascii="Times New Roman" w:hAnsi="Times New Roman"/>
          <w:sz w:val="28"/>
          <w:szCs w:val="28"/>
        </w:rPr>
      </w:pPr>
      <w:r w:rsidRPr="00D11BAB">
        <w:rPr>
          <w:rFonts w:ascii="Times New Roman" w:hAnsi="Times New Roman"/>
          <w:sz w:val="28"/>
          <w:szCs w:val="28"/>
        </w:rPr>
        <w:t>Рисунок 3</w:t>
      </w:r>
      <w:r>
        <w:rPr>
          <w:rFonts w:ascii="Times New Roman" w:hAnsi="Times New Roman"/>
          <w:sz w:val="28"/>
          <w:szCs w:val="28"/>
        </w:rPr>
        <w:t>9</w:t>
      </w:r>
      <w:r w:rsidRPr="00D11BAB">
        <w:rPr>
          <w:rFonts w:ascii="Times New Roman" w:hAnsi="Times New Roman"/>
          <w:sz w:val="28"/>
          <w:szCs w:val="28"/>
        </w:rPr>
        <w:t xml:space="preserve"> – Динамика показателя Когнитивное восприятие по анкете </w:t>
      </w:r>
      <w:r w:rsidRPr="00D11BAB">
        <w:rPr>
          <w:rFonts w:ascii="Times New Roman" w:hAnsi="Times New Roman"/>
          <w:sz w:val="28"/>
          <w:szCs w:val="28"/>
          <w:lang w:val="en-US"/>
        </w:rPr>
        <w:t>EORTC</w:t>
      </w:r>
      <w:r w:rsidRPr="00D11BAB">
        <w:rPr>
          <w:rFonts w:ascii="Times New Roman" w:hAnsi="Times New Roman"/>
          <w:sz w:val="28"/>
          <w:szCs w:val="28"/>
        </w:rPr>
        <w:t xml:space="preserve"> </w:t>
      </w:r>
      <w:r w:rsidRPr="00D11BAB">
        <w:rPr>
          <w:rFonts w:ascii="Times New Roman" w:hAnsi="Times New Roman"/>
          <w:sz w:val="28"/>
          <w:szCs w:val="28"/>
          <w:lang w:val="en-US"/>
        </w:rPr>
        <w:t>QLQ</w:t>
      </w:r>
      <w:r w:rsidRPr="00D11BAB">
        <w:rPr>
          <w:rFonts w:ascii="Times New Roman" w:hAnsi="Times New Roman"/>
          <w:sz w:val="28"/>
          <w:szCs w:val="28"/>
        </w:rPr>
        <w:t xml:space="preserve"> </w:t>
      </w:r>
      <w:r w:rsidRPr="00D11BAB">
        <w:rPr>
          <w:rFonts w:ascii="Times New Roman" w:hAnsi="Times New Roman"/>
          <w:sz w:val="28"/>
          <w:szCs w:val="28"/>
          <w:lang w:val="en-US"/>
        </w:rPr>
        <w:t>C</w:t>
      </w:r>
      <w:r w:rsidRPr="00D11BAB">
        <w:rPr>
          <w:rFonts w:ascii="Times New Roman" w:hAnsi="Times New Roman"/>
          <w:sz w:val="28"/>
          <w:szCs w:val="28"/>
        </w:rPr>
        <w:t>30 в течение 12 месяцев наблюдения</w:t>
      </w:r>
    </w:p>
    <w:p w14:paraId="28F7AE95" w14:textId="77777777" w:rsidR="00EF5CD6" w:rsidRDefault="00EF5CD6" w:rsidP="00EF5CD6">
      <w:pPr>
        <w:tabs>
          <w:tab w:val="left" w:pos="1134"/>
        </w:tabs>
        <w:spacing w:after="0" w:line="240" w:lineRule="auto"/>
        <w:ind w:firstLine="567"/>
        <w:jc w:val="both"/>
        <w:rPr>
          <w:rFonts w:ascii="Times New Roman" w:hAnsi="Times New Roman"/>
          <w:sz w:val="28"/>
          <w:szCs w:val="28"/>
        </w:rPr>
      </w:pPr>
    </w:p>
    <w:p w14:paraId="40F14459" w14:textId="77777777" w:rsidR="00EF5CD6" w:rsidRPr="00D11BAB" w:rsidRDefault="00EF5CD6" w:rsidP="00EF5CD6">
      <w:pPr>
        <w:tabs>
          <w:tab w:val="left" w:pos="1134"/>
        </w:tabs>
        <w:spacing w:after="0" w:line="240" w:lineRule="auto"/>
        <w:ind w:firstLine="567"/>
        <w:jc w:val="both"/>
        <w:rPr>
          <w:rFonts w:ascii="Times New Roman" w:hAnsi="Times New Roman"/>
          <w:sz w:val="28"/>
          <w:szCs w:val="28"/>
        </w:rPr>
      </w:pPr>
    </w:p>
    <w:p w14:paraId="02D7E958" w14:textId="77777777" w:rsidR="00EF5CD6" w:rsidRPr="00D11BAB" w:rsidRDefault="00EF5CD6" w:rsidP="00EF5CD6">
      <w:pPr>
        <w:tabs>
          <w:tab w:val="left" w:pos="1134"/>
        </w:tabs>
        <w:spacing w:after="0" w:line="240" w:lineRule="auto"/>
        <w:jc w:val="center"/>
        <w:rPr>
          <w:rFonts w:ascii="Times New Roman" w:hAnsi="Times New Roman"/>
          <w:sz w:val="28"/>
          <w:szCs w:val="28"/>
        </w:rPr>
      </w:pPr>
      <w:r w:rsidRPr="00D11BAB">
        <w:rPr>
          <w:rFonts w:ascii="Times New Roman" w:hAnsi="Times New Roman"/>
          <w:noProof/>
        </w:rPr>
        <w:drawing>
          <wp:inline distT="0" distB="0" distL="0" distR="0" wp14:anchorId="334F9EC0" wp14:editId="1089EB38">
            <wp:extent cx="5196840" cy="3253740"/>
            <wp:effectExtent l="0" t="0" r="0" b="0"/>
            <wp:docPr id="38" name="Диаграмма 61" descr="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Диаграмма 61" descr="Table&#10;&#10;Description automatically generated"/>
                    <pic:cNvPicPr>
                      <a:picLocks noChangeArrowheads="1"/>
                    </pic:cNvPicPr>
                  </pic:nvPicPr>
                  <pic:blipFill>
                    <a:blip r:embed="rId64" cstate="print">
                      <a:extLst>
                        <a:ext uri="{28A0092B-C50C-407E-A947-70E740481C1C}">
                          <a14:useLocalDpi xmlns:a14="http://schemas.microsoft.com/office/drawing/2010/main" val="0"/>
                        </a:ext>
                      </a:extLst>
                    </a:blip>
                    <a:srcRect l="1619" t="1295" r="1012" b="2965"/>
                    <a:stretch>
                      <a:fillRect/>
                    </a:stretch>
                  </pic:blipFill>
                  <pic:spPr bwMode="auto">
                    <a:xfrm>
                      <a:off x="0" y="0"/>
                      <a:ext cx="5196840" cy="3253740"/>
                    </a:xfrm>
                    <a:prstGeom prst="rect">
                      <a:avLst/>
                    </a:prstGeom>
                    <a:noFill/>
                    <a:ln>
                      <a:noFill/>
                    </a:ln>
                  </pic:spPr>
                </pic:pic>
              </a:graphicData>
            </a:graphic>
          </wp:inline>
        </w:drawing>
      </w:r>
    </w:p>
    <w:p w14:paraId="301F94BC" w14:textId="77777777" w:rsidR="00EF5CD6" w:rsidRPr="00D11BAB" w:rsidRDefault="00EF5CD6" w:rsidP="00EF5CD6">
      <w:pPr>
        <w:tabs>
          <w:tab w:val="left" w:pos="1545"/>
        </w:tabs>
        <w:spacing w:after="0" w:line="240" w:lineRule="auto"/>
        <w:jc w:val="center"/>
        <w:rPr>
          <w:rFonts w:ascii="Times New Roman" w:hAnsi="Times New Roman"/>
          <w:sz w:val="16"/>
          <w:szCs w:val="16"/>
        </w:rPr>
      </w:pPr>
    </w:p>
    <w:p w14:paraId="4699B9E1" w14:textId="77777777" w:rsidR="00EF5CD6" w:rsidRPr="00D11BAB" w:rsidRDefault="00EF5CD6" w:rsidP="00EF5CD6">
      <w:pPr>
        <w:tabs>
          <w:tab w:val="left" w:pos="1545"/>
        </w:tabs>
        <w:spacing w:after="0" w:line="240" w:lineRule="auto"/>
        <w:jc w:val="center"/>
        <w:rPr>
          <w:rFonts w:ascii="Times New Roman" w:hAnsi="Times New Roman"/>
          <w:sz w:val="28"/>
          <w:szCs w:val="28"/>
        </w:rPr>
      </w:pPr>
      <w:r w:rsidRPr="00D11BAB">
        <w:rPr>
          <w:rFonts w:ascii="Times New Roman" w:hAnsi="Times New Roman"/>
          <w:sz w:val="28"/>
          <w:szCs w:val="28"/>
        </w:rPr>
        <w:t xml:space="preserve">Рисунок </w:t>
      </w:r>
      <w:r>
        <w:rPr>
          <w:rFonts w:ascii="Times New Roman" w:hAnsi="Times New Roman"/>
          <w:sz w:val="28"/>
          <w:szCs w:val="28"/>
        </w:rPr>
        <w:t>40</w:t>
      </w:r>
      <w:r w:rsidRPr="00D11BAB">
        <w:rPr>
          <w:rFonts w:ascii="Times New Roman" w:hAnsi="Times New Roman"/>
          <w:sz w:val="28"/>
          <w:szCs w:val="28"/>
        </w:rPr>
        <w:t xml:space="preserve"> – Динамика показателя Социальное благополучие по анкете </w:t>
      </w:r>
      <w:r w:rsidRPr="00D11BAB">
        <w:rPr>
          <w:rFonts w:ascii="Times New Roman" w:hAnsi="Times New Roman"/>
          <w:sz w:val="28"/>
          <w:szCs w:val="28"/>
          <w:lang w:val="en-US"/>
        </w:rPr>
        <w:t>EORTC</w:t>
      </w:r>
      <w:r w:rsidRPr="00D11BAB">
        <w:rPr>
          <w:rFonts w:ascii="Times New Roman" w:hAnsi="Times New Roman"/>
          <w:sz w:val="28"/>
          <w:szCs w:val="28"/>
        </w:rPr>
        <w:t xml:space="preserve"> </w:t>
      </w:r>
      <w:r w:rsidRPr="00D11BAB">
        <w:rPr>
          <w:rFonts w:ascii="Times New Roman" w:hAnsi="Times New Roman"/>
          <w:sz w:val="28"/>
          <w:szCs w:val="28"/>
          <w:lang w:val="en-US"/>
        </w:rPr>
        <w:t>QLQ</w:t>
      </w:r>
      <w:r w:rsidRPr="00D11BAB">
        <w:rPr>
          <w:rFonts w:ascii="Times New Roman" w:hAnsi="Times New Roman"/>
          <w:sz w:val="28"/>
          <w:szCs w:val="28"/>
        </w:rPr>
        <w:t xml:space="preserve"> </w:t>
      </w:r>
      <w:r w:rsidRPr="00D11BAB">
        <w:rPr>
          <w:rFonts w:ascii="Times New Roman" w:hAnsi="Times New Roman"/>
          <w:sz w:val="28"/>
          <w:szCs w:val="28"/>
          <w:lang w:val="en-US"/>
        </w:rPr>
        <w:t>C</w:t>
      </w:r>
      <w:r w:rsidRPr="00D11BAB">
        <w:rPr>
          <w:rFonts w:ascii="Times New Roman" w:hAnsi="Times New Roman"/>
          <w:sz w:val="28"/>
          <w:szCs w:val="28"/>
        </w:rPr>
        <w:t>30 в течение 12 месяцев наблюдения</w:t>
      </w:r>
    </w:p>
    <w:p w14:paraId="127CC575" w14:textId="77777777" w:rsidR="00EF5CD6" w:rsidRDefault="00EF5CD6" w:rsidP="00EF5CD6">
      <w:pPr>
        <w:tabs>
          <w:tab w:val="left" w:pos="1650"/>
        </w:tabs>
        <w:spacing w:after="0" w:line="240" w:lineRule="auto"/>
        <w:ind w:firstLine="709"/>
        <w:jc w:val="both"/>
        <w:rPr>
          <w:rFonts w:ascii="Times New Roman" w:hAnsi="Times New Roman"/>
          <w:sz w:val="28"/>
          <w:szCs w:val="28"/>
        </w:rPr>
      </w:pPr>
    </w:p>
    <w:p w14:paraId="57AFCF60" w14:textId="77777777" w:rsidR="00EF5CD6" w:rsidRDefault="00EF5CD6" w:rsidP="00EF5CD6">
      <w:pPr>
        <w:tabs>
          <w:tab w:val="left" w:pos="1650"/>
        </w:tabs>
        <w:spacing w:after="0" w:line="240" w:lineRule="auto"/>
        <w:ind w:firstLine="709"/>
        <w:jc w:val="both"/>
        <w:rPr>
          <w:rFonts w:ascii="Times New Roman" w:hAnsi="Times New Roman"/>
          <w:sz w:val="28"/>
          <w:szCs w:val="28"/>
        </w:rPr>
      </w:pPr>
    </w:p>
    <w:p w14:paraId="0EB386B8" w14:textId="77777777" w:rsidR="00EF5CD6" w:rsidRPr="00D11BAB" w:rsidRDefault="00EF5CD6" w:rsidP="00EF5CD6">
      <w:pPr>
        <w:tabs>
          <w:tab w:val="left" w:pos="1650"/>
        </w:tabs>
        <w:spacing w:after="0" w:line="240" w:lineRule="auto"/>
        <w:ind w:firstLine="709"/>
        <w:jc w:val="both"/>
        <w:rPr>
          <w:rFonts w:ascii="Times New Roman" w:hAnsi="Times New Roman"/>
          <w:sz w:val="28"/>
          <w:szCs w:val="28"/>
        </w:rPr>
      </w:pPr>
      <w:r w:rsidRPr="00D11BAB">
        <w:rPr>
          <w:rFonts w:ascii="Times New Roman" w:hAnsi="Times New Roman"/>
          <w:sz w:val="28"/>
          <w:szCs w:val="28"/>
        </w:rPr>
        <w:t xml:space="preserve">Что касается симптоматических шкал, в ранний период наблюдения (3 месяц) зафиксированы низкие показатели по общему статусу здоровья у больных с кишечными стомами и после правосторонней гемиколэктомии (38,6±5,6 и </w:t>
      </w:r>
      <w:r w:rsidRPr="00D11BAB">
        <w:rPr>
          <w:rFonts w:ascii="Times New Roman" w:hAnsi="Times New Roman"/>
          <w:sz w:val="28"/>
          <w:szCs w:val="28"/>
        </w:rPr>
        <w:lastRenderedPageBreak/>
        <w:t xml:space="preserve">44,6±1,9) и высокие по симптоматическим шкалам. Статистический достоверное увеличение показателей Общего статуса здоровья более чем на 50% демонстрируют анкетные данные больных после правосторонней гемиколэктомии, резекции поперечно-ободочной кишки и левосторонней гемиколэктомии. Больные после резекции кишечника с формированием стомы имели базово неудовлетворительные показатели Общего статуса здоровья (38,6±1,5), однако в результате реабилитационных мероприятий прослеживается динамический рост показателя с достижением порогового уровня выше 50 баллов (60,2±2,2) (рисунок </w:t>
      </w:r>
      <w:r>
        <w:rPr>
          <w:rFonts w:ascii="Times New Roman" w:hAnsi="Times New Roman"/>
          <w:sz w:val="28"/>
          <w:szCs w:val="28"/>
        </w:rPr>
        <w:t>41</w:t>
      </w:r>
      <w:r w:rsidRPr="00D11BAB">
        <w:rPr>
          <w:rFonts w:ascii="Times New Roman" w:hAnsi="Times New Roman"/>
          <w:sz w:val="28"/>
          <w:szCs w:val="28"/>
        </w:rPr>
        <w:t>).</w:t>
      </w:r>
    </w:p>
    <w:p w14:paraId="18440974" w14:textId="77777777" w:rsidR="00EF5CD6" w:rsidRDefault="00EF5CD6" w:rsidP="00EF5CD6">
      <w:pPr>
        <w:tabs>
          <w:tab w:val="left" w:pos="1650"/>
        </w:tabs>
        <w:spacing w:after="0" w:line="240" w:lineRule="auto"/>
        <w:ind w:firstLine="709"/>
        <w:jc w:val="both"/>
        <w:rPr>
          <w:rFonts w:ascii="Times New Roman" w:hAnsi="Times New Roman"/>
          <w:sz w:val="28"/>
          <w:szCs w:val="28"/>
        </w:rPr>
      </w:pPr>
    </w:p>
    <w:p w14:paraId="052B5AFF" w14:textId="77777777" w:rsidR="00EF5CD6" w:rsidRPr="00D11BAB" w:rsidRDefault="00EF5CD6" w:rsidP="00EF5CD6">
      <w:pPr>
        <w:tabs>
          <w:tab w:val="left" w:pos="1650"/>
        </w:tabs>
        <w:spacing w:after="0" w:line="240" w:lineRule="auto"/>
        <w:ind w:firstLine="709"/>
        <w:jc w:val="both"/>
        <w:rPr>
          <w:rFonts w:ascii="Times New Roman" w:hAnsi="Times New Roman"/>
          <w:sz w:val="28"/>
          <w:szCs w:val="28"/>
        </w:rPr>
      </w:pPr>
    </w:p>
    <w:p w14:paraId="6B4E906C" w14:textId="77777777" w:rsidR="00EF5CD6" w:rsidRPr="00D11BAB" w:rsidRDefault="00EF5CD6" w:rsidP="00EF5CD6">
      <w:pPr>
        <w:tabs>
          <w:tab w:val="left" w:pos="1650"/>
        </w:tabs>
        <w:spacing w:after="0" w:line="240" w:lineRule="auto"/>
        <w:jc w:val="center"/>
        <w:rPr>
          <w:rFonts w:ascii="Times New Roman" w:hAnsi="Times New Roman"/>
          <w:sz w:val="28"/>
          <w:szCs w:val="28"/>
        </w:rPr>
      </w:pPr>
      <w:r w:rsidRPr="00D11BAB">
        <w:rPr>
          <w:rFonts w:ascii="Times New Roman" w:hAnsi="Times New Roman"/>
          <w:noProof/>
        </w:rPr>
        <w:drawing>
          <wp:inline distT="0" distB="0" distL="0" distR="0" wp14:anchorId="1611710E" wp14:editId="362AD1EB">
            <wp:extent cx="5013960" cy="3863340"/>
            <wp:effectExtent l="0" t="0" r="0" b="0"/>
            <wp:docPr id="39" name="Диаграмма 10" descr="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Диаграмма 10" descr="Table&#10;&#10;Description automatically generated"/>
                    <pic:cNvPicPr>
                      <a:picLocks noChangeArrowheads="1"/>
                    </pic:cNvPicPr>
                  </pic:nvPicPr>
                  <pic:blipFill>
                    <a:blip r:embed="rId65" cstate="print">
                      <a:extLst>
                        <a:ext uri="{28A0092B-C50C-407E-A947-70E740481C1C}">
                          <a14:useLocalDpi xmlns:a14="http://schemas.microsoft.com/office/drawing/2010/main" val="0"/>
                        </a:ext>
                      </a:extLst>
                    </a:blip>
                    <a:srcRect l="1167" t="1309" r="905" b="2138"/>
                    <a:stretch>
                      <a:fillRect/>
                    </a:stretch>
                  </pic:blipFill>
                  <pic:spPr bwMode="auto">
                    <a:xfrm>
                      <a:off x="0" y="0"/>
                      <a:ext cx="5013960" cy="3863340"/>
                    </a:xfrm>
                    <a:prstGeom prst="rect">
                      <a:avLst/>
                    </a:prstGeom>
                    <a:noFill/>
                    <a:ln>
                      <a:noFill/>
                    </a:ln>
                  </pic:spPr>
                </pic:pic>
              </a:graphicData>
            </a:graphic>
          </wp:inline>
        </w:drawing>
      </w:r>
    </w:p>
    <w:p w14:paraId="40076A62" w14:textId="77777777" w:rsidR="00EF5CD6" w:rsidRPr="00D11BAB" w:rsidRDefault="00EF5CD6" w:rsidP="00EF5CD6">
      <w:pPr>
        <w:tabs>
          <w:tab w:val="left" w:pos="1650"/>
        </w:tabs>
        <w:spacing w:after="0" w:line="240" w:lineRule="auto"/>
        <w:ind w:firstLine="709"/>
        <w:jc w:val="both"/>
        <w:rPr>
          <w:rFonts w:ascii="Times New Roman" w:hAnsi="Times New Roman"/>
          <w:sz w:val="16"/>
          <w:szCs w:val="16"/>
        </w:rPr>
      </w:pPr>
    </w:p>
    <w:p w14:paraId="778901D9" w14:textId="77777777" w:rsidR="00EF5CD6" w:rsidRPr="00D11BAB" w:rsidRDefault="00EF5CD6" w:rsidP="00EF5CD6">
      <w:pPr>
        <w:tabs>
          <w:tab w:val="left" w:pos="1545"/>
        </w:tabs>
        <w:spacing w:after="0" w:line="240" w:lineRule="auto"/>
        <w:jc w:val="center"/>
        <w:rPr>
          <w:rFonts w:ascii="Times New Roman" w:hAnsi="Times New Roman"/>
          <w:sz w:val="28"/>
          <w:szCs w:val="28"/>
        </w:rPr>
      </w:pPr>
      <w:r w:rsidRPr="00D11BAB">
        <w:rPr>
          <w:rFonts w:ascii="Times New Roman" w:hAnsi="Times New Roman"/>
          <w:sz w:val="28"/>
          <w:szCs w:val="28"/>
        </w:rPr>
        <w:t xml:space="preserve">Рисунок </w:t>
      </w:r>
      <w:r>
        <w:rPr>
          <w:rFonts w:ascii="Times New Roman" w:hAnsi="Times New Roman"/>
          <w:sz w:val="28"/>
          <w:szCs w:val="28"/>
        </w:rPr>
        <w:t>41</w:t>
      </w:r>
      <w:r w:rsidRPr="00D11BAB">
        <w:rPr>
          <w:rFonts w:ascii="Times New Roman" w:hAnsi="Times New Roman"/>
          <w:sz w:val="28"/>
          <w:szCs w:val="28"/>
        </w:rPr>
        <w:t xml:space="preserve"> – Динамика показателя Общий статус здоровья по анкете </w:t>
      </w:r>
      <w:r w:rsidRPr="00D11BAB">
        <w:rPr>
          <w:rFonts w:ascii="Times New Roman" w:hAnsi="Times New Roman"/>
          <w:sz w:val="28"/>
          <w:szCs w:val="28"/>
          <w:lang w:val="en-US"/>
        </w:rPr>
        <w:t>EORTC</w:t>
      </w:r>
      <w:r w:rsidRPr="00D11BAB">
        <w:rPr>
          <w:rFonts w:ascii="Times New Roman" w:hAnsi="Times New Roman"/>
          <w:sz w:val="28"/>
          <w:szCs w:val="28"/>
        </w:rPr>
        <w:t xml:space="preserve"> </w:t>
      </w:r>
      <w:r w:rsidRPr="00D11BAB">
        <w:rPr>
          <w:rFonts w:ascii="Times New Roman" w:hAnsi="Times New Roman"/>
          <w:sz w:val="28"/>
          <w:szCs w:val="28"/>
          <w:lang w:val="en-US"/>
        </w:rPr>
        <w:t>QLQ</w:t>
      </w:r>
      <w:r w:rsidRPr="00D11BAB">
        <w:rPr>
          <w:rFonts w:ascii="Times New Roman" w:hAnsi="Times New Roman"/>
          <w:sz w:val="28"/>
          <w:szCs w:val="28"/>
        </w:rPr>
        <w:t xml:space="preserve"> </w:t>
      </w:r>
      <w:r w:rsidRPr="00D11BAB">
        <w:rPr>
          <w:rFonts w:ascii="Times New Roman" w:hAnsi="Times New Roman"/>
          <w:sz w:val="28"/>
          <w:szCs w:val="28"/>
          <w:lang w:val="en-US"/>
        </w:rPr>
        <w:t>C</w:t>
      </w:r>
      <w:r w:rsidRPr="00D11BAB">
        <w:rPr>
          <w:rFonts w:ascii="Times New Roman" w:hAnsi="Times New Roman"/>
          <w:sz w:val="28"/>
          <w:szCs w:val="28"/>
        </w:rPr>
        <w:t>30 в течение 12 месяцев наблюдения</w:t>
      </w:r>
    </w:p>
    <w:p w14:paraId="5E18D046" w14:textId="77777777" w:rsidR="00EF5CD6" w:rsidRDefault="00EF5CD6" w:rsidP="00EF5CD6">
      <w:pPr>
        <w:tabs>
          <w:tab w:val="left" w:pos="1650"/>
        </w:tabs>
        <w:spacing w:after="0" w:line="240" w:lineRule="auto"/>
        <w:ind w:firstLine="709"/>
        <w:jc w:val="both"/>
        <w:rPr>
          <w:rFonts w:ascii="Times New Roman" w:hAnsi="Times New Roman"/>
          <w:sz w:val="28"/>
          <w:szCs w:val="28"/>
        </w:rPr>
      </w:pPr>
    </w:p>
    <w:p w14:paraId="78FB03BD" w14:textId="77777777" w:rsidR="00EF5CD6" w:rsidRPr="00D11BAB" w:rsidRDefault="00EF5CD6" w:rsidP="00EF5CD6">
      <w:pPr>
        <w:tabs>
          <w:tab w:val="left" w:pos="1650"/>
        </w:tabs>
        <w:spacing w:after="0" w:line="240" w:lineRule="auto"/>
        <w:ind w:firstLine="709"/>
        <w:jc w:val="both"/>
        <w:rPr>
          <w:rFonts w:ascii="Times New Roman" w:hAnsi="Times New Roman"/>
          <w:sz w:val="28"/>
          <w:szCs w:val="28"/>
        </w:rPr>
      </w:pPr>
    </w:p>
    <w:p w14:paraId="50CB6298" w14:textId="77777777" w:rsidR="00EF5CD6" w:rsidRPr="00D11BAB" w:rsidRDefault="00EF5CD6" w:rsidP="00EF5CD6">
      <w:pPr>
        <w:tabs>
          <w:tab w:val="left" w:pos="1650"/>
        </w:tabs>
        <w:spacing w:after="0" w:line="240" w:lineRule="auto"/>
        <w:ind w:firstLine="709"/>
        <w:jc w:val="both"/>
        <w:rPr>
          <w:rFonts w:ascii="Times New Roman" w:hAnsi="Times New Roman"/>
          <w:sz w:val="28"/>
          <w:szCs w:val="28"/>
        </w:rPr>
      </w:pPr>
      <w:r w:rsidRPr="00D11BAB">
        <w:rPr>
          <w:rFonts w:ascii="Times New Roman" w:hAnsi="Times New Roman"/>
          <w:sz w:val="28"/>
          <w:szCs w:val="28"/>
        </w:rPr>
        <w:t xml:space="preserve">Среди симптомов с высоким уровнем проявления отмечаются такие показатели, как слабость и диарея. Указанные параметры были особо выражены у больных после правосторонней гемиколэктомии и резекции кишечника с формированием стомы (рисунок </w:t>
      </w:r>
      <w:r>
        <w:rPr>
          <w:rFonts w:ascii="Times New Roman" w:hAnsi="Times New Roman"/>
          <w:sz w:val="28"/>
          <w:szCs w:val="28"/>
        </w:rPr>
        <w:t>42</w:t>
      </w:r>
      <w:r w:rsidRPr="00D11BAB">
        <w:rPr>
          <w:rFonts w:ascii="Times New Roman" w:hAnsi="Times New Roman"/>
          <w:sz w:val="28"/>
          <w:szCs w:val="28"/>
        </w:rPr>
        <w:t xml:space="preserve">). К 12 месяцу наблюдения данный показатель снизился в среднем на 30%, за исключением больных с кишечными стомами, у которых шкала Слабость сохранила тенденцию стабильную тенденцию на уровне 50 баллов.  </w:t>
      </w:r>
    </w:p>
    <w:p w14:paraId="259241A7" w14:textId="77777777" w:rsidR="00EF5CD6" w:rsidRPr="00D11BAB" w:rsidRDefault="00EF5CD6" w:rsidP="00EF5CD6">
      <w:pPr>
        <w:tabs>
          <w:tab w:val="left" w:pos="1650"/>
        </w:tabs>
        <w:spacing w:after="0" w:line="240" w:lineRule="auto"/>
        <w:ind w:firstLine="709"/>
        <w:jc w:val="both"/>
        <w:rPr>
          <w:rFonts w:ascii="Times New Roman" w:hAnsi="Times New Roman"/>
          <w:sz w:val="28"/>
          <w:szCs w:val="28"/>
        </w:rPr>
      </w:pPr>
      <w:r w:rsidRPr="00D11BAB">
        <w:rPr>
          <w:rFonts w:ascii="Times New Roman" w:hAnsi="Times New Roman"/>
          <w:sz w:val="28"/>
          <w:szCs w:val="28"/>
        </w:rPr>
        <w:t>Рисунок 37 демонстрирует шкалу Диарея, которая имела самый высокий показатель у больных после правосторонний гемиколэктомии (85,0±1,9), к 12 месяцу реабилитации уровень приблизился к 5 баллам.</w:t>
      </w:r>
    </w:p>
    <w:p w14:paraId="76ED74BD" w14:textId="77777777" w:rsidR="00EF5CD6" w:rsidRPr="00D11BAB" w:rsidRDefault="00EF5CD6" w:rsidP="00EF5CD6">
      <w:pPr>
        <w:tabs>
          <w:tab w:val="left" w:pos="1650"/>
        </w:tabs>
        <w:spacing w:after="0" w:line="240" w:lineRule="auto"/>
        <w:ind w:firstLine="709"/>
        <w:jc w:val="both"/>
        <w:rPr>
          <w:rFonts w:ascii="Times New Roman" w:hAnsi="Times New Roman"/>
          <w:sz w:val="28"/>
          <w:szCs w:val="28"/>
        </w:rPr>
      </w:pPr>
    </w:p>
    <w:p w14:paraId="0EA46508" w14:textId="77777777" w:rsidR="00EF5CD6" w:rsidRPr="00D11BAB" w:rsidRDefault="00EF5CD6" w:rsidP="00EF5CD6">
      <w:pPr>
        <w:tabs>
          <w:tab w:val="left" w:pos="1650"/>
        </w:tabs>
        <w:spacing w:after="0" w:line="240" w:lineRule="auto"/>
        <w:ind w:firstLine="709"/>
        <w:jc w:val="both"/>
        <w:rPr>
          <w:rFonts w:ascii="Times New Roman" w:hAnsi="Times New Roman"/>
          <w:sz w:val="28"/>
          <w:szCs w:val="28"/>
        </w:rPr>
      </w:pPr>
    </w:p>
    <w:p w14:paraId="53C4ACD0" w14:textId="77777777" w:rsidR="00EF5CD6" w:rsidRPr="00D11BAB" w:rsidRDefault="00EF5CD6" w:rsidP="00EF5CD6">
      <w:pPr>
        <w:tabs>
          <w:tab w:val="left" w:pos="1650"/>
        </w:tabs>
        <w:spacing w:after="0" w:line="240" w:lineRule="auto"/>
        <w:jc w:val="center"/>
        <w:rPr>
          <w:rFonts w:ascii="Times New Roman" w:hAnsi="Times New Roman"/>
          <w:sz w:val="28"/>
          <w:szCs w:val="28"/>
        </w:rPr>
      </w:pPr>
      <w:r w:rsidRPr="00D11BAB">
        <w:rPr>
          <w:rFonts w:ascii="Times New Roman" w:hAnsi="Times New Roman"/>
          <w:noProof/>
        </w:rPr>
        <w:drawing>
          <wp:inline distT="0" distB="0" distL="0" distR="0" wp14:anchorId="23C4082D" wp14:editId="327A7E17">
            <wp:extent cx="5638800" cy="3985260"/>
            <wp:effectExtent l="0" t="0" r="0" b="0"/>
            <wp:docPr id="40" name="Диаграмма 62" descr="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Диаграмма 62" descr="Table&#10;&#10;Description automatically generated"/>
                    <pic:cNvPicPr>
                      <a:picLocks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38800" cy="3985260"/>
                    </a:xfrm>
                    <a:prstGeom prst="rect">
                      <a:avLst/>
                    </a:prstGeom>
                    <a:noFill/>
                    <a:ln>
                      <a:noFill/>
                    </a:ln>
                  </pic:spPr>
                </pic:pic>
              </a:graphicData>
            </a:graphic>
          </wp:inline>
        </w:drawing>
      </w:r>
    </w:p>
    <w:p w14:paraId="3B267749" w14:textId="77777777" w:rsidR="00EF5CD6" w:rsidRPr="00D11BAB" w:rsidRDefault="00EF5CD6" w:rsidP="00EF5CD6">
      <w:pPr>
        <w:tabs>
          <w:tab w:val="left" w:pos="1650"/>
        </w:tabs>
        <w:spacing w:after="0" w:line="240" w:lineRule="auto"/>
        <w:ind w:firstLine="709"/>
        <w:jc w:val="both"/>
        <w:rPr>
          <w:rFonts w:ascii="Times New Roman" w:hAnsi="Times New Roman"/>
          <w:sz w:val="16"/>
          <w:szCs w:val="16"/>
        </w:rPr>
      </w:pPr>
    </w:p>
    <w:p w14:paraId="4DBB0F8C" w14:textId="77777777" w:rsidR="00EF5CD6" w:rsidRDefault="00EF5CD6" w:rsidP="00EF5CD6">
      <w:pPr>
        <w:tabs>
          <w:tab w:val="left" w:pos="1545"/>
        </w:tabs>
        <w:spacing w:after="0" w:line="240" w:lineRule="auto"/>
        <w:jc w:val="center"/>
        <w:rPr>
          <w:rFonts w:ascii="Times New Roman" w:hAnsi="Times New Roman"/>
          <w:sz w:val="28"/>
          <w:szCs w:val="28"/>
        </w:rPr>
      </w:pPr>
      <w:r w:rsidRPr="00D11BAB">
        <w:rPr>
          <w:rFonts w:ascii="Times New Roman" w:hAnsi="Times New Roman"/>
          <w:sz w:val="28"/>
          <w:szCs w:val="28"/>
        </w:rPr>
        <w:t xml:space="preserve">Рисунок </w:t>
      </w:r>
      <w:r>
        <w:rPr>
          <w:rFonts w:ascii="Times New Roman" w:hAnsi="Times New Roman"/>
          <w:sz w:val="28"/>
          <w:szCs w:val="28"/>
        </w:rPr>
        <w:t>42</w:t>
      </w:r>
      <w:r w:rsidRPr="00D11BAB">
        <w:rPr>
          <w:rFonts w:ascii="Times New Roman" w:hAnsi="Times New Roman"/>
          <w:sz w:val="28"/>
          <w:szCs w:val="28"/>
        </w:rPr>
        <w:t xml:space="preserve"> – Динамика показателя симптоматической шкалы Слабость по анкете </w:t>
      </w:r>
      <w:r w:rsidRPr="00D11BAB">
        <w:rPr>
          <w:rFonts w:ascii="Times New Roman" w:hAnsi="Times New Roman"/>
          <w:sz w:val="28"/>
          <w:szCs w:val="28"/>
          <w:lang w:val="en-US"/>
        </w:rPr>
        <w:t>EORTC</w:t>
      </w:r>
      <w:r w:rsidRPr="00D11BAB">
        <w:rPr>
          <w:rFonts w:ascii="Times New Roman" w:hAnsi="Times New Roman"/>
          <w:sz w:val="28"/>
          <w:szCs w:val="28"/>
        </w:rPr>
        <w:t xml:space="preserve"> </w:t>
      </w:r>
      <w:r w:rsidRPr="00D11BAB">
        <w:rPr>
          <w:rFonts w:ascii="Times New Roman" w:hAnsi="Times New Roman"/>
          <w:sz w:val="28"/>
          <w:szCs w:val="28"/>
          <w:lang w:val="en-US"/>
        </w:rPr>
        <w:t>QLQ</w:t>
      </w:r>
      <w:r w:rsidRPr="00D11BAB">
        <w:rPr>
          <w:rFonts w:ascii="Times New Roman" w:hAnsi="Times New Roman"/>
          <w:sz w:val="28"/>
          <w:szCs w:val="28"/>
        </w:rPr>
        <w:t xml:space="preserve"> </w:t>
      </w:r>
      <w:r w:rsidRPr="00D11BAB">
        <w:rPr>
          <w:rFonts w:ascii="Times New Roman" w:hAnsi="Times New Roman"/>
          <w:sz w:val="28"/>
          <w:szCs w:val="28"/>
          <w:lang w:val="en-US"/>
        </w:rPr>
        <w:t>C</w:t>
      </w:r>
      <w:r w:rsidRPr="00D11BAB">
        <w:rPr>
          <w:rFonts w:ascii="Times New Roman" w:hAnsi="Times New Roman"/>
          <w:sz w:val="28"/>
          <w:szCs w:val="28"/>
        </w:rPr>
        <w:t>30 в течение 12 месяцев наблюдения</w:t>
      </w:r>
    </w:p>
    <w:p w14:paraId="1C505A82" w14:textId="77777777" w:rsidR="00EF5CD6" w:rsidRDefault="00EF5CD6" w:rsidP="00EF5CD6">
      <w:pPr>
        <w:tabs>
          <w:tab w:val="left" w:pos="1545"/>
        </w:tabs>
        <w:spacing w:after="0" w:line="240" w:lineRule="auto"/>
        <w:jc w:val="center"/>
        <w:rPr>
          <w:rFonts w:ascii="Times New Roman" w:hAnsi="Times New Roman"/>
          <w:sz w:val="28"/>
          <w:szCs w:val="28"/>
        </w:rPr>
      </w:pPr>
    </w:p>
    <w:p w14:paraId="51ACEF3D" w14:textId="77777777" w:rsidR="00EF5CD6" w:rsidRPr="00D11BAB" w:rsidRDefault="00EF5CD6" w:rsidP="00EF5CD6">
      <w:pPr>
        <w:tabs>
          <w:tab w:val="left" w:pos="1545"/>
        </w:tabs>
        <w:spacing w:after="0" w:line="240" w:lineRule="auto"/>
        <w:jc w:val="center"/>
        <w:rPr>
          <w:rFonts w:ascii="Times New Roman" w:hAnsi="Times New Roman"/>
          <w:sz w:val="28"/>
          <w:szCs w:val="28"/>
        </w:rPr>
      </w:pPr>
    </w:p>
    <w:p w14:paraId="7262D1F8" w14:textId="77777777" w:rsidR="00EF5CD6" w:rsidRPr="00D11BAB" w:rsidRDefault="00EF5CD6" w:rsidP="00EF5CD6">
      <w:pPr>
        <w:tabs>
          <w:tab w:val="left" w:pos="1650"/>
        </w:tabs>
        <w:spacing w:after="0" w:line="240" w:lineRule="auto"/>
        <w:jc w:val="center"/>
        <w:rPr>
          <w:rFonts w:ascii="Times New Roman" w:hAnsi="Times New Roman"/>
          <w:sz w:val="28"/>
          <w:szCs w:val="28"/>
        </w:rPr>
      </w:pPr>
      <w:r w:rsidRPr="00D11BAB">
        <w:rPr>
          <w:rFonts w:ascii="Times New Roman" w:hAnsi="Times New Roman"/>
          <w:noProof/>
        </w:rPr>
        <w:drawing>
          <wp:inline distT="0" distB="0" distL="0" distR="0" wp14:anchorId="204406BC" wp14:editId="6CC30D9F">
            <wp:extent cx="5501640" cy="3185160"/>
            <wp:effectExtent l="0" t="0" r="0" b="0"/>
            <wp:docPr id="41" name="Диаграмма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9"/>
                    <pic:cNvPicPr>
                      <a:picLocks noChangeArrowheads="1"/>
                    </pic:cNvPicPr>
                  </pic:nvPicPr>
                  <pic:blipFill>
                    <a:blip r:embed="rId67" cstate="print">
                      <a:extLst>
                        <a:ext uri="{28A0092B-C50C-407E-A947-70E740481C1C}">
                          <a14:useLocalDpi xmlns:a14="http://schemas.microsoft.com/office/drawing/2010/main" val="0"/>
                        </a:ext>
                      </a:extLst>
                    </a:blip>
                    <a:srcRect l="1817" t="1180" r="1294" b="1997"/>
                    <a:stretch>
                      <a:fillRect/>
                    </a:stretch>
                  </pic:blipFill>
                  <pic:spPr bwMode="auto">
                    <a:xfrm>
                      <a:off x="0" y="0"/>
                      <a:ext cx="5501640" cy="3185160"/>
                    </a:xfrm>
                    <a:prstGeom prst="rect">
                      <a:avLst/>
                    </a:prstGeom>
                    <a:noFill/>
                    <a:ln>
                      <a:noFill/>
                    </a:ln>
                  </pic:spPr>
                </pic:pic>
              </a:graphicData>
            </a:graphic>
          </wp:inline>
        </w:drawing>
      </w:r>
    </w:p>
    <w:p w14:paraId="541E1CFD" w14:textId="77777777" w:rsidR="00EF5CD6" w:rsidRPr="00D11BAB" w:rsidRDefault="00EF5CD6" w:rsidP="00EF5CD6">
      <w:pPr>
        <w:tabs>
          <w:tab w:val="left" w:pos="1650"/>
        </w:tabs>
        <w:spacing w:after="0" w:line="240" w:lineRule="auto"/>
        <w:ind w:firstLine="709"/>
        <w:jc w:val="both"/>
        <w:rPr>
          <w:rFonts w:ascii="Times New Roman" w:hAnsi="Times New Roman"/>
          <w:sz w:val="16"/>
          <w:szCs w:val="16"/>
        </w:rPr>
      </w:pPr>
    </w:p>
    <w:p w14:paraId="224B0688" w14:textId="77777777" w:rsidR="00EF5CD6" w:rsidRPr="00D11BAB" w:rsidRDefault="00EF5CD6" w:rsidP="00EF5CD6">
      <w:pPr>
        <w:tabs>
          <w:tab w:val="left" w:pos="1545"/>
        </w:tabs>
        <w:spacing w:after="0" w:line="240" w:lineRule="auto"/>
        <w:jc w:val="center"/>
        <w:rPr>
          <w:rFonts w:ascii="Times New Roman" w:hAnsi="Times New Roman"/>
          <w:sz w:val="28"/>
          <w:szCs w:val="28"/>
        </w:rPr>
      </w:pPr>
      <w:r w:rsidRPr="00D11BAB">
        <w:rPr>
          <w:rFonts w:ascii="Times New Roman" w:hAnsi="Times New Roman"/>
          <w:sz w:val="28"/>
          <w:szCs w:val="28"/>
        </w:rPr>
        <w:t xml:space="preserve">Рисунок </w:t>
      </w:r>
      <w:r>
        <w:rPr>
          <w:rFonts w:ascii="Times New Roman" w:hAnsi="Times New Roman"/>
          <w:sz w:val="28"/>
          <w:szCs w:val="28"/>
        </w:rPr>
        <w:t>43</w:t>
      </w:r>
      <w:r w:rsidRPr="00D11BAB">
        <w:rPr>
          <w:rFonts w:ascii="Times New Roman" w:hAnsi="Times New Roman"/>
          <w:sz w:val="28"/>
          <w:szCs w:val="28"/>
        </w:rPr>
        <w:t xml:space="preserve">– Динамика показателя симптоматической шкалы Диарея по анкете </w:t>
      </w:r>
      <w:r w:rsidRPr="00D11BAB">
        <w:rPr>
          <w:rFonts w:ascii="Times New Roman" w:hAnsi="Times New Roman"/>
          <w:sz w:val="28"/>
          <w:szCs w:val="28"/>
          <w:lang w:val="en-US"/>
        </w:rPr>
        <w:t>EORTC</w:t>
      </w:r>
      <w:r w:rsidRPr="00D11BAB">
        <w:rPr>
          <w:rFonts w:ascii="Times New Roman" w:hAnsi="Times New Roman"/>
          <w:sz w:val="28"/>
          <w:szCs w:val="28"/>
        </w:rPr>
        <w:t xml:space="preserve"> </w:t>
      </w:r>
      <w:r w:rsidRPr="00D11BAB">
        <w:rPr>
          <w:rFonts w:ascii="Times New Roman" w:hAnsi="Times New Roman"/>
          <w:sz w:val="28"/>
          <w:szCs w:val="28"/>
          <w:lang w:val="en-US"/>
        </w:rPr>
        <w:t>QLQ</w:t>
      </w:r>
      <w:r w:rsidRPr="00D11BAB">
        <w:rPr>
          <w:rFonts w:ascii="Times New Roman" w:hAnsi="Times New Roman"/>
          <w:sz w:val="28"/>
          <w:szCs w:val="28"/>
        </w:rPr>
        <w:t xml:space="preserve"> </w:t>
      </w:r>
      <w:r w:rsidRPr="00D11BAB">
        <w:rPr>
          <w:rFonts w:ascii="Times New Roman" w:hAnsi="Times New Roman"/>
          <w:sz w:val="28"/>
          <w:szCs w:val="28"/>
          <w:lang w:val="en-US"/>
        </w:rPr>
        <w:t>C</w:t>
      </w:r>
      <w:r w:rsidRPr="00D11BAB">
        <w:rPr>
          <w:rFonts w:ascii="Times New Roman" w:hAnsi="Times New Roman"/>
          <w:sz w:val="28"/>
          <w:szCs w:val="28"/>
        </w:rPr>
        <w:t>30 в течение 12 месяцев наблюдения</w:t>
      </w:r>
    </w:p>
    <w:p w14:paraId="3346431C" w14:textId="77777777" w:rsidR="00EF5CD6" w:rsidRPr="00D11BAB" w:rsidRDefault="00EF5CD6" w:rsidP="00EF5CD6">
      <w:pPr>
        <w:tabs>
          <w:tab w:val="left" w:pos="1650"/>
        </w:tabs>
        <w:spacing w:after="0" w:line="240" w:lineRule="auto"/>
        <w:ind w:firstLine="709"/>
        <w:jc w:val="both"/>
        <w:rPr>
          <w:rFonts w:ascii="Times New Roman" w:hAnsi="Times New Roman"/>
          <w:sz w:val="28"/>
          <w:szCs w:val="28"/>
        </w:rPr>
      </w:pPr>
    </w:p>
    <w:p w14:paraId="29894963" w14:textId="77777777" w:rsidR="00EF5CD6" w:rsidRPr="00D11BAB" w:rsidRDefault="00EF5CD6" w:rsidP="00EF5CD6">
      <w:pPr>
        <w:tabs>
          <w:tab w:val="left" w:pos="1650"/>
        </w:tabs>
        <w:spacing w:after="0" w:line="240" w:lineRule="auto"/>
        <w:ind w:firstLine="567"/>
        <w:jc w:val="both"/>
        <w:rPr>
          <w:rFonts w:ascii="Times New Roman" w:hAnsi="Times New Roman"/>
          <w:sz w:val="28"/>
          <w:szCs w:val="28"/>
        </w:rPr>
      </w:pPr>
      <w:r w:rsidRPr="00D11BAB">
        <w:rPr>
          <w:rFonts w:ascii="Times New Roman" w:hAnsi="Times New Roman"/>
          <w:sz w:val="28"/>
          <w:szCs w:val="28"/>
        </w:rPr>
        <w:lastRenderedPageBreak/>
        <w:t>Аналогичная тенденция относительно данного показателя прослеживается и у больных после резекции кишечника с формированием стомы: снижение уровня с 72 ±1,5 до 1±0,8 баллов. 60±1,7 баллов по показателю Диарея к 3 месяцу наблюдения отмечается у больных после левосторонней гемиколэктомии и абсолютное снижение до 0 к 12 месяцу реабилитации. Исходно низкий уровень показателя Диарея у больных после резекции поперечно-ободочной кишки (10,0±0,6) со снижением до 0 к концу наблюдения.</w:t>
      </w:r>
    </w:p>
    <w:p w14:paraId="12D127FF" w14:textId="77777777" w:rsidR="00EF5CD6" w:rsidRDefault="00EF5CD6" w:rsidP="00EF5CD6">
      <w:pPr>
        <w:tabs>
          <w:tab w:val="left" w:pos="1650"/>
        </w:tabs>
        <w:spacing w:after="0" w:line="240" w:lineRule="auto"/>
        <w:ind w:firstLine="709"/>
        <w:jc w:val="both"/>
        <w:rPr>
          <w:rFonts w:ascii="Times New Roman" w:hAnsi="Times New Roman"/>
          <w:sz w:val="28"/>
          <w:szCs w:val="28"/>
        </w:rPr>
      </w:pPr>
      <w:r w:rsidRPr="00D11BAB">
        <w:rPr>
          <w:rFonts w:ascii="Times New Roman" w:hAnsi="Times New Roman"/>
          <w:sz w:val="28"/>
          <w:szCs w:val="28"/>
        </w:rPr>
        <w:t xml:space="preserve">Параметр финансовых трудностей (р˃0,05) сохранили схожую тенденцию стабильности (рисунок </w:t>
      </w:r>
      <w:r>
        <w:rPr>
          <w:rFonts w:ascii="Times New Roman" w:hAnsi="Times New Roman"/>
          <w:sz w:val="28"/>
          <w:szCs w:val="28"/>
        </w:rPr>
        <w:t>44</w:t>
      </w:r>
      <w:r w:rsidRPr="00D11BAB">
        <w:rPr>
          <w:rFonts w:ascii="Times New Roman" w:hAnsi="Times New Roman"/>
          <w:sz w:val="28"/>
          <w:szCs w:val="28"/>
        </w:rPr>
        <w:t>).</w:t>
      </w:r>
    </w:p>
    <w:p w14:paraId="7CF80A9E" w14:textId="77777777" w:rsidR="00EF5CD6" w:rsidRDefault="00EF5CD6" w:rsidP="00EF5CD6">
      <w:pPr>
        <w:tabs>
          <w:tab w:val="left" w:pos="1650"/>
        </w:tabs>
        <w:spacing w:after="0" w:line="240" w:lineRule="auto"/>
        <w:ind w:firstLine="709"/>
        <w:jc w:val="both"/>
        <w:rPr>
          <w:rFonts w:ascii="Times New Roman" w:hAnsi="Times New Roman"/>
          <w:sz w:val="28"/>
          <w:szCs w:val="28"/>
        </w:rPr>
      </w:pPr>
    </w:p>
    <w:p w14:paraId="52BC5D50" w14:textId="77777777" w:rsidR="00EF5CD6" w:rsidRPr="00D11BAB" w:rsidRDefault="00EF5CD6" w:rsidP="00EF5CD6">
      <w:pPr>
        <w:tabs>
          <w:tab w:val="left" w:pos="1650"/>
        </w:tabs>
        <w:spacing w:after="0" w:line="240" w:lineRule="auto"/>
        <w:ind w:firstLine="709"/>
        <w:jc w:val="both"/>
        <w:rPr>
          <w:rFonts w:ascii="Times New Roman" w:hAnsi="Times New Roman"/>
          <w:sz w:val="28"/>
          <w:szCs w:val="28"/>
        </w:rPr>
      </w:pPr>
    </w:p>
    <w:p w14:paraId="1F54A11A"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D11BAB">
        <w:rPr>
          <w:rFonts w:ascii="Times New Roman" w:hAnsi="Times New Roman"/>
          <w:noProof/>
        </w:rPr>
        <w:drawing>
          <wp:inline distT="0" distB="0" distL="0" distR="0" wp14:anchorId="11EE76DD" wp14:editId="0452B78F">
            <wp:extent cx="4983480" cy="3505200"/>
            <wp:effectExtent l="0" t="0" r="0" b="0"/>
            <wp:docPr id="42" name="Диаграмма 70" descr="Tabl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Диаграмма 70" descr="Table&#10;&#10;Description automatically generated with medium confidence"/>
                    <pic:cNvPicPr>
                      <a:picLocks noChangeArrowheads="1"/>
                    </pic:cNvPicPr>
                  </pic:nvPicPr>
                  <pic:blipFill>
                    <a:blip r:embed="rId68" cstate="print">
                      <a:extLst>
                        <a:ext uri="{28A0092B-C50C-407E-A947-70E740481C1C}">
                          <a14:useLocalDpi xmlns:a14="http://schemas.microsoft.com/office/drawing/2010/main" val="0"/>
                        </a:ext>
                      </a:extLst>
                    </a:blip>
                    <a:srcRect l="1811" t="1009" r="1421" b="1706"/>
                    <a:stretch>
                      <a:fillRect/>
                    </a:stretch>
                  </pic:blipFill>
                  <pic:spPr bwMode="auto">
                    <a:xfrm>
                      <a:off x="0" y="0"/>
                      <a:ext cx="4983480" cy="3505200"/>
                    </a:xfrm>
                    <a:prstGeom prst="rect">
                      <a:avLst/>
                    </a:prstGeom>
                    <a:noFill/>
                    <a:ln>
                      <a:noFill/>
                    </a:ln>
                  </pic:spPr>
                </pic:pic>
              </a:graphicData>
            </a:graphic>
          </wp:inline>
        </w:drawing>
      </w:r>
    </w:p>
    <w:p w14:paraId="0CB53086" w14:textId="77777777" w:rsidR="00EF5CD6" w:rsidRPr="00173C20" w:rsidRDefault="00EF5CD6" w:rsidP="00EF5CD6">
      <w:pPr>
        <w:tabs>
          <w:tab w:val="left" w:pos="1545"/>
        </w:tabs>
        <w:spacing w:after="0" w:line="240" w:lineRule="auto"/>
        <w:jc w:val="center"/>
        <w:rPr>
          <w:rFonts w:ascii="Times New Roman" w:hAnsi="Times New Roman"/>
          <w:sz w:val="24"/>
          <w:szCs w:val="24"/>
        </w:rPr>
      </w:pPr>
    </w:p>
    <w:p w14:paraId="1E13427F" w14:textId="77777777" w:rsidR="00EF5CD6" w:rsidRPr="00D11BAB" w:rsidRDefault="00EF5CD6" w:rsidP="00EF5CD6">
      <w:pPr>
        <w:tabs>
          <w:tab w:val="left" w:pos="1545"/>
        </w:tabs>
        <w:spacing w:after="0" w:line="240" w:lineRule="auto"/>
        <w:jc w:val="center"/>
        <w:rPr>
          <w:rFonts w:ascii="Times New Roman" w:hAnsi="Times New Roman"/>
          <w:sz w:val="28"/>
          <w:szCs w:val="28"/>
        </w:rPr>
      </w:pPr>
      <w:r w:rsidRPr="00D11BAB">
        <w:rPr>
          <w:rFonts w:ascii="Times New Roman" w:hAnsi="Times New Roman"/>
          <w:sz w:val="28"/>
          <w:szCs w:val="28"/>
        </w:rPr>
        <w:t xml:space="preserve">Рисунок </w:t>
      </w:r>
      <w:r>
        <w:rPr>
          <w:rFonts w:ascii="Times New Roman" w:hAnsi="Times New Roman"/>
          <w:sz w:val="28"/>
          <w:szCs w:val="28"/>
        </w:rPr>
        <w:t>44</w:t>
      </w:r>
      <w:r w:rsidRPr="00D11BAB">
        <w:rPr>
          <w:rFonts w:ascii="Times New Roman" w:hAnsi="Times New Roman"/>
          <w:sz w:val="28"/>
          <w:szCs w:val="28"/>
        </w:rPr>
        <w:t xml:space="preserve"> – Динамика показателя симптоматической шкалы Финансовые трудности по анкете </w:t>
      </w:r>
      <w:r w:rsidRPr="00D11BAB">
        <w:rPr>
          <w:rFonts w:ascii="Times New Roman" w:hAnsi="Times New Roman"/>
          <w:sz w:val="28"/>
          <w:szCs w:val="28"/>
          <w:lang w:val="en-US"/>
        </w:rPr>
        <w:t>EORTC</w:t>
      </w:r>
      <w:r w:rsidRPr="00D11BAB">
        <w:rPr>
          <w:rFonts w:ascii="Times New Roman" w:hAnsi="Times New Roman"/>
          <w:sz w:val="28"/>
          <w:szCs w:val="28"/>
        </w:rPr>
        <w:t xml:space="preserve"> </w:t>
      </w:r>
      <w:r w:rsidRPr="00D11BAB">
        <w:rPr>
          <w:rFonts w:ascii="Times New Roman" w:hAnsi="Times New Roman"/>
          <w:sz w:val="28"/>
          <w:szCs w:val="28"/>
          <w:lang w:val="en-US"/>
        </w:rPr>
        <w:t>QLQ</w:t>
      </w:r>
      <w:r w:rsidRPr="00D11BAB">
        <w:rPr>
          <w:rFonts w:ascii="Times New Roman" w:hAnsi="Times New Roman"/>
          <w:sz w:val="28"/>
          <w:szCs w:val="28"/>
        </w:rPr>
        <w:t xml:space="preserve"> </w:t>
      </w:r>
      <w:r w:rsidRPr="00D11BAB">
        <w:rPr>
          <w:rFonts w:ascii="Times New Roman" w:hAnsi="Times New Roman"/>
          <w:sz w:val="28"/>
          <w:szCs w:val="28"/>
          <w:lang w:val="en-US"/>
        </w:rPr>
        <w:t>C</w:t>
      </w:r>
      <w:r w:rsidRPr="00D11BAB">
        <w:rPr>
          <w:rFonts w:ascii="Times New Roman" w:hAnsi="Times New Roman"/>
          <w:sz w:val="28"/>
          <w:szCs w:val="28"/>
        </w:rPr>
        <w:t>30 в течение 12 месяцев наблюдения</w:t>
      </w:r>
    </w:p>
    <w:p w14:paraId="63EAD65B"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432E4131"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6087D05D" w14:textId="77777777" w:rsidR="00EF5CD6" w:rsidRPr="00D11BAB" w:rsidRDefault="00EF5CD6" w:rsidP="00EF5CD6">
      <w:pPr>
        <w:tabs>
          <w:tab w:val="left" w:pos="1650"/>
        </w:tabs>
        <w:spacing w:after="0" w:line="240" w:lineRule="auto"/>
        <w:ind w:firstLine="567"/>
        <w:jc w:val="both"/>
        <w:rPr>
          <w:rFonts w:ascii="Times New Roman" w:hAnsi="Times New Roman"/>
          <w:sz w:val="28"/>
          <w:szCs w:val="28"/>
        </w:rPr>
      </w:pPr>
      <w:r w:rsidRPr="00D11BAB">
        <w:rPr>
          <w:rFonts w:ascii="Times New Roman" w:hAnsi="Times New Roman"/>
          <w:sz w:val="28"/>
          <w:szCs w:val="28"/>
        </w:rPr>
        <w:t>В этот период немаловажное значение имеет диагностирование и консервативная коррекция послеоперационных осложнений, связанных с энтероколитом, электролитными нарушениями и нутритивной недостаточностью, что оказало положительное влияние на КЖ больных.</w:t>
      </w:r>
    </w:p>
    <w:p w14:paraId="55515846"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В результате реабилитационных мероприятий у пациентов на 12 месяцы после операции не отмечается ухудшение симптоматической шкалы качества жизни, по некоторым параметрам зафиксировано улучшение.</w:t>
      </w:r>
    </w:p>
    <w:p w14:paraId="2CB46320"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В процессе реабилитационных мероприятий происходило улучшение качества жизни больных. У большинства пациентов зарегистрирован ответ на лечение, связанный с качеством жизни, в виде улучшения или стабилизации, а также отмечено снижение выраженности актуальных симптомов.</w:t>
      </w:r>
    </w:p>
    <w:p w14:paraId="1F4B9978" w14:textId="77777777" w:rsidR="00EF5CD6" w:rsidRPr="00D11BAB" w:rsidRDefault="00EF5CD6" w:rsidP="00EF5CD6">
      <w:pPr>
        <w:tabs>
          <w:tab w:val="left" w:pos="1830"/>
        </w:tabs>
        <w:spacing w:after="0" w:line="240" w:lineRule="auto"/>
        <w:ind w:firstLine="567"/>
        <w:jc w:val="both"/>
        <w:rPr>
          <w:rFonts w:ascii="Times New Roman" w:hAnsi="Times New Roman"/>
          <w:sz w:val="28"/>
          <w:szCs w:val="28"/>
        </w:rPr>
      </w:pPr>
    </w:p>
    <w:p w14:paraId="324B5814"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b/>
          <w:sz w:val="28"/>
          <w:szCs w:val="28"/>
        </w:rPr>
      </w:pPr>
      <w:r>
        <w:rPr>
          <w:rFonts w:ascii="Times New Roman" w:hAnsi="Times New Roman"/>
          <w:b/>
          <w:sz w:val="28"/>
          <w:szCs w:val="28"/>
        </w:rPr>
        <w:lastRenderedPageBreak/>
        <w:t>4</w:t>
      </w:r>
      <w:r w:rsidRPr="00D11BAB">
        <w:rPr>
          <w:rFonts w:ascii="Times New Roman" w:hAnsi="Times New Roman"/>
          <w:b/>
          <w:sz w:val="28"/>
          <w:szCs w:val="28"/>
        </w:rPr>
        <w:t xml:space="preserve">.6 </w:t>
      </w:r>
      <w:r w:rsidRPr="00D11BAB">
        <w:rPr>
          <w:rFonts w:ascii="Times New Roman" w:hAnsi="Times New Roman"/>
          <w:b/>
          <w:sz w:val="28"/>
          <w:szCs w:val="28"/>
          <w:lang w:bidi="kn-IN"/>
        </w:rPr>
        <w:t>Оценка влияния реабилитационных мероприятий на общую одногодичную и 3-летнюю выживаемость</w:t>
      </w:r>
    </w:p>
    <w:p w14:paraId="0B0CB9D1" w14:textId="3D720834"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На момент окончания данного исследования из регулярно наблюдавшихся 125 больных </w:t>
      </w:r>
      <w:r w:rsidRPr="00D11BAB">
        <w:rPr>
          <w:rFonts w:ascii="Times New Roman" w:hAnsi="Times New Roman"/>
          <w:sz w:val="28"/>
          <w:szCs w:val="28"/>
          <w:lang w:val="kk-KZ"/>
        </w:rPr>
        <w:t>87</w:t>
      </w:r>
      <w:r w:rsidRPr="00D11BAB">
        <w:rPr>
          <w:rFonts w:ascii="Times New Roman" w:hAnsi="Times New Roman"/>
          <w:sz w:val="28"/>
          <w:szCs w:val="28"/>
        </w:rPr>
        <w:t xml:space="preserve"> человек завершили программу реабилитационных мероприятий, направленных на устранение функциональных осложнений.</w:t>
      </w:r>
    </w:p>
    <w:p w14:paraId="02414618"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r w:rsidRPr="00D11BAB">
        <w:rPr>
          <w:rFonts w:ascii="Times New Roman" w:hAnsi="Times New Roman"/>
          <w:sz w:val="28"/>
          <w:szCs w:val="28"/>
        </w:rPr>
        <w:t>Изучена выживаемость больных с функциональными осложнениями (</w:t>
      </w:r>
      <w:r w:rsidRPr="00D11BAB">
        <w:rPr>
          <w:rFonts w:ascii="Times New Roman" w:hAnsi="Times New Roman"/>
          <w:sz w:val="28"/>
          <w:szCs w:val="28"/>
          <w:lang w:val="en-US"/>
        </w:rPr>
        <w:t>n</w:t>
      </w:r>
      <w:r w:rsidRPr="00D11BAB">
        <w:rPr>
          <w:rFonts w:ascii="Times New Roman" w:hAnsi="Times New Roman"/>
          <w:sz w:val="28"/>
          <w:szCs w:val="28"/>
        </w:rPr>
        <w:t>=</w:t>
      </w:r>
      <w:r w:rsidRPr="00D11BAB">
        <w:rPr>
          <w:rFonts w:ascii="Times New Roman" w:hAnsi="Times New Roman"/>
          <w:sz w:val="28"/>
          <w:szCs w:val="28"/>
          <w:lang w:val="kk-KZ"/>
        </w:rPr>
        <w:t>87</w:t>
      </w:r>
      <w:r w:rsidRPr="00D11BAB">
        <w:rPr>
          <w:rFonts w:ascii="Times New Roman" w:hAnsi="Times New Roman"/>
          <w:sz w:val="28"/>
          <w:szCs w:val="28"/>
        </w:rPr>
        <w:t>), получавших лечение в рамках разработанной реабилитационной программы. В качестве контрольной группы взяты больные с функциональными осложнениями, которым динамическое наблюдение в реабилитационном периоде проведено по стандартной методике. Выживаемость данной группы больных (</w:t>
      </w:r>
      <w:r w:rsidRPr="00D11BAB">
        <w:rPr>
          <w:rFonts w:ascii="Times New Roman" w:hAnsi="Times New Roman"/>
          <w:sz w:val="28"/>
          <w:szCs w:val="28"/>
          <w:lang w:val="en-US"/>
        </w:rPr>
        <w:t>n</w:t>
      </w:r>
      <w:r w:rsidRPr="00D11BAB">
        <w:rPr>
          <w:rFonts w:ascii="Times New Roman" w:hAnsi="Times New Roman"/>
          <w:sz w:val="28"/>
          <w:szCs w:val="28"/>
        </w:rPr>
        <w:t xml:space="preserve">=78) изучена на ретроспективном этапе исследования (рисунок 15,16). По клинически значимым показателям как пол (р=0,174), возраст (р=0,808), стадия рака (р=0,808), гистологический тип рака (р=0,389), степень дифференцировки рака (р=0,309) вид проведенной операции (р=0,309) и сопутствующая патология (р=0,864) больные с функциональными осложнениями обеих групп были однородны (таблица </w:t>
      </w:r>
      <w:r>
        <w:rPr>
          <w:rFonts w:ascii="Times New Roman" w:hAnsi="Times New Roman"/>
          <w:sz w:val="28"/>
          <w:szCs w:val="28"/>
        </w:rPr>
        <w:t>43</w:t>
      </w:r>
      <w:r w:rsidRPr="00D11BAB">
        <w:rPr>
          <w:rFonts w:ascii="Times New Roman" w:hAnsi="Times New Roman"/>
          <w:sz w:val="28"/>
          <w:szCs w:val="28"/>
        </w:rPr>
        <w:t>). Для оценки влияния реабилитационных мероприятий на общую одногодичную и 3-летнюю выживаемость проведено сравнение с применением критерия Манна-Уитни.</w:t>
      </w:r>
    </w:p>
    <w:p w14:paraId="1D2ABEEB"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0BEAF9B2"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D11BAB">
        <w:rPr>
          <w:rFonts w:ascii="Times New Roman" w:hAnsi="Times New Roman"/>
          <w:sz w:val="28"/>
          <w:szCs w:val="28"/>
        </w:rPr>
        <w:t xml:space="preserve">Таблица </w:t>
      </w:r>
      <w:r>
        <w:rPr>
          <w:rFonts w:ascii="Times New Roman" w:hAnsi="Times New Roman"/>
          <w:sz w:val="28"/>
          <w:szCs w:val="28"/>
        </w:rPr>
        <w:t>43</w:t>
      </w:r>
      <w:r w:rsidRPr="00D11BAB">
        <w:rPr>
          <w:rFonts w:ascii="Times New Roman" w:hAnsi="Times New Roman"/>
          <w:sz w:val="28"/>
          <w:szCs w:val="28"/>
        </w:rPr>
        <w:t xml:space="preserve"> – Сравнительная оценка клинических характеристик основной и контрольной групп</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2410"/>
        <w:gridCol w:w="2410"/>
        <w:gridCol w:w="850"/>
      </w:tblGrid>
      <w:tr w:rsidR="00EF5CD6" w:rsidRPr="00D11BAB" w14:paraId="42AB15D5" w14:textId="77777777" w:rsidTr="00094F6F">
        <w:trPr>
          <w:trHeight w:val="1413"/>
        </w:trPr>
        <w:tc>
          <w:tcPr>
            <w:tcW w:w="3969" w:type="dxa"/>
            <w:shd w:val="clear" w:color="auto" w:fill="auto"/>
            <w:vAlign w:val="center"/>
            <w:hideMark/>
          </w:tcPr>
          <w:p w14:paraId="5079CE3F"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Признаки</w:t>
            </w:r>
          </w:p>
        </w:tc>
        <w:tc>
          <w:tcPr>
            <w:tcW w:w="2410" w:type="dxa"/>
            <w:shd w:val="clear" w:color="auto" w:fill="auto"/>
            <w:vAlign w:val="center"/>
          </w:tcPr>
          <w:p w14:paraId="6BEA23A5" w14:textId="77777777" w:rsidR="00EF5CD6" w:rsidRPr="00D11BAB" w:rsidRDefault="00EF5CD6" w:rsidP="00094F6F">
            <w:pPr>
              <w:spacing w:after="0" w:line="240" w:lineRule="auto"/>
              <w:jc w:val="center"/>
              <w:rPr>
                <w:rFonts w:ascii="Times New Roman" w:hAnsi="Times New Roman"/>
                <w:bCs/>
                <w:sz w:val="24"/>
                <w:szCs w:val="24"/>
                <w:lang w:eastAsia="en-US" w:bidi="kn-IN"/>
              </w:rPr>
            </w:pPr>
            <w:r w:rsidRPr="00D11BAB">
              <w:rPr>
                <w:rFonts w:ascii="Times New Roman" w:hAnsi="Times New Roman"/>
                <w:bCs/>
                <w:sz w:val="24"/>
                <w:szCs w:val="24"/>
                <w:lang w:eastAsia="en-US" w:bidi="kn-IN"/>
              </w:rPr>
              <w:t>Больные с функциональными осложнениями (основная группа)</w:t>
            </w:r>
          </w:p>
          <w:p w14:paraId="10666C34" w14:textId="77777777" w:rsidR="00EF5CD6" w:rsidRPr="00D11BAB" w:rsidRDefault="00EF5CD6" w:rsidP="00094F6F">
            <w:pPr>
              <w:spacing w:after="0" w:line="240" w:lineRule="auto"/>
              <w:jc w:val="center"/>
              <w:rPr>
                <w:rFonts w:ascii="Times New Roman" w:hAnsi="Times New Roman"/>
                <w:bCs/>
                <w:sz w:val="24"/>
                <w:szCs w:val="24"/>
                <w:lang w:eastAsia="en-US" w:bidi="kn-IN"/>
              </w:rPr>
            </w:pPr>
            <w:r w:rsidRPr="00D11BAB">
              <w:rPr>
                <w:rFonts w:ascii="Times New Roman" w:hAnsi="Times New Roman"/>
                <w:bCs/>
                <w:sz w:val="24"/>
                <w:szCs w:val="24"/>
                <w:lang w:val="en-US" w:eastAsia="en-US" w:bidi="kn-IN"/>
              </w:rPr>
              <w:t>n</w:t>
            </w:r>
            <w:r w:rsidRPr="00D11BAB">
              <w:rPr>
                <w:rFonts w:ascii="Times New Roman" w:hAnsi="Times New Roman"/>
                <w:bCs/>
                <w:sz w:val="24"/>
                <w:szCs w:val="24"/>
                <w:lang w:eastAsia="en-US" w:bidi="kn-IN"/>
              </w:rPr>
              <w:t>=</w:t>
            </w:r>
            <w:r w:rsidRPr="00D11BAB">
              <w:rPr>
                <w:rFonts w:ascii="Times New Roman" w:hAnsi="Times New Roman"/>
                <w:bCs/>
                <w:sz w:val="24"/>
                <w:szCs w:val="24"/>
                <w:lang w:val="kk-KZ" w:eastAsia="en-US" w:bidi="kn-IN"/>
              </w:rPr>
              <w:t xml:space="preserve">87, </w:t>
            </w:r>
            <w:r w:rsidRPr="00D11BAB">
              <w:rPr>
                <w:rFonts w:ascii="Times New Roman" w:hAnsi="Times New Roman"/>
                <w:sz w:val="24"/>
                <w:szCs w:val="24"/>
                <w:lang w:val="en-US" w:eastAsia="en-US" w:bidi="kn-IN"/>
              </w:rPr>
              <w:t>n</w:t>
            </w:r>
            <w:r w:rsidRPr="00D11BAB">
              <w:rPr>
                <w:rFonts w:ascii="Times New Roman" w:hAnsi="Times New Roman"/>
                <w:sz w:val="24"/>
                <w:szCs w:val="24"/>
                <w:lang w:eastAsia="en-US" w:bidi="kn-IN"/>
              </w:rPr>
              <w:t xml:space="preserve"> (%)</w:t>
            </w:r>
          </w:p>
        </w:tc>
        <w:tc>
          <w:tcPr>
            <w:tcW w:w="2410" w:type="dxa"/>
            <w:shd w:val="clear" w:color="auto" w:fill="auto"/>
            <w:vAlign w:val="center"/>
            <w:hideMark/>
          </w:tcPr>
          <w:p w14:paraId="4451B2B9"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bCs/>
                <w:sz w:val="24"/>
                <w:szCs w:val="24"/>
                <w:lang w:eastAsia="en-US" w:bidi="kn-IN"/>
              </w:rPr>
              <w:t xml:space="preserve">Больные с функциональными осложнениями (контрольная группа </w:t>
            </w:r>
            <w:r w:rsidRPr="00D11BAB">
              <w:rPr>
                <w:rFonts w:ascii="Times New Roman" w:hAnsi="Times New Roman"/>
                <w:bCs/>
                <w:sz w:val="24"/>
                <w:szCs w:val="24"/>
                <w:lang w:val="en-US" w:eastAsia="en-US" w:bidi="kn-IN"/>
              </w:rPr>
              <w:t>n</w:t>
            </w:r>
            <w:r w:rsidRPr="00D11BAB">
              <w:rPr>
                <w:rFonts w:ascii="Times New Roman" w:hAnsi="Times New Roman"/>
                <w:bCs/>
                <w:sz w:val="24"/>
                <w:szCs w:val="24"/>
                <w:lang w:eastAsia="en-US" w:bidi="kn-IN"/>
              </w:rPr>
              <w:t xml:space="preserve">=76, </w:t>
            </w:r>
            <w:r w:rsidRPr="00D11BAB">
              <w:rPr>
                <w:rFonts w:ascii="Times New Roman" w:hAnsi="Times New Roman"/>
                <w:sz w:val="24"/>
                <w:szCs w:val="24"/>
                <w:lang w:val="en-US" w:eastAsia="en-US" w:bidi="kn-IN"/>
              </w:rPr>
              <w:t>n</w:t>
            </w:r>
            <w:r w:rsidRPr="00D11BAB">
              <w:rPr>
                <w:rFonts w:ascii="Times New Roman" w:hAnsi="Times New Roman"/>
                <w:sz w:val="24"/>
                <w:szCs w:val="24"/>
                <w:lang w:eastAsia="en-US" w:bidi="kn-IN"/>
              </w:rPr>
              <w:t xml:space="preserve"> (%)</w:t>
            </w:r>
          </w:p>
        </w:tc>
        <w:tc>
          <w:tcPr>
            <w:tcW w:w="850" w:type="dxa"/>
            <w:shd w:val="clear" w:color="auto" w:fill="auto"/>
            <w:vAlign w:val="center"/>
            <w:hideMark/>
          </w:tcPr>
          <w:p w14:paraId="0D424704"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val="en-US" w:eastAsia="en-US" w:bidi="kn-IN"/>
              </w:rPr>
              <w:t>p</w:t>
            </w:r>
          </w:p>
        </w:tc>
      </w:tr>
      <w:tr w:rsidR="00EF5CD6" w:rsidRPr="00D11BAB" w14:paraId="01E892F7" w14:textId="77777777" w:rsidTr="00094F6F">
        <w:trPr>
          <w:trHeight w:val="63"/>
        </w:trPr>
        <w:tc>
          <w:tcPr>
            <w:tcW w:w="3969" w:type="dxa"/>
            <w:shd w:val="clear" w:color="auto" w:fill="auto"/>
            <w:vAlign w:val="center"/>
          </w:tcPr>
          <w:p w14:paraId="38715AC1"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1</w:t>
            </w:r>
          </w:p>
        </w:tc>
        <w:tc>
          <w:tcPr>
            <w:tcW w:w="2410" w:type="dxa"/>
            <w:shd w:val="clear" w:color="auto" w:fill="auto"/>
            <w:vAlign w:val="center"/>
          </w:tcPr>
          <w:p w14:paraId="6FB377CD" w14:textId="77777777" w:rsidR="00EF5CD6" w:rsidRPr="00D11BAB" w:rsidRDefault="00EF5CD6" w:rsidP="00094F6F">
            <w:pPr>
              <w:spacing w:after="0" w:line="240" w:lineRule="auto"/>
              <w:jc w:val="center"/>
              <w:rPr>
                <w:rFonts w:ascii="Times New Roman" w:hAnsi="Times New Roman"/>
                <w:bCs/>
                <w:sz w:val="24"/>
                <w:szCs w:val="24"/>
                <w:lang w:eastAsia="en-US" w:bidi="kn-IN"/>
              </w:rPr>
            </w:pPr>
            <w:r w:rsidRPr="00D11BAB">
              <w:rPr>
                <w:rFonts w:ascii="Times New Roman" w:hAnsi="Times New Roman"/>
                <w:bCs/>
                <w:sz w:val="24"/>
                <w:szCs w:val="24"/>
                <w:lang w:eastAsia="en-US" w:bidi="kn-IN"/>
              </w:rPr>
              <w:t>2</w:t>
            </w:r>
          </w:p>
        </w:tc>
        <w:tc>
          <w:tcPr>
            <w:tcW w:w="2410" w:type="dxa"/>
            <w:shd w:val="clear" w:color="auto" w:fill="auto"/>
            <w:vAlign w:val="center"/>
          </w:tcPr>
          <w:p w14:paraId="5307DD92" w14:textId="77777777" w:rsidR="00EF5CD6" w:rsidRPr="00D11BAB" w:rsidRDefault="00EF5CD6" w:rsidP="00094F6F">
            <w:pPr>
              <w:spacing w:after="0" w:line="240" w:lineRule="auto"/>
              <w:jc w:val="center"/>
              <w:rPr>
                <w:rFonts w:ascii="Times New Roman" w:hAnsi="Times New Roman"/>
                <w:bCs/>
                <w:sz w:val="24"/>
                <w:szCs w:val="24"/>
                <w:lang w:eastAsia="en-US" w:bidi="kn-IN"/>
              </w:rPr>
            </w:pPr>
            <w:r w:rsidRPr="00D11BAB">
              <w:rPr>
                <w:rFonts w:ascii="Times New Roman" w:hAnsi="Times New Roman"/>
                <w:bCs/>
                <w:sz w:val="24"/>
                <w:szCs w:val="24"/>
                <w:lang w:eastAsia="en-US" w:bidi="kn-IN"/>
              </w:rPr>
              <w:t>3</w:t>
            </w:r>
          </w:p>
        </w:tc>
        <w:tc>
          <w:tcPr>
            <w:tcW w:w="850" w:type="dxa"/>
            <w:shd w:val="clear" w:color="auto" w:fill="auto"/>
            <w:vAlign w:val="center"/>
          </w:tcPr>
          <w:p w14:paraId="6FCC0BAB"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4</w:t>
            </w:r>
          </w:p>
        </w:tc>
      </w:tr>
      <w:tr w:rsidR="00EF5CD6" w:rsidRPr="00D11BAB" w14:paraId="7DAA6BD3" w14:textId="77777777" w:rsidTr="00094F6F">
        <w:trPr>
          <w:trHeight w:val="205"/>
        </w:trPr>
        <w:tc>
          <w:tcPr>
            <w:tcW w:w="9639" w:type="dxa"/>
            <w:gridSpan w:val="4"/>
            <w:shd w:val="clear" w:color="auto" w:fill="auto"/>
            <w:hideMark/>
          </w:tcPr>
          <w:p w14:paraId="525ABA50" w14:textId="77777777" w:rsidR="00EF5CD6" w:rsidRPr="00D11BAB" w:rsidRDefault="00EF5CD6" w:rsidP="00094F6F">
            <w:pPr>
              <w:spacing w:after="0" w:line="240" w:lineRule="auto"/>
              <w:rPr>
                <w:rFonts w:ascii="Times New Roman" w:hAnsi="Times New Roman"/>
                <w:sz w:val="24"/>
                <w:szCs w:val="24"/>
                <w:lang w:eastAsia="en-US" w:bidi="kn-IN"/>
              </w:rPr>
            </w:pPr>
            <w:r w:rsidRPr="00D11BAB">
              <w:rPr>
                <w:rFonts w:ascii="Times New Roman" w:hAnsi="Times New Roman"/>
                <w:sz w:val="24"/>
                <w:szCs w:val="24"/>
                <w:lang w:eastAsia="en-US" w:bidi="kn-IN"/>
              </w:rPr>
              <w:t>Пол</w:t>
            </w:r>
          </w:p>
        </w:tc>
      </w:tr>
      <w:tr w:rsidR="00EF5CD6" w:rsidRPr="00D11BAB" w14:paraId="47A12E91" w14:textId="77777777" w:rsidTr="00094F6F">
        <w:trPr>
          <w:trHeight w:hRule="exact" w:val="340"/>
        </w:trPr>
        <w:tc>
          <w:tcPr>
            <w:tcW w:w="3969" w:type="dxa"/>
            <w:shd w:val="clear" w:color="auto" w:fill="auto"/>
            <w:hideMark/>
          </w:tcPr>
          <w:p w14:paraId="0DF7698D" w14:textId="77777777" w:rsidR="00EF5CD6" w:rsidRPr="00D11BAB" w:rsidRDefault="00EF5CD6" w:rsidP="00094F6F">
            <w:pPr>
              <w:spacing w:after="0" w:line="240" w:lineRule="auto"/>
              <w:ind w:left="142"/>
              <w:rPr>
                <w:rFonts w:ascii="Times New Roman" w:hAnsi="Times New Roman"/>
                <w:sz w:val="24"/>
                <w:szCs w:val="24"/>
                <w:lang w:eastAsia="en-US" w:bidi="kn-IN"/>
              </w:rPr>
            </w:pPr>
            <w:r w:rsidRPr="00D11BAB">
              <w:rPr>
                <w:rFonts w:ascii="Times New Roman" w:hAnsi="Times New Roman"/>
                <w:bCs/>
                <w:sz w:val="24"/>
                <w:szCs w:val="24"/>
                <w:lang w:eastAsia="en-US" w:bidi="kn-IN"/>
              </w:rPr>
              <w:t>- женский</w:t>
            </w:r>
          </w:p>
        </w:tc>
        <w:tc>
          <w:tcPr>
            <w:tcW w:w="2410" w:type="dxa"/>
            <w:shd w:val="clear" w:color="auto" w:fill="auto"/>
          </w:tcPr>
          <w:p w14:paraId="67990F47"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3</w:t>
            </w:r>
            <w:r w:rsidRPr="00D11BAB">
              <w:rPr>
                <w:rFonts w:ascii="Times New Roman" w:hAnsi="Times New Roman"/>
                <w:sz w:val="24"/>
                <w:szCs w:val="24"/>
                <w:lang w:val="kk-KZ" w:eastAsia="en-US" w:bidi="kn-IN"/>
              </w:rPr>
              <w:t>5</w:t>
            </w:r>
            <w:r w:rsidRPr="00D11BAB">
              <w:rPr>
                <w:rFonts w:ascii="Times New Roman" w:hAnsi="Times New Roman"/>
                <w:sz w:val="24"/>
                <w:szCs w:val="24"/>
                <w:lang w:eastAsia="en-US" w:bidi="kn-IN"/>
              </w:rPr>
              <w:t>(40)</w:t>
            </w:r>
          </w:p>
        </w:tc>
        <w:tc>
          <w:tcPr>
            <w:tcW w:w="2410" w:type="dxa"/>
            <w:shd w:val="clear" w:color="auto" w:fill="auto"/>
            <w:hideMark/>
          </w:tcPr>
          <w:p w14:paraId="75EBF473"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val="en-US" w:eastAsia="en-US" w:bidi="kn-IN"/>
              </w:rPr>
              <w:t>32</w:t>
            </w:r>
            <w:r w:rsidRPr="00D11BAB">
              <w:rPr>
                <w:rFonts w:ascii="Times New Roman" w:hAnsi="Times New Roman"/>
                <w:sz w:val="24"/>
                <w:szCs w:val="24"/>
                <w:lang w:eastAsia="en-US" w:bidi="kn-IN"/>
              </w:rPr>
              <w:t>(42,1)</w:t>
            </w:r>
          </w:p>
        </w:tc>
        <w:tc>
          <w:tcPr>
            <w:tcW w:w="850" w:type="dxa"/>
            <w:vMerge w:val="restart"/>
            <w:shd w:val="clear" w:color="auto" w:fill="auto"/>
            <w:vAlign w:val="center"/>
            <w:hideMark/>
          </w:tcPr>
          <w:p w14:paraId="780DE1ED"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0,174</w:t>
            </w:r>
          </w:p>
        </w:tc>
      </w:tr>
      <w:tr w:rsidR="00EF5CD6" w:rsidRPr="00D11BAB" w14:paraId="5BB3760C" w14:textId="77777777" w:rsidTr="00094F6F">
        <w:trPr>
          <w:trHeight w:hRule="exact" w:val="340"/>
        </w:trPr>
        <w:tc>
          <w:tcPr>
            <w:tcW w:w="3969" w:type="dxa"/>
            <w:shd w:val="clear" w:color="auto" w:fill="auto"/>
            <w:hideMark/>
          </w:tcPr>
          <w:p w14:paraId="0D84590E" w14:textId="77777777" w:rsidR="00EF5CD6" w:rsidRPr="00D11BAB" w:rsidRDefault="00EF5CD6" w:rsidP="00094F6F">
            <w:pPr>
              <w:spacing w:after="0" w:line="240" w:lineRule="auto"/>
              <w:ind w:left="142"/>
              <w:rPr>
                <w:rFonts w:ascii="Times New Roman" w:hAnsi="Times New Roman"/>
                <w:sz w:val="24"/>
                <w:szCs w:val="24"/>
                <w:lang w:eastAsia="en-US" w:bidi="kn-IN"/>
              </w:rPr>
            </w:pPr>
            <w:r w:rsidRPr="00D11BAB">
              <w:rPr>
                <w:rFonts w:ascii="Times New Roman" w:hAnsi="Times New Roman"/>
                <w:bCs/>
                <w:sz w:val="24"/>
                <w:szCs w:val="24"/>
                <w:lang w:eastAsia="en-US" w:bidi="kn-IN"/>
              </w:rPr>
              <w:t>- мужской</w:t>
            </w:r>
          </w:p>
        </w:tc>
        <w:tc>
          <w:tcPr>
            <w:tcW w:w="2410" w:type="dxa"/>
            <w:shd w:val="clear" w:color="auto" w:fill="auto"/>
          </w:tcPr>
          <w:p w14:paraId="2959228A"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val="kk-KZ" w:eastAsia="en-US" w:bidi="kn-IN"/>
              </w:rPr>
              <w:t>52</w:t>
            </w:r>
            <w:r w:rsidRPr="00D11BAB">
              <w:rPr>
                <w:rFonts w:ascii="Times New Roman" w:hAnsi="Times New Roman"/>
                <w:sz w:val="24"/>
                <w:szCs w:val="24"/>
                <w:lang w:eastAsia="en-US" w:bidi="kn-IN"/>
              </w:rPr>
              <w:t xml:space="preserve"> (60)</w:t>
            </w:r>
          </w:p>
        </w:tc>
        <w:tc>
          <w:tcPr>
            <w:tcW w:w="2410" w:type="dxa"/>
            <w:shd w:val="clear" w:color="auto" w:fill="auto"/>
            <w:hideMark/>
          </w:tcPr>
          <w:p w14:paraId="5B8EC14D"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val="en-US" w:eastAsia="en-US" w:bidi="kn-IN"/>
              </w:rPr>
              <w:t>44</w:t>
            </w:r>
            <w:r w:rsidRPr="00D11BAB">
              <w:rPr>
                <w:rFonts w:ascii="Times New Roman" w:hAnsi="Times New Roman"/>
                <w:sz w:val="24"/>
                <w:szCs w:val="24"/>
                <w:lang w:eastAsia="en-US" w:bidi="kn-IN"/>
              </w:rPr>
              <w:t>(57,8)</w:t>
            </w:r>
          </w:p>
        </w:tc>
        <w:tc>
          <w:tcPr>
            <w:tcW w:w="850" w:type="dxa"/>
            <w:vMerge/>
            <w:shd w:val="clear" w:color="auto" w:fill="auto"/>
            <w:hideMark/>
          </w:tcPr>
          <w:p w14:paraId="0E9A9785" w14:textId="77777777" w:rsidR="00EF5CD6" w:rsidRPr="00D11BAB" w:rsidRDefault="00EF5CD6" w:rsidP="00094F6F">
            <w:pPr>
              <w:spacing w:after="0" w:line="240" w:lineRule="auto"/>
              <w:jc w:val="center"/>
              <w:rPr>
                <w:rFonts w:ascii="Times New Roman" w:hAnsi="Times New Roman"/>
                <w:sz w:val="24"/>
                <w:szCs w:val="24"/>
                <w:lang w:eastAsia="en-US" w:bidi="kn-IN"/>
              </w:rPr>
            </w:pPr>
          </w:p>
        </w:tc>
      </w:tr>
      <w:tr w:rsidR="00EF5CD6" w:rsidRPr="00D11BAB" w14:paraId="26972D1A" w14:textId="77777777" w:rsidTr="00094F6F">
        <w:trPr>
          <w:trHeight w:val="247"/>
        </w:trPr>
        <w:tc>
          <w:tcPr>
            <w:tcW w:w="9639" w:type="dxa"/>
            <w:gridSpan w:val="4"/>
            <w:shd w:val="clear" w:color="auto" w:fill="auto"/>
            <w:hideMark/>
          </w:tcPr>
          <w:p w14:paraId="0EC49510" w14:textId="77777777" w:rsidR="00EF5CD6" w:rsidRPr="00D11BAB" w:rsidRDefault="00EF5CD6" w:rsidP="00094F6F">
            <w:pPr>
              <w:spacing w:after="0" w:line="240" w:lineRule="auto"/>
              <w:rPr>
                <w:rFonts w:ascii="Times New Roman" w:hAnsi="Times New Roman"/>
                <w:sz w:val="24"/>
                <w:szCs w:val="24"/>
                <w:lang w:eastAsia="en-US" w:bidi="kn-IN"/>
              </w:rPr>
            </w:pPr>
            <w:r w:rsidRPr="00D11BAB">
              <w:rPr>
                <w:rFonts w:ascii="Times New Roman" w:hAnsi="Times New Roman"/>
                <w:sz w:val="24"/>
                <w:szCs w:val="24"/>
                <w:lang w:eastAsia="en-US" w:bidi="kn-IN"/>
              </w:rPr>
              <w:t>Возраст</w:t>
            </w:r>
          </w:p>
        </w:tc>
      </w:tr>
      <w:tr w:rsidR="00EF5CD6" w:rsidRPr="00D11BAB" w14:paraId="4829440E" w14:textId="77777777" w:rsidTr="00094F6F">
        <w:trPr>
          <w:trHeight w:val="191"/>
        </w:trPr>
        <w:tc>
          <w:tcPr>
            <w:tcW w:w="3969" w:type="dxa"/>
            <w:shd w:val="clear" w:color="auto" w:fill="auto"/>
            <w:hideMark/>
          </w:tcPr>
          <w:p w14:paraId="10AA1152" w14:textId="77777777" w:rsidR="00EF5CD6" w:rsidRPr="00D11BAB" w:rsidRDefault="00EF5CD6" w:rsidP="00094F6F">
            <w:pPr>
              <w:spacing w:after="0" w:line="240" w:lineRule="auto"/>
              <w:ind w:left="142"/>
              <w:rPr>
                <w:rFonts w:ascii="Times New Roman" w:hAnsi="Times New Roman"/>
                <w:sz w:val="24"/>
                <w:szCs w:val="24"/>
                <w:lang w:eastAsia="en-US" w:bidi="kn-IN"/>
              </w:rPr>
            </w:pPr>
            <w:r w:rsidRPr="00D11BAB">
              <w:rPr>
                <w:rFonts w:ascii="Times New Roman" w:hAnsi="Times New Roman"/>
                <w:bCs/>
                <w:sz w:val="24"/>
                <w:szCs w:val="24"/>
                <w:lang w:eastAsia="en-US" w:bidi="kn-IN"/>
              </w:rPr>
              <w:t>˂60</w:t>
            </w:r>
          </w:p>
        </w:tc>
        <w:tc>
          <w:tcPr>
            <w:tcW w:w="2410" w:type="dxa"/>
            <w:shd w:val="clear" w:color="auto" w:fill="auto"/>
          </w:tcPr>
          <w:p w14:paraId="67672637"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1</w:t>
            </w:r>
            <w:r w:rsidRPr="00D11BAB">
              <w:rPr>
                <w:rFonts w:ascii="Times New Roman" w:hAnsi="Times New Roman"/>
                <w:sz w:val="24"/>
                <w:szCs w:val="24"/>
                <w:lang w:val="kk-KZ" w:eastAsia="en-US" w:bidi="kn-IN"/>
              </w:rPr>
              <w:t>9</w:t>
            </w:r>
            <w:r w:rsidRPr="00D11BAB">
              <w:rPr>
                <w:rFonts w:ascii="Times New Roman" w:hAnsi="Times New Roman"/>
                <w:sz w:val="24"/>
                <w:szCs w:val="24"/>
                <w:lang w:eastAsia="en-US" w:bidi="kn-IN"/>
              </w:rPr>
              <w:t xml:space="preserve"> (21</w:t>
            </w:r>
            <w:r w:rsidRPr="00D11BAB">
              <w:rPr>
                <w:rFonts w:ascii="Times New Roman" w:hAnsi="Times New Roman"/>
                <w:sz w:val="24"/>
                <w:szCs w:val="24"/>
                <w:lang w:val="kk-KZ" w:eastAsia="en-US" w:bidi="kn-IN"/>
              </w:rPr>
              <w:t>,4</w:t>
            </w:r>
            <w:r w:rsidRPr="00D11BAB">
              <w:rPr>
                <w:rFonts w:ascii="Times New Roman" w:hAnsi="Times New Roman"/>
                <w:sz w:val="24"/>
                <w:szCs w:val="24"/>
                <w:lang w:eastAsia="en-US" w:bidi="kn-IN"/>
              </w:rPr>
              <w:t>)</w:t>
            </w:r>
          </w:p>
        </w:tc>
        <w:tc>
          <w:tcPr>
            <w:tcW w:w="2410" w:type="dxa"/>
            <w:shd w:val="clear" w:color="auto" w:fill="auto"/>
            <w:hideMark/>
          </w:tcPr>
          <w:p w14:paraId="7B320B5B"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35(46)</w:t>
            </w:r>
          </w:p>
        </w:tc>
        <w:tc>
          <w:tcPr>
            <w:tcW w:w="850" w:type="dxa"/>
            <w:vMerge w:val="restart"/>
            <w:shd w:val="clear" w:color="auto" w:fill="auto"/>
            <w:vAlign w:val="center"/>
            <w:hideMark/>
          </w:tcPr>
          <w:p w14:paraId="49EA9A2B"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val="en-US" w:eastAsia="en-US" w:bidi="kn-IN"/>
              </w:rPr>
              <w:t>0,808</w:t>
            </w:r>
          </w:p>
        </w:tc>
      </w:tr>
      <w:tr w:rsidR="00EF5CD6" w:rsidRPr="00D11BAB" w14:paraId="024E03E9" w14:textId="77777777" w:rsidTr="00094F6F">
        <w:trPr>
          <w:trHeight w:val="191"/>
        </w:trPr>
        <w:tc>
          <w:tcPr>
            <w:tcW w:w="3969" w:type="dxa"/>
            <w:shd w:val="clear" w:color="auto" w:fill="auto"/>
            <w:hideMark/>
          </w:tcPr>
          <w:p w14:paraId="72249E28" w14:textId="77777777" w:rsidR="00EF5CD6" w:rsidRPr="00D11BAB" w:rsidRDefault="00EF5CD6" w:rsidP="00094F6F">
            <w:pPr>
              <w:spacing w:after="0" w:line="240" w:lineRule="auto"/>
              <w:ind w:left="142"/>
              <w:rPr>
                <w:rFonts w:ascii="Times New Roman" w:hAnsi="Times New Roman"/>
                <w:sz w:val="24"/>
                <w:szCs w:val="24"/>
                <w:lang w:eastAsia="en-US" w:bidi="kn-IN"/>
              </w:rPr>
            </w:pPr>
            <w:r w:rsidRPr="00D11BAB">
              <w:rPr>
                <w:rFonts w:ascii="Times New Roman" w:hAnsi="Times New Roman"/>
                <w:bCs/>
                <w:sz w:val="24"/>
                <w:szCs w:val="24"/>
                <w:lang w:eastAsia="en-US" w:bidi="kn-IN"/>
              </w:rPr>
              <w:t>˃60</w:t>
            </w:r>
          </w:p>
        </w:tc>
        <w:tc>
          <w:tcPr>
            <w:tcW w:w="2410" w:type="dxa"/>
            <w:shd w:val="clear" w:color="auto" w:fill="auto"/>
          </w:tcPr>
          <w:p w14:paraId="01D452E8"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val="kk-KZ" w:eastAsia="en-US" w:bidi="kn-IN"/>
              </w:rPr>
              <w:t xml:space="preserve">68 </w:t>
            </w:r>
            <w:r w:rsidRPr="00D11BAB">
              <w:rPr>
                <w:rFonts w:ascii="Times New Roman" w:hAnsi="Times New Roman"/>
                <w:sz w:val="24"/>
                <w:szCs w:val="24"/>
                <w:lang w:eastAsia="en-US" w:bidi="kn-IN"/>
              </w:rPr>
              <w:t>(78,6)</w:t>
            </w:r>
          </w:p>
        </w:tc>
        <w:tc>
          <w:tcPr>
            <w:tcW w:w="2410" w:type="dxa"/>
            <w:shd w:val="clear" w:color="auto" w:fill="auto"/>
            <w:hideMark/>
          </w:tcPr>
          <w:p w14:paraId="497D30D3"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44(54)</w:t>
            </w:r>
          </w:p>
        </w:tc>
        <w:tc>
          <w:tcPr>
            <w:tcW w:w="850" w:type="dxa"/>
            <w:vMerge/>
            <w:shd w:val="clear" w:color="auto" w:fill="auto"/>
            <w:hideMark/>
          </w:tcPr>
          <w:p w14:paraId="62C6DE60" w14:textId="77777777" w:rsidR="00EF5CD6" w:rsidRPr="00D11BAB" w:rsidRDefault="00EF5CD6" w:rsidP="00094F6F">
            <w:pPr>
              <w:spacing w:after="0" w:line="240" w:lineRule="auto"/>
              <w:jc w:val="center"/>
              <w:rPr>
                <w:rFonts w:ascii="Times New Roman" w:hAnsi="Times New Roman"/>
                <w:sz w:val="24"/>
                <w:szCs w:val="24"/>
                <w:lang w:eastAsia="en-US" w:bidi="kn-IN"/>
              </w:rPr>
            </w:pPr>
          </w:p>
        </w:tc>
      </w:tr>
      <w:tr w:rsidR="00EF5CD6" w:rsidRPr="00D11BAB" w14:paraId="32BEE720" w14:textId="77777777" w:rsidTr="00094F6F">
        <w:trPr>
          <w:trHeight w:val="163"/>
        </w:trPr>
        <w:tc>
          <w:tcPr>
            <w:tcW w:w="9639" w:type="dxa"/>
            <w:gridSpan w:val="4"/>
            <w:shd w:val="clear" w:color="auto" w:fill="auto"/>
            <w:hideMark/>
          </w:tcPr>
          <w:p w14:paraId="05F8BEDD" w14:textId="77777777" w:rsidR="00EF5CD6" w:rsidRPr="00D11BAB" w:rsidRDefault="00EF5CD6" w:rsidP="00094F6F">
            <w:pPr>
              <w:spacing w:after="0" w:line="240" w:lineRule="auto"/>
              <w:rPr>
                <w:rFonts w:ascii="Times New Roman" w:hAnsi="Times New Roman"/>
                <w:sz w:val="24"/>
                <w:szCs w:val="24"/>
                <w:lang w:eastAsia="en-US" w:bidi="kn-IN"/>
              </w:rPr>
            </w:pPr>
            <w:r w:rsidRPr="00D11BAB">
              <w:rPr>
                <w:rFonts w:ascii="Times New Roman" w:hAnsi="Times New Roman"/>
                <w:sz w:val="24"/>
                <w:szCs w:val="24"/>
                <w:lang w:eastAsia="en-US" w:bidi="kn-IN"/>
              </w:rPr>
              <w:t>Стадия</w:t>
            </w:r>
          </w:p>
        </w:tc>
      </w:tr>
      <w:tr w:rsidR="00EF5CD6" w:rsidRPr="00D11BAB" w14:paraId="4D3EFCCB" w14:textId="77777777" w:rsidTr="00094F6F">
        <w:trPr>
          <w:trHeight w:val="108"/>
        </w:trPr>
        <w:tc>
          <w:tcPr>
            <w:tcW w:w="3969" w:type="dxa"/>
            <w:shd w:val="clear" w:color="auto" w:fill="auto"/>
            <w:hideMark/>
          </w:tcPr>
          <w:p w14:paraId="60B581FE" w14:textId="77777777" w:rsidR="00EF5CD6" w:rsidRPr="00D11BAB" w:rsidRDefault="00EF5CD6" w:rsidP="00094F6F">
            <w:pPr>
              <w:spacing w:after="0" w:line="240" w:lineRule="auto"/>
              <w:ind w:left="142"/>
              <w:rPr>
                <w:rFonts w:ascii="Times New Roman" w:hAnsi="Times New Roman"/>
                <w:sz w:val="24"/>
                <w:szCs w:val="24"/>
                <w:lang w:val="en-US" w:eastAsia="en-US" w:bidi="kn-IN"/>
              </w:rPr>
            </w:pPr>
            <w:r w:rsidRPr="00D11BAB">
              <w:rPr>
                <w:rFonts w:ascii="Times New Roman" w:hAnsi="Times New Roman"/>
                <w:sz w:val="24"/>
                <w:szCs w:val="24"/>
                <w:lang w:val="en-US" w:eastAsia="en-US" w:bidi="kn-IN"/>
              </w:rPr>
              <w:t>I</w:t>
            </w:r>
          </w:p>
        </w:tc>
        <w:tc>
          <w:tcPr>
            <w:tcW w:w="2410" w:type="dxa"/>
            <w:shd w:val="clear" w:color="auto" w:fill="auto"/>
          </w:tcPr>
          <w:p w14:paraId="2E48D3E4"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val="kk-KZ" w:eastAsia="en-US" w:bidi="kn-IN"/>
              </w:rPr>
              <w:t>5</w:t>
            </w:r>
            <w:r w:rsidRPr="00D11BAB">
              <w:rPr>
                <w:rFonts w:ascii="Times New Roman" w:hAnsi="Times New Roman"/>
                <w:sz w:val="24"/>
                <w:szCs w:val="24"/>
                <w:lang w:val="en-US" w:eastAsia="en-US" w:bidi="kn-IN"/>
              </w:rPr>
              <w:t>(6)</w:t>
            </w:r>
          </w:p>
        </w:tc>
        <w:tc>
          <w:tcPr>
            <w:tcW w:w="2410" w:type="dxa"/>
            <w:shd w:val="clear" w:color="auto" w:fill="auto"/>
          </w:tcPr>
          <w:p w14:paraId="3AF58F1F"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val="en-US" w:eastAsia="en-US" w:bidi="kn-IN"/>
              </w:rPr>
              <w:t>6(8)</w:t>
            </w:r>
          </w:p>
        </w:tc>
        <w:tc>
          <w:tcPr>
            <w:tcW w:w="850" w:type="dxa"/>
            <w:vMerge w:val="restart"/>
            <w:shd w:val="clear" w:color="auto" w:fill="auto"/>
            <w:vAlign w:val="center"/>
          </w:tcPr>
          <w:p w14:paraId="79806210"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eastAsia="en-US" w:bidi="kn-IN"/>
              </w:rPr>
              <w:t>0,</w:t>
            </w:r>
            <w:r w:rsidRPr="00D11BAB">
              <w:rPr>
                <w:rFonts w:ascii="Times New Roman" w:hAnsi="Times New Roman"/>
                <w:sz w:val="24"/>
                <w:szCs w:val="24"/>
                <w:lang w:val="en-US" w:eastAsia="en-US" w:bidi="kn-IN"/>
              </w:rPr>
              <w:t>808</w:t>
            </w:r>
          </w:p>
        </w:tc>
      </w:tr>
      <w:tr w:rsidR="00EF5CD6" w:rsidRPr="00D11BAB" w14:paraId="023CABBC" w14:textId="77777777" w:rsidTr="00094F6F">
        <w:trPr>
          <w:trHeight w:val="163"/>
        </w:trPr>
        <w:tc>
          <w:tcPr>
            <w:tcW w:w="3969" w:type="dxa"/>
            <w:shd w:val="clear" w:color="auto" w:fill="auto"/>
            <w:hideMark/>
          </w:tcPr>
          <w:p w14:paraId="0474D0B1" w14:textId="77777777" w:rsidR="00EF5CD6" w:rsidRPr="00D11BAB" w:rsidRDefault="00EF5CD6" w:rsidP="00094F6F">
            <w:pPr>
              <w:spacing w:after="0" w:line="240" w:lineRule="auto"/>
              <w:ind w:left="142"/>
              <w:rPr>
                <w:rFonts w:ascii="Times New Roman" w:hAnsi="Times New Roman"/>
                <w:bCs/>
                <w:sz w:val="24"/>
                <w:szCs w:val="24"/>
                <w:lang w:val="en-US" w:eastAsia="en-US" w:bidi="kn-IN"/>
              </w:rPr>
            </w:pPr>
            <w:r w:rsidRPr="00D11BAB">
              <w:rPr>
                <w:rFonts w:ascii="Times New Roman" w:hAnsi="Times New Roman"/>
                <w:bCs/>
                <w:sz w:val="24"/>
                <w:szCs w:val="24"/>
                <w:lang w:val="en-US" w:eastAsia="en-US" w:bidi="kn-IN"/>
              </w:rPr>
              <w:t>II</w:t>
            </w:r>
          </w:p>
        </w:tc>
        <w:tc>
          <w:tcPr>
            <w:tcW w:w="2410" w:type="dxa"/>
            <w:shd w:val="clear" w:color="auto" w:fill="auto"/>
          </w:tcPr>
          <w:p w14:paraId="1076BAB8"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val="en-US" w:eastAsia="en-US" w:bidi="kn-IN"/>
              </w:rPr>
              <w:t>3</w:t>
            </w:r>
            <w:r w:rsidRPr="00D11BAB">
              <w:rPr>
                <w:rFonts w:ascii="Times New Roman" w:hAnsi="Times New Roman"/>
                <w:sz w:val="24"/>
                <w:szCs w:val="24"/>
                <w:lang w:eastAsia="en-US" w:bidi="kn-IN"/>
              </w:rPr>
              <w:t>8</w:t>
            </w:r>
            <w:r w:rsidRPr="00D11BAB">
              <w:rPr>
                <w:rFonts w:ascii="Times New Roman" w:hAnsi="Times New Roman"/>
                <w:sz w:val="24"/>
                <w:szCs w:val="24"/>
                <w:lang w:val="en-US" w:eastAsia="en-US" w:bidi="kn-IN"/>
              </w:rPr>
              <w:t xml:space="preserve"> (44)</w:t>
            </w:r>
          </w:p>
        </w:tc>
        <w:tc>
          <w:tcPr>
            <w:tcW w:w="2410" w:type="dxa"/>
            <w:shd w:val="clear" w:color="auto" w:fill="auto"/>
          </w:tcPr>
          <w:p w14:paraId="35E5E2F6"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val="en-US" w:eastAsia="en-US" w:bidi="kn-IN"/>
              </w:rPr>
              <w:t>35(46)</w:t>
            </w:r>
          </w:p>
        </w:tc>
        <w:tc>
          <w:tcPr>
            <w:tcW w:w="850" w:type="dxa"/>
            <w:vMerge/>
            <w:shd w:val="clear" w:color="auto" w:fill="auto"/>
          </w:tcPr>
          <w:p w14:paraId="4F40C119" w14:textId="77777777" w:rsidR="00EF5CD6" w:rsidRPr="00D11BAB" w:rsidRDefault="00EF5CD6" w:rsidP="00094F6F">
            <w:pPr>
              <w:spacing w:after="0" w:line="240" w:lineRule="auto"/>
              <w:jc w:val="center"/>
              <w:rPr>
                <w:rFonts w:ascii="Times New Roman" w:hAnsi="Times New Roman"/>
                <w:sz w:val="24"/>
                <w:szCs w:val="24"/>
                <w:lang w:eastAsia="en-US" w:bidi="kn-IN"/>
              </w:rPr>
            </w:pPr>
          </w:p>
        </w:tc>
      </w:tr>
      <w:tr w:rsidR="00EF5CD6" w:rsidRPr="00D11BAB" w14:paraId="5FAF21A5" w14:textId="77777777" w:rsidTr="00094F6F">
        <w:trPr>
          <w:trHeight w:val="122"/>
        </w:trPr>
        <w:tc>
          <w:tcPr>
            <w:tcW w:w="3969" w:type="dxa"/>
            <w:shd w:val="clear" w:color="auto" w:fill="auto"/>
            <w:hideMark/>
          </w:tcPr>
          <w:p w14:paraId="6C9501FE" w14:textId="77777777" w:rsidR="00EF5CD6" w:rsidRPr="00D11BAB" w:rsidRDefault="00EF5CD6" w:rsidP="00094F6F">
            <w:pPr>
              <w:spacing w:after="0" w:line="240" w:lineRule="auto"/>
              <w:ind w:left="142"/>
              <w:rPr>
                <w:rFonts w:ascii="Times New Roman" w:hAnsi="Times New Roman"/>
                <w:bCs/>
                <w:sz w:val="24"/>
                <w:szCs w:val="24"/>
                <w:lang w:val="en-US" w:eastAsia="en-US" w:bidi="kn-IN"/>
              </w:rPr>
            </w:pPr>
            <w:r w:rsidRPr="00D11BAB">
              <w:rPr>
                <w:rFonts w:ascii="Times New Roman" w:hAnsi="Times New Roman"/>
                <w:bCs/>
                <w:sz w:val="24"/>
                <w:szCs w:val="24"/>
                <w:lang w:val="en-US" w:eastAsia="en-US" w:bidi="kn-IN"/>
              </w:rPr>
              <w:t>III</w:t>
            </w:r>
          </w:p>
        </w:tc>
        <w:tc>
          <w:tcPr>
            <w:tcW w:w="2410" w:type="dxa"/>
            <w:shd w:val="clear" w:color="auto" w:fill="auto"/>
          </w:tcPr>
          <w:p w14:paraId="2B7A5E0B"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eastAsia="en-US" w:bidi="kn-IN"/>
              </w:rPr>
              <w:t>43</w:t>
            </w:r>
            <w:r w:rsidRPr="00D11BAB">
              <w:rPr>
                <w:rFonts w:ascii="Times New Roman" w:hAnsi="Times New Roman"/>
                <w:sz w:val="24"/>
                <w:szCs w:val="24"/>
                <w:lang w:val="en-US" w:eastAsia="en-US" w:bidi="kn-IN"/>
              </w:rPr>
              <w:t xml:space="preserve"> (50)</w:t>
            </w:r>
          </w:p>
        </w:tc>
        <w:tc>
          <w:tcPr>
            <w:tcW w:w="2410" w:type="dxa"/>
            <w:shd w:val="clear" w:color="auto" w:fill="auto"/>
          </w:tcPr>
          <w:p w14:paraId="1076A4A4"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val="en-US" w:eastAsia="en-US" w:bidi="kn-IN"/>
              </w:rPr>
              <w:t>35(46)</w:t>
            </w:r>
          </w:p>
        </w:tc>
        <w:tc>
          <w:tcPr>
            <w:tcW w:w="850" w:type="dxa"/>
            <w:vMerge/>
            <w:shd w:val="clear" w:color="auto" w:fill="auto"/>
          </w:tcPr>
          <w:p w14:paraId="3296D67C" w14:textId="77777777" w:rsidR="00EF5CD6" w:rsidRPr="00D11BAB" w:rsidRDefault="00EF5CD6" w:rsidP="00094F6F">
            <w:pPr>
              <w:spacing w:after="0" w:line="240" w:lineRule="auto"/>
              <w:jc w:val="center"/>
              <w:rPr>
                <w:rFonts w:ascii="Times New Roman" w:hAnsi="Times New Roman"/>
                <w:sz w:val="24"/>
                <w:szCs w:val="24"/>
                <w:lang w:eastAsia="en-US" w:bidi="kn-IN"/>
              </w:rPr>
            </w:pPr>
          </w:p>
        </w:tc>
      </w:tr>
      <w:tr w:rsidR="00EF5CD6" w:rsidRPr="00D11BAB" w14:paraId="199D5682" w14:textId="77777777" w:rsidTr="00094F6F">
        <w:trPr>
          <w:trHeight w:val="93"/>
        </w:trPr>
        <w:tc>
          <w:tcPr>
            <w:tcW w:w="9639" w:type="dxa"/>
            <w:gridSpan w:val="4"/>
            <w:shd w:val="clear" w:color="auto" w:fill="auto"/>
          </w:tcPr>
          <w:p w14:paraId="5CAAA589" w14:textId="77777777" w:rsidR="00EF5CD6" w:rsidRPr="00D11BAB" w:rsidRDefault="00EF5CD6" w:rsidP="00094F6F">
            <w:pPr>
              <w:spacing w:after="0" w:line="240" w:lineRule="auto"/>
              <w:jc w:val="both"/>
              <w:rPr>
                <w:rFonts w:ascii="Times New Roman" w:hAnsi="Times New Roman"/>
                <w:sz w:val="24"/>
                <w:szCs w:val="24"/>
                <w:lang w:eastAsia="en-US" w:bidi="kn-IN"/>
              </w:rPr>
            </w:pPr>
            <w:r w:rsidRPr="00D11BAB">
              <w:rPr>
                <w:rFonts w:ascii="Times New Roman" w:hAnsi="Times New Roman"/>
                <w:sz w:val="24"/>
                <w:szCs w:val="24"/>
                <w:lang w:eastAsia="en-US" w:bidi="kn-IN"/>
              </w:rPr>
              <w:t>Гистологический тип рака</w:t>
            </w:r>
          </w:p>
        </w:tc>
      </w:tr>
      <w:tr w:rsidR="00EF5CD6" w:rsidRPr="00D11BAB" w14:paraId="13799691" w14:textId="77777777" w:rsidTr="00094F6F">
        <w:trPr>
          <w:trHeight w:val="164"/>
        </w:trPr>
        <w:tc>
          <w:tcPr>
            <w:tcW w:w="3969" w:type="dxa"/>
            <w:shd w:val="clear" w:color="auto" w:fill="auto"/>
          </w:tcPr>
          <w:p w14:paraId="440C759E" w14:textId="77777777" w:rsidR="00EF5CD6" w:rsidRPr="00D11BAB" w:rsidRDefault="00EF5CD6" w:rsidP="00094F6F">
            <w:pPr>
              <w:spacing w:after="0" w:line="240" w:lineRule="auto"/>
              <w:rPr>
                <w:rFonts w:ascii="Times New Roman" w:hAnsi="Times New Roman"/>
                <w:sz w:val="24"/>
                <w:szCs w:val="24"/>
                <w:lang w:eastAsia="en-US" w:bidi="kn-IN"/>
              </w:rPr>
            </w:pPr>
            <w:r w:rsidRPr="00D11BAB">
              <w:rPr>
                <w:rFonts w:ascii="Times New Roman" w:hAnsi="Times New Roman"/>
                <w:sz w:val="24"/>
                <w:szCs w:val="24"/>
                <w:lang w:eastAsia="en-US" w:bidi="kn-IN"/>
              </w:rPr>
              <w:t>Аденокарцинома</w:t>
            </w:r>
          </w:p>
        </w:tc>
        <w:tc>
          <w:tcPr>
            <w:tcW w:w="2410" w:type="dxa"/>
            <w:shd w:val="clear" w:color="auto" w:fill="auto"/>
            <w:vAlign w:val="center"/>
          </w:tcPr>
          <w:p w14:paraId="2D0917AD"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val="en-US" w:eastAsia="en-US" w:bidi="kn-IN"/>
              </w:rPr>
              <w:t>5</w:t>
            </w:r>
            <w:r w:rsidRPr="00D11BAB">
              <w:rPr>
                <w:rFonts w:ascii="Times New Roman" w:hAnsi="Times New Roman"/>
                <w:sz w:val="24"/>
                <w:szCs w:val="24"/>
                <w:lang w:val="kk-KZ" w:eastAsia="en-US" w:bidi="kn-IN"/>
              </w:rPr>
              <w:t>8</w:t>
            </w:r>
            <w:r w:rsidRPr="00D11BAB">
              <w:rPr>
                <w:rFonts w:ascii="Times New Roman" w:hAnsi="Times New Roman"/>
                <w:sz w:val="24"/>
                <w:szCs w:val="24"/>
                <w:lang w:val="en-US" w:eastAsia="en-US" w:bidi="kn-IN"/>
              </w:rPr>
              <w:t xml:space="preserve"> (66,6)</w:t>
            </w:r>
          </w:p>
        </w:tc>
        <w:tc>
          <w:tcPr>
            <w:tcW w:w="2410" w:type="dxa"/>
            <w:shd w:val="clear" w:color="auto" w:fill="auto"/>
            <w:vAlign w:val="center"/>
          </w:tcPr>
          <w:p w14:paraId="50DE0331"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48(63,1)</w:t>
            </w:r>
          </w:p>
        </w:tc>
        <w:tc>
          <w:tcPr>
            <w:tcW w:w="850" w:type="dxa"/>
            <w:vMerge w:val="restart"/>
            <w:shd w:val="clear" w:color="auto" w:fill="auto"/>
            <w:vAlign w:val="center"/>
          </w:tcPr>
          <w:p w14:paraId="702D433E"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val="en-US" w:eastAsia="en-US" w:bidi="kn-IN"/>
              </w:rPr>
              <w:t>0,389</w:t>
            </w:r>
          </w:p>
        </w:tc>
      </w:tr>
      <w:tr w:rsidR="00EF5CD6" w:rsidRPr="00D11BAB" w14:paraId="47E403E1" w14:textId="77777777" w:rsidTr="00094F6F">
        <w:trPr>
          <w:trHeight w:val="347"/>
        </w:trPr>
        <w:tc>
          <w:tcPr>
            <w:tcW w:w="3969" w:type="dxa"/>
            <w:shd w:val="clear" w:color="auto" w:fill="auto"/>
          </w:tcPr>
          <w:p w14:paraId="3A91E1AA" w14:textId="77777777" w:rsidR="00EF5CD6" w:rsidRPr="00D11BAB" w:rsidRDefault="00EF5CD6" w:rsidP="00094F6F">
            <w:pPr>
              <w:spacing w:after="0" w:line="240" w:lineRule="auto"/>
              <w:ind w:right="-97"/>
              <w:rPr>
                <w:rFonts w:ascii="Times New Roman" w:hAnsi="Times New Roman"/>
                <w:sz w:val="24"/>
                <w:szCs w:val="24"/>
                <w:lang w:eastAsia="en-US" w:bidi="kn-IN"/>
              </w:rPr>
            </w:pPr>
            <w:proofErr w:type="spellStart"/>
            <w:r w:rsidRPr="00D11BAB">
              <w:rPr>
                <w:rFonts w:ascii="Times New Roman" w:hAnsi="Times New Roman"/>
                <w:sz w:val="24"/>
                <w:szCs w:val="24"/>
                <w:shd w:val="clear" w:color="auto" w:fill="FFFFFF"/>
                <w:lang w:bidi="kn-IN"/>
              </w:rPr>
              <w:t>Перстеневидно</w:t>
            </w:r>
            <w:proofErr w:type="spellEnd"/>
            <w:r w:rsidRPr="00D11BAB">
              <w:rPr>
                <w:rFonts w:ascii="Times New Roman" w:hAnsi="Times New Roman"/>
                <w:sz w:val="24"/>
                <w:szCs w:val="24"/>
                <w:shd w:val="clear" w:color="auto" w:fill="FFFFFF"/>
                <w:lang w:bidi="kn-IN"/>
              </w:rPr>
              <w:t>-клеточная карцинома</w:t>
            </w:r>
          </w:p>
        </w:tc>
        <w:tc>
          <w:tcPr>
            <w:tcW w:w="2410" w:type="dxa"/>
            <w:shd w:val="clear" w:color="auto" w:fill="auto"/>
            <w:vAlign w:val="center"/>
          </w:tcPr>
          <w:p w14:paraId="098AF7F3"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val="kk-KZ" w:eastAsia="en-US" w:bidi="kn-IN"/>
              </w:rPr>
              <w:t xml:space="preserve">29 </w:t>
            </w:r>
            <w:r w:rsidRPr="00D11BAB">
              <w:rPr>
                <w:rFonts w:ascii="Times New Roman" w:hAnsi="Times New Roman"/>
                <w:sz w:val="24"/>
                <w:szCs w:val="24"/>
                <w:lang w:val="en-US" w:eastAsia="en-US" w:bidi="kn-IN"/>
              </w:rPr>
              <w:t>(33,3)</w:t>
            </w:r>
          </w:p>
        </w:tc>
        <w:tc>
          <w:tcPr>
            <w:tcW w:w="2410" w:type="dxa"/>
            <w:shd w:val="clear" w:color="auto" w:fill="auto"/>
            <w:vAlign w:val="center"/>
          </w:tcPr>
          <w:p w14:paraId="3356D9CE"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19(25)</w:t>
            </w:r>
          </w:p>
        </w:tc>
        <w:tc>
          <w:tcPr>
            <w:tcW w:w="850" w:type="dxa"/>
            <w:vMerge/>
            <w:shd w:val="clear" w:color="auto" w:fill="auto"/>
          </w:tcPr>
          <w:p w14:paraId="25EE73FA" w14:textId="77777777" w:rsidR="00EF5CD6" w:rsidRPr="00D11BAB" w:rsidRDefault="00EF5CD6" w:rsidP="00094F6F">
            <w:pPr>
              <w:spacing w:after="0" w:line="240" w:lineRule="auto"/>
              <w:jc w:val="center"/>
              <w:rPr>
                <w:rFonts w:ascii="Times New Roman" w:hAnsi="Times New Roman"/>
                <w:sz w:val="24"/>
                <w:szCs w:val="24"/>
                <w:lang w:eastAsia="en-US" w:bidi="kn-IN"/>
              </w:rPr>
            </w:pPr>
          </w:p>
        </w:tc>
      </w:tr>
      <w:tr w:rsidR="00EF5CD6" w:rsidRPr="00D11BAB" w14:paraId="414EF93D" w14:textId="77777777" w:rsidTr="00094F6F">
        <w:trPr>
          <w:trHeight w:val="158"/>
        </w:trPr>
        <w:tc>
          <w:tcPr>
            <w:tcW w:w="3969" w:type="dxa"/>
            <w:tcBorders>
              <w:bottom w:val="nil"/>
            </w:tcBorders>
            <w:shd w:val="clear" w:color="auto" w:fill="auto"/>
          </w:tcPr>
          <w:p w14:paraId="1175A236" w14:textId="77777777" w:rsidR="00EF5CD6" w:rsidRPr="00D11BAB" w:rsidRDefault="00EF5CD6" w:rsidP="00094F6F">
            <w:pPr>
              <w:spacing w:after="0" w:line="240" w:lineRule="auto"/>
              <w:rPr>
                <w:rFonts w:ascii="Times New Roman" w:hAnsi="Times New Roman"/>
                <w:sz w:val="24"/>
                <w:szCs w:val="24"/>
                <w:lang w:eastAsia="en-US" w:bidi="kn-IN"/>
              </w:rPr>
            </w:pPr>
            <w:r w:rsidRPr="00D11BAB">
              <w:rPr>
                <w:rFonts w:ascii="Times New Roman" w:hAnsi="Times New Roman"/>
                <w:sz w:val="24"/>
                <w:szCs w:val="24"/>
                <w:lang w:eastAsia="en-US" w:bidi="kn-IN"/>
              </w:rPr>
              <w:t>Недифференцированная карцинома</w:t>
            </w:r>
          </w:p>
        </w:tc>
        <w:tc>
          <w:tcPr>
            <w:tcW w:w="2410" w:type="dxa"/>
            <w:tcBorders>
              <w:bottom w:val="nil"/>
            </w:tcBorders>
            <w:shd w:val="clear" w:color="auto" w:fill="auto"/>
            <w:vAlign w:val="center"/>
          </w:tcPr>
          <w:p w14:paraId="68DCB26E"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val="en-US" w:eastAsia="en-US" w:bidi="kn-IN"/>
              </w:rPr>
              <w:t>-</w:t>
            </w:r>
          </w:p>
        </w:tc>
        <w:tc>
          <w:tcPr>
            <w:tcW w:w="2410" w:type="dxa"/>
            <w:tcBorders>
              <w:bottom w:val="nil"/>
            </w:tcBorders>
            <w:shd w:val="clear" w:color="auto" w:fill="auto"/>
            <w:vAlign w:val="center"/>
          </w:tcPr>
          <w:p w14:paraId="75B6045E"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9(11,9)</w:t>
            </w:r>
          </w:p>
        </w:tc>
        <w:tc>
          <w:tcPr>
            <w:tcW w:w="850" w:type="dxa"/>
            <w:vMerge/>
            <w:tcBorders>
              <w:bottom w:val="nil"/>
            </w:tcBorders>
            <w:shd w:val="clear" w:color="auto" w:fill="auto"/>
          </w:tcPr>
          <w:p w14:paraId="62D28541" w14:textId="77777777" w:rsidR="00EF5CD6" w:rsidRPr="00D11BAB" w:rsidRDefault="00EF5CD6" w:rsidP="00094F6F">
            <w:pPr>
              <w:spacing w:after="0" w:line="240" w:lineRule="auto"/>
              <w:jc w:val="center"/>
              <w:rPr>
                <w:rFonts w:ascii="Times New Roman" w:hAnsi="Times New Roman"/>
                <w:sz w:val="24"/>
                <w:szCs w:val="24"/>
                <w:lang w:eastAsia="en-US" w:bidi="kn-IN"/>
              </w:rPr>
            </w:pPr>
          </w:p>
        </w:tc>
      </w:tr>
      <w:tr w:rsidR="00EF5CD6" w:rsidRPr="00D11BAB" w14:paraId="0E8F5B77" w14:textId="77777777" w:rsidTr="00094F6F">
        <w:trPr>
          <w:trHeight w:val="205"/>
        </w:trPr>
        <w:tc>
          <w:tcPr>
            <w:tcW w:w="9639" w:type="dxa"/>
            <w:gridSpan w:val="4"/>
            <w:shd w:val="clear" w:color="auto" w:fill="auto"/>
            <w:hideMark/>
          </w:tcPr>
          <w:p w14:paraId="0DBC5ED9" w14:textId="77777777" w:rsidR="00EF5CD6" w:rsidRPr="00D11BAB" w:rsidRDefault="00EF5CD6" w:rsidP="00094F6F">
            <w:pPr>
              <w:spacing w:after="0" w:line="240" w:lineRule="auto"/>
              <w:jc w:val="both"/>
              <w:rPr>
                <w:rFonts w:ascii="Times New Roman" w:hAnsi="Times New Roman"/>
                <w:sz w:val="24"/>
                <w:szCs w:val="24"/>
                <w:lang w:eastAsia="en-US" w:bidi="kn-IN"/>
              </w:rPr>
            </w:pPr>
            <w:r w:rsidRPr="00D11BAB">
              <w:rPr>
                <w:rFonts w:ascii="Times New Roman" w:hAnsi="Times New Roman"/>
                <w:sz w:val="24"/>
                <w:szCs w:val="24"/>
                <w:lang w:eastAsia="en-US" w:bidi="kn-IN"/>
              </w:rPr>
              <w:t>Степень дифференцировки</w:t>
            </w:r>
          </w:p>
        </w:tc>
      </w:tr>
      <w:tr w:rsidR="00EF5CD6" w:rsidRPr="00D11BAB" w14:paraId="0ADC59B3" w14:textId="77777777" w:rsidTr="00094F6F">
        <w:trPr>
          <w:trHeight w:val="227"/>
        </w:trPr>
        <w:tc>
          <w:tcPr>
            <w:tcW w:w="3969" w:type="dxa"/>
            <w:shd w:val="clear" w:color="auto" w:fill="auto"/>
            <w:hideMark/>
          </w:tcPr>
          <w:p w14:paraId="2CB49349" w14:textId="77777777" w:rsidR="00EF5CD6" w:rsidRPr="00D11BAB" w:rsidRDefault="00EF5CD6" w:rsidP="00094F6F">
            <w:pPr>
              <w:spacing w:after="0" w:line="240" w:lineRule="auto"/>
              <w:rPr>
                <w:rFonts w:ascii="Times New Roman" w:hAnsi="Times New Roman"/>
                <w:bCs/>
                <w:sz w:val="24"/>
                <w:szCs w:val="24"/>
                <w:lang w:eastAsia="en-US" w:bidi="kn-IN"/>
              </w:rPr>
            </w:pPr>
            <w:r w:rsidRPr="00D11BAB">
              <w:rPr>
                <w:rFonts w:ascii="Times New Roman" w:hAnsi="Times New Roman"/>
                <w:bCs/>
                <w:sz w:val="24"/>
                <w:szCs w:val="24"/>
                <w:lang w:eastAsia="en-US" w:bidi="kn-IN"/>
              </w:rPr>
              <w:t>Низкая</w:t>
            </w:r>
          </w:p>
        </w:tc>
        <w:tc>
          <w:tcPr>
            <w:tcW w:w="2410" w:type="dxa"/>
            <w:shd w:val="clear" w:color="auto" w:fill="auto"/>
          </w:tcPr>
          <w:p w14:paraId="2683340F"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val="en-US" w:eastAsia="en-US" w:bidi="kn-IN"/>
              </w:rPr>
              <w:t>40 (45)</w:t>
            </w:r>
          </w:p>
        </w:tc>
        <w:tc>
          <w:tcPr>
            <w:tcW w:w="2410" w:type="dxa"/>
            <w:shd w:val="clear" w:color="auto" w:fill="auto"/>
            <w:hideMark/>
          </w:tcPr>
          <w:p w14:paraId="1270E371"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34(44,8)</w:t>
            </w:r>
          </w:p>
        </w:tc>
        <w:tc>
          <w:tcPr>
            <w:tcW w:w="850" w:type="dxa"/>
            <w:vMerge w:val="restart"/>
            <w:shd w:val="clear" w:color="auto" w:fill="auto"/>
            <w:vAlign w:val="center"/>
            <w:hideMark/>
          </w:tcPr>
          <w:p w14:paraId="0FD21E2D"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val="en-US" w:eastAsia="en-US" w:bidi="kn-IN"/>
              </w:rPr>
              <w:t>0,309</w:t>
            </w:r>
          </w:p>
        </w:tc>
      </w:tr>
      <w:tr w:rsidR="00EF5CD6" w:rsidRPr="00D11BAB" w14:paraId="12419FE1" w14:textId="77777777" w:rsidTr="00A84749">
        <w:trPr>
          <w:trHeight w:val="199"/>
        </w:trPr>
        <w:tc>
          <w:tcPr>
            <w:tcW w:w="3969" w:type="dxa"/>
            <w:tcBorders>
              <w:bottom w:val="nil"/>
            </w:tcBorders>
            <w:shd w:val="clear" w:color="auto" w:fill="auto"/>
            <w:hideMark/>
          </w:tcPr>
          <w:p w14:paraId="4269E817" w14:textId="77777777" w:rsidR="00EF5CD6" w:rsidRPr="00D11BAB" w:rsidRDefault="00EF5CD6" w:rsidP="00094F6F">
            <w:pPr>
              <w:spacing w:after="0" w:line="240" w:lineRule="auto"/>
              <w:rPr>
                <w:rFonts w:ascii="Times New Roman" w:hAnsi="Times New Roman"/>
                <w:bCs/>
                <w:sz w:val="24"/>
                <w:szCs w:val="24"/>
                <w:lang w:eastAsia="en-US" w:bidi="kn-IN"/>
              </w:rPr>
            </w:pPr>
            <w:r w:rsidRPr="00D11BAB">
              <w:rPr>
                <w:rFonts w:ascii="Times New Roman" w:hAnsi="Times New Roman"/>
                <w:bCs/>
                <w:sz w:val="24"/>
                <w:szCs w:val="24"/>
                <w:lang w:eastAsia="en-US" w:bidi="kn-IN"/>
              </w:rPr>
              <w:t>Высокая</w:t>
            </w:r>
          </w:p>
        </w:tc>
        <w:tc>
          <w:tcPr>
            <w:tcW w:w="2410" w:type="dxa"/>
            <w:tcBorders>
              <w:bottom w:val="nil"/>
            </w:tcBorders>
            <w:shd w:val="clear" w:color="auto" w:fill="auto"/>
          </w:tcPr>
          <w:p w14:paraId="73F99FCE"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val="en-US" w:eastAsia="en-US" w:bidi="kn-IN"/>
              </w:rPr>
              <w:t>47 (55)</w:t>
            </w:r>
          </w:p>
        </w:tc>
        <w:tc>
          <w:tcPr>
            <w:tcW w:w="2410" w:type="dxa"/>
            <w:tcBorders>
              <w:bottom w:val="nil"/>
            </w:tcBorders>
            <w:shd w:val="clear" w:color="auto" w:fill="auto"/>
            <w:hideMark/>
          </w:tcPr>
          <w:p w14:paraId="4A749FCA"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42(55,2)</w:t>
            </w:r>
          </w:p>
        </w:tc>
        <w:tc>
          <w:tcPr>
            <w:tcW w:w="850" w:type="dxa"/>
            <w:vMerge/>
            <w:tcBorders>
              <w:bottom w:val="nil"/>
            </w:tcBorders>
            <w:shd w:val="clear" w:color="auto" w:fill="auto"/>
            <w:hideMark/>
          </w:tcPr>
          <w:p w14:paraId="7722EF42" w14:textId="77777777" w:rsidR="00EF5CD6" w:rsidRPr="00D11BAB" w:rsidRDefault="00EF5CD6" w:rsidP="00094F6F">
            <w:pPr>
              <w:spacing w:after="0" w:line="240" w:lineRule="auto"/>
              <w:jc w:val="center"/>
              <w:rPr>
                <w:rFonts w:ascii="Times New Roman" w:hAnsi="Times New Roman"/>
                <w:sz w:val="24"/>
                <w:szCs w:val="24"/>
                <w:lang w:eastAsia="en-US" w:bidi="kn-IN"/>
              </w:rPr>
            </w:pPr>
          </w:p>
        </w:tc>
      </w:tr>
      <w:tr w:rsidR="00EF5CD6" w:rsidRPr="00D11BAB" w14:paraId="1E4DDE79" w14:textId="77777777" w:rsidTr="00A84749">
        <w:trPr>
          <w:trHeight w:val="199"/>
        </w:trPr>
        <w:tc>
          <w:tcPr>
            <w:tcW w:w="9639" w:type="dxa"/>
            <w:gridSpan w:val="4"/>
            <w:tcBorders>
              <w:top w:val="nil"/>
              <w:left w:val="nil"/>
              <w:bottom w:val="nil"/>
              <w:right w:val="nil"/>
            </w:tcBorders>
            <w:shd w:val="clear" w:color="auto" w:fill="auto"/>
          </w:tcPr>
          <w:p w14:paraId="7A9F399A" w14:textId="77777777" w:rsidR="00EF5CD6" w:rsidRDefault="00EF5CD6" w:rsidP="00094F6F">
            <w:pPr>
              <w:spacing w:after="0" w:line="240" w:lineRule="auto"/>
              <w:ind w:hanging="112"/>
              <w:jc w:val="both"/>
              <w:rPr>
                <w:rFonts w:ascii="Times New Roman" w:hAnsi="Times New Roman"/>
                <w:sz w:val="28"/>
                <w:szCs w:val="28"/>
                <w:lang w:eastAsia="en-US" w:bidi="kn-IN"/>
              </w:rPr>
            </w:pPr>
          </w:p>
          <w:p w14:paraId="4971B1FF" w14:textId="77777777" w:rsidR="00EF5CD6" w:rsidRDefault="00EF5CD6" w:rsidP="00094F6F">
            <w:pPr>
              <w:spacing w:after="0" w:line="240" w:lineRule="auto"/>
              <w:ind w:hanging="112"/>
              <w:jc w:val="both"/>
              <w:rPr>
                <w:rFonts w:ascii="Times New Roman" w:hAnsi="Times New Roman"/>
                <w:sz w:val="28"/>
                <w:szCs w:val="28"/>
                <w:lang w:eastAsia="en-US" w:bidi="kn-IN"/>
              </w:rPr>
            </w:pPr>
          </w:p>
          <w:p w14:paraId="6B26E4E5" w14:textId="77777777" w:rsidR="00A84749" w:rsidRDefault="00A84749" w:rsidP="00094F6F">
            <w:pPr>
              <w:spacing w:after="0" w:line="240" w:lineRule="auto"/>
              <w:ind w:hanging="112"/>
              <w:jc w:val="both"/>
              <w:rPr>
                <w:rFonts w:ascii="Times New Roman" w:hAnsi="Times New Roman"/>
                <w:sz w:val="28"/>
                <w:szCs w:val="28"/>
                <w:lang w:eastAsia="en-US" w:bidi="kn-IN"/>
              </w:rPr>
            </w:pPr>
          </w:p>
          <w:p w14:paraId="29C65097" w14:textId="7D5CC60D" w:rsidR="00EF5CD6" w:rsidRPr="00D11BAB" w:rsidRDefault="00EF5CD6" w:rsidP="00094F6F">
            <w:pPr>
              <w:spacing w:after="0" w:line="240" w:lineRule="auto"/>
              <w:ind w:hanging="112"/>
              <w:jc w:val="both"/>
              <w:rPr>
                <w:rFonts w:ascii="Times New Roman" w:hAnsi="Times New Roman"/>
                <w:sz w:val="28"/>
                <w:szCs w:val="28"/>
                <w:lang w:eastAsia="en-US" w:bidi="kn-IN"/>
              </w:rPr>
            </w:pPr>
            <w:r w:rsidRPr="00D11BAB">
              <w:rPr>
                <w:rFonts w:ascii="Times New Roman" w:hAnsi="Times New Roman"/>
                <w:sz w:val="28"/>
                <w:szCs w:val="28"/>
                <w:lang w:eastAsia="en-US" w:bidi="kn-IN"/>
              </w:rPr>
              <w:lastRenderedPageBreak/>
              <w:t xml:space="preserve">Продолжение таблицы </w:t>
            </w:r>
            <w:r>
              <w:rPr>
                <w:rFonts w:ascii="Times New Roman" w:hAnsi="Times New Roman"/>
                <w:sz w:val="28"/>
                <w:szCs w:val="28"/>
                <w:lang w:eastAsia="en-US" w:bidi="kn-IN"/>
              </w:rPr>
              <w:t>43</w:t>
            </w:r>
          </w:p>
          <w:p w14:paraId="380E793D" w14:textId="77777777" w:rsidR="00EF5CD6" w:rsidRPr="00D11BAB" w:rsidRDefault="00EF5CD6" w:rsidP="00094F6F">
            <w:pPr>
              <w:spacing w:after="0" w:line="240" w:lineRule="auto"/>
              <w:ind w:hanging="112"/>
              <w:jc w:val="both"/>
              <w:rPr>
                <w:rFonts w:ascii="Times New Roman" w:hAnsi="Times New Roman"/>
                <w:sz w:val="16"/>
                <w:szCs w:val="16"/>
                <w:lang w:eastAsia="en-US" w:bidi="kn-IN"/>
              </w:rPr>
            </w:pPr>
          </w:p>
        </w:tc>
      </w:tr>
      <w:tr w:rsidR="00EF5CD6" w:rsidRPr="00D11BAB" w14:paraId="568C0F61" w14:textId="77777777" w:rsidTr="00A84749">
        <w:trPr>
          <w:trHeight w:val="199"/>
        </w:trPr>
        <w:tc>
          <w:tcPr>
            <w:tcW w:w="3969" w:type="dxa"/>
            <w:tcBorders>
              <w:top w:val="nil"/>
            </w:tcBorders>
            <w:shd w:val="clear" w:color="auto" w:fill="auto"/>
          </w:tcPr>
          <w:p w14:paraId="2C5C7C1C" w14:textId="77777777" w:rsidR="00EF5CD6" w:rsidRPr="00D11BAB" w:rsidRDefault="00EF5CD6" w:rsidP="00094F6F">
            <w:pPr>
              <w:spacing w:after="0" w:line="240" w:lineRule="auto"/>
              <w:jc w:val="center"/>
              <w:rPr>
                <w:rFonts w:ascii="Times New Roman" w:hAnsi="Times New Roman"/>
                <w:bCs/>
                <w:sz w:val="24"/>
                <w:szCs w:val="24"/>
                <w:lang w:eastAsia="en-US" w:bidi="kn-IN"/>
              </w:rPr>
            </w:pPr>
            <w:r w:rsidRPr="00D11BAB">
              <w:rPr>
                <w:rFonts w:ascii="Times New Roman" w:hAnsi="Times New Roman"/>
                <w:bCs/>
                <w:sz w:val="24"/>
                <w:szCs w:val="24"/>
                <w:lang w:eastAsia="en-US" w:bidi="kn-IN"/>
              </w:rPr>
              <w:lastRenderedPageBreak/>
              <w:t>1</w:t>
            </w:r>
          </w:p>
        </w:tc>
        <w:tc>
          <w:tcPr>
            <w:tcW w:w="2410" w:type="dxa"/>
            <w:tcBorders>
              <w:top w:val="nil"/>
            </w:tcBorders>
            <w:shd w:val="clear" w:color="auto" w:fill="auto"/>
          </w:tcPr>
          <w:p w14:paraId="731201D4"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2</w:t>
            </w:r>
          </w:p>
        </w:tc>
        <w:tc>
          <w:tcPr>
            <w:tcW w:w="2410" w:type="dxa"/>
            <w:tcBorders>
              <w:top w:val="nil"/>
            </w:tcBorders>
            <w:shd w:val="clear" w:color="auto" w:fill="auto"/>
          </w:tcPr>
          <w:p w14:paraId="14DD230C"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3</w:t>
            </w:r>
          </w:p>
        </w:tc>
        <w:tc>
          <w:tcPr>
            <w:tcW w:w="850" w:type="dxa"/>
            <w:tcBorders>
              <w:top w:val="nil"/>
            </w:tcBorders>
            <w:shd w:val="clear" w:color="auto" w:fill="auto"/>
          </w:tcPr>
          <w:p w14:paraId="02962EBF"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4</w:t>
            </w:r>
          </w:p>
        </w:tc>
      </w:tr>
      <w:tr w:rsidR="00EF5CD6" w:rsidRPr="00D11BAB" w14:paraId="1423BEE3" w14:textId="77777777" w:rsidTr="00094F6F">
        <w:trPr>
          <w:trHeight w:val="156"/>
        </w:trPr>
        <w:tc>
          <w:tcPr>
            <w:tcW w:w="9639" w:type="dxa"/>
            <w:gridSpan w:val="4"/>
            <w:shd w:val="clear" w:color="auto" w:fill="auto"/>
          </w:tcPr>
          <w:p w14:paraId="5636ECB5" w14:textId="77777777" w:rsidR="00EF5CD6" w:rsidRPr="00D11BAB" w:rsidRDefault="00EF5CD6" w:rsidP="00094F6F">
            <w:pPr>
              <w:spacing w:after="0" w:line="240" w:lineRule="auto"/>
              <w:jc w:val="both"/>
              <w:rPr>
                <w:rFonts w:ascii="Times New Roman" w:hAnsi="Times New Roman"/>
                <w:sz w:val="24"/>
                <w:szCs w:val="24"/>
                <w:lang w:eastAsia="en-US" w:bidi="kn-IN"/>
              </w:rPr>
            </w:pPr>
            <w:r w:rsidRPr="00D11BAB">
              <w:rPr>
                <w:rFonts w:ascii="Times New Roman" w:hAnsi="Times New Roman"/>
                <w:sz w:val="24"/>
                <w:szCs w:val="24"/>
                <w:lang w:eastAsia="en-US" w:bidi="kn-IN"/>
              </w:rPr>
              <w:t>Вид операции</w:t>
            </w:r>
          </w:p>
        </w:tc>
      </w:tr>
      <w:tr w:rsidR="00EF5CD6" w:rsidRPr="00D11BAB" w14:paraId="529F1B1F" w14:textId="77777777" w:rsidTr="00094F6F">
        <w:trPr>
          <w:trHeight w:val="143"/>
        </w:trPr>
        <w:tc>
          <w:tcPr>
            <w:tcW w:w="3969" w:type="dxa"/>
            <w:shd w:val="clear" w:color="auto" w:fill="auto"/>
          </w:tcPr>
          <w:p w14:paraId="3A5EC9DB" w14:textId="77777777" w:rsidR="00EF5CD6" w:rsidRPr="00D11BAB" w:rsidRDefault="00EF5CD6" w:rsidP="00094F6F">
            <w:pPr>
              <w:spacing w:after="0" w:line="240" w:lineRule="auto"/>
              <w:rPr>
                <w:rFonts w:ascii="Times New Roman" w:hAnsi="Times New Roman"/>
                <w:sz w:val="24"/>
                <w:szCs w:val="24"/>
                <w:lang w:eastAsia="en-US" w:bidi="kn-IN"/>
              </w:rPr>
            </w:pPr>
            <w:r w:rsidRPr="00D11BAB">
              <w:rPr>
                <w:rFonts w:ascii="Times New Roman" w:hAnsi="Times New Roman"/>
                <w:sz w:val="24"/>
                <w:szCs w:val="24"/>
                <w:lang w:eastAsia="en-US" w:bidi="kn-IN"/>
              </w:rPr>
              <w:t>Правосторонняя гемиколэктомия</w:t>
            </w:r>
          </w:p>
        </w:tc>
        <w:tc>
          <w:tcPr>
            <w:tcW w:w="2410" w:type="dxa"/>
            <w:shd w:val="clear" w:color="auto" w:fill="auto"/>
          </w:tcPr>
          <w:p w14:paraId="6172A3A8"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45(51,8)</w:t>
            </w:r>
          </w:p>
        </w:tc>
        <w:tc>
          <w:tcPr>
            <w:tcW w:w="2410" w:type="dxa"/>
            <w:shd w:val="clear" w:color="auto" w:fill="auto"/>
          </w:tcPr>
          <w:p w14:paraId="05FD60B7"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42(55,2)</w:t>
            </w:r>
          </w:p>
        </w:tc>
        <w:tc>
          <w:tcPr>
            <w:tcW w:w="850" w:type="dxa"/>
            <w:vMerge w:val="restart"/>
            <w:shd w:val="clear" w:color="auto" w:fill="auto"/>
          </w:tcPr>
          <w:p w14:paraId="6474098C"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val="en-US" w:eastAsia="en-US" w:bidi="kn-IN"/>
              </w:rPr>
              <w:t>0,825</w:t>
            </w:r>
          </w:p>
        </w:tc>
      </w:tr>
      <w:tr w:rsidR="00EF5CD6" w:rsidRPr="00D11BAB" w14:paraId="7BC72AF0" w14:textId="77777777" w:rsidTr="00094F6F">
        <w:trPr>
          <w:trHeight w:val="347"/>
        </w:trPr>
        <w:tc>
          <w:tcPr>
            <w:tcW w:w="3969" w:type="dxa"/>
            <w:shd w:val="clear" w:color="auto" w:fill="auto"/>
          </w:tcPr>
          <w:p w14:paraId="3CE0573E" w14:textId="77777777" w:rsidR="00EF5CD6" w:rsidRPr="00D11BAB" w:rsidRDefault="00EF5CD6" w:rsidP="00094F6F">
            <w:pPr>
              <w:spacing w:after="0" w:line="240" w:lineRule="auto"/>
              <w:rPr>
                <w:rFonts w:ascii="Times New Roman" w:hAnsi="Times New Roman"/>
                <w:sz w:val="24"/>
                <w:szCs w:val="24"/>
                <w:lang w:eastAsia="en-US" w:bidi="kn-IN"/>
              </w:rPr>
            </w:pPr>
            <w:r w:rsidRPr="00D11BAB">
              <w:rPr>
                <w:rFonts w:ascii="Times New Roman" w:hAnsi="Times New Roman"/>
                <w:sz w:val="24"/>
                <w:szCs w:val="24"/>
                <w:lang w:eastAsia="en-US" w:bidi="kn-IN"/>
              </w:rPr>
              <w:t>Резекция поперечно-ободочной кишки</w:t>
            </w:r>
          </w:p>
        </w:tc>
        <w:tc>
          <w:tcPr>
            <w:tcW w:w="2410" w:type="dxa"/>
            <w:shd w:val="clear" w:color="auto" w:fill="auto"/>
          </w:tcPr>
          <w:p w14:paraId="057FBD58"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4(4,7)</w:t>
            </w:r>
          </w:p>
        </w:tc>
        <w:tc>
          <w:tcPr>
            <w:tcW w:w="2410" w:type="dxa"/>
            <w:shd w:val="clear" w:color="auto" w:fill="auto"/>
          </w:tcPr>
          <w:p w14:paraId="108F87F4"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2(2,6)</w:t>
            </w:r>
          </w:p>
        </w:tc>
        <w:tc>
          <w:tcPr>
            <w:tcW w:w="850" w:type="dxa"/>
            <w:vMerge/>
            <w:shd w:val="clear" w:color="auto" w:fill="auto"/>
          </w:tcPr>
          <w:p w14:paraId="6D5F4AD8" w14:textId="77777777" w:rsidR="00EF5CD6" w:rsidRPr="00D11BAB" w:rsidRDefault="00EF5CD6" w:rsidP="00094F6F">
            <w:pPr>
              <w:spacing w:after="0" w:line="240" w:lineRule="auto"/>
              <w:jc w:val="center"/>
              <w:rPr>
                <w:rFonts w:ascii="Times New Roman" w:hAnsi="Times New Roman"/>
                <w:sz w:val="24"/>
                <w:szCs w:val="24"/>
                <w:lang w:eastAsia="en-US" w:bidi="kn-IN"/>
              </w:rPr>
            </w:pPr>
          </w:p>
        </w:tc>
      </w:tr>
      <w:tr w:rsidR="00EF5CD6" w:rsidRPr="00D11BAB" w14:paraId="6F4E8104" w14:textId="77777777" w:rsidTr="00094F6F">
        <w:trPr>
          <w:trHeight w:val="282"/>
        </w:trPr>
        <w:tc>
          <w:tcPr>
            <w:tcW w:w="3969" w:type="dxa"/>
            <w:shd w:val="clear" w:color="auto" w:fill="auto"/>
          </w:tcPr>
          <w:p w14:paraId="22C73DBD" w14:textId="77777777" w:rsidR="00EF5CD6" w:rsidRPr="00D11BAB" w:rsidRDefault="00EF5CD6" w:rsidP="00094F6F">
            <w:pPr>
              <w:spacing w:after="0" w:line="240" w:lineRule="auto"/>
              <w:rPr>
                <w:rFonts w:ascii="Times New Roman" w:hAnsi="Times New Roman"/>
                <w:sz w:val="24"/>
                <w:szCs w:val="24"/>
                <w:lang w:eastAsia="en-US" w:bidi="kn-IN"/>
              </w:rPr>
            </w:pPr>
            <w:r w:rsidRPr="00D11BAB">
              <w:rPr>
                <w:rFonts w:ascii="Times New Roman" w:hAnsi="Times New Roman"/>
                <w:sz w:val="24"/>
                <w:szCs w:val="24"/>
                <w:lang w:eastAsia="en-US" w:bidi="kn-IN"/>
              </w:rPr>
              <w:t>Левосторонняя гемиколэктомия</w:t>
            </w:r>
          </w:p>
        </w:tc>
        <w:tc>
          <w:tcPr>
            <w:tcW w:w="2410" w:type="dxa"/>
            <w:shd w:val="clear" w:color="auto" w:fill="auto"/>
          </w:tcPr>
          <w:p w14:paraId="50983B93"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24(27,5)</w:t>
            </w:r>
          </w:p>
        </w:tc>
        <w:tc>
          <w:tcPr>
            <w:tcW w:w="2410" w:type="dxa"/>
            <w:shd w:val="clear" w:color="auto" w:fill="auto"/>
          </w:tcPr>
          <w:p w14:paraId="7B324DEA"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17(22,3)</w:t>
            </w:r>
          </w:p>
        </w:tc>
        <w:tc>
          <w:tcPr>
            <w:tcW w:w="850" w:type="dxa"/>
            <w:vMerge/>
            <w:shd w:val="clear" w:color="auto" w:fill="auto"/>
          </w:tcPr>
          <w:p w14:paraId="53E41034" w14:textId="77777777" w:rsidR="00EF5CD6" w:rsidRPr="00D11BAB" w:rsidRDefault="00EF5CD6" w:rsidP="00094F6F">
            <w:pPr>
              <w:spacing w:after="0" w:line="240" w:lineRule="auto"/>
              <w:jc w:val="center"/>
              <w:rPr>
                <w:rFonts w:ascii="Times New Roman" w:hAnsi="Times New Roman"/>
                <w:sz w:val="24"/>
                <w:szCs w:val="24"/>
                <w:lang w:eastAsia="en-US" w:bidi="kn-IN"/>
              </w:rPr>
            </w:pPr>
          </w:p>
        </w:tc>
      </w:tr>
      <w:tr w:rsidR="00EF5CD6" w:rsidRPr="00D11BAB" w14:paraId="40ECD730" w14:textId="77777777" w:rsidTr="00094F6F">
        <w:trPr>
          <w:trHeight w:val="347"/>
        </w:trPr>
        <w:tc>
          <w:tcPr>
            <w:tcW w:w="3969" w:type="dxa"/>
            <w:shd w:val="clear" w:color="auto" w:fill="auto"/>
          </w:tcPr>
          <w:p w14:paraId="31B86666" w14:textId="77777777" w:rsidR="00EF5CD6" w:rsidRPr="00D11BAB" w:rsidRDefault="00EF5CD6" w:rsidP="00094F6F">
            <w:pPr>
              <w:spacing w:after="0" w:line="240" w:lineRule="auto"/>
              <w:rPr>
                <w:rFonts w:ascii="Times New Roman" w:hAnsi="Times New Roman"/>
                <w:bCs/>
                <w:sz w:val="24"/>
                <w:szCs w:val="24"/>
                <w:lang w:eastAsia="en-US" w:bidi="kn-IN"/>
              </w:rPr>
            </w:pPr>
            <w:r w:rsidRPr="00D11BAB">
              <w:rPr>
                <w:rFonts w:ascii="Times New Roman" w:hAnsi="Times New Roman"/>
                <w:bCs/>
                <w:sz w:val="24"/>
                <w:szCs w:val="24"/>
                <w:lang w:eastAsia="en-US" w:bidi="kn-IN"/>
              </w:rPr>
              <w:t>Резекция кишечника с формирование стомы</w:t>
            </w:r>
          </w:p>
        </w:tc>
        <w:tc>
          <w:tcPr>
            <w:tcW w:w="2410" w:type="dxa"/>
            <w:shd w:val="clear" w:color="auto" w:fill="auto"/>
          </w:tcPr>
          <w:p w14:paraId="0A3D18EC"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14(16)</w:t>
            </w:r>
          </w:p>
        </w:tc>
        <w:tc>
          <w:tcPr>
            <w:tcW w:w="2410" w:type="dxa"/>
            <w:shd w:val="clear" w:color="auto" w:fill="auto"/>
          </w:tcPr>
          <w:p w14:paraId="64F1BC3F"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15(20)</w:t>
            </w:r>
          </w:p>
        </w:tc>
        <w:tc>
          <w:tcPr>
            <w:tcW w:w="850" w:type="dxa"/>
            <w:vMerge/>
            <w:shd w:val="clear" w:color="auto" w:fill="auto"/>
          </w:tcPr>
          <w:p w14:paraId="28CFA4AA" w14:textId="77777777" w:rsidR="00EF5CD6" w:rsidRPr="00D11BAB" w:rsidRDefault="00EF5CD6" w:rsidP="00094F6F">
            <w:pPr>
              <w:spacing w:after="0" w:line="240" w:lineRule="auto"/>
              <w:jc w:val="center"/>
              <w:rPr>
                <w:rFonts w:ascii="Times New Roman" w:hAnsi="Times New Roman"/>
                <w:sz w:val="24"/>
                <w:szCs w:val="24"/>
                <w:lang w:eastAsia="en-US" w:bidi="kn-IN"/>
              </w:rPr>
            </w:pPr>
          </w:p>
        </w:tc>
      </w:tr>
      <w:tr w:rsidR="00EF5CD6" w:rsidRPr="00D11BAB" w14:paraId="46457D23" w14:textId="77777777" w:rsidTr="00094F6F">
        <w:trPr>
          <w:trHeight w:val="113"/>
        </w:trPr>
        <w:tc>
          <w:tcPr>
            <w:tcW w:w="3969" w:type="dxa"/>
            <w:shd w:val="clear" w:color="auto" w:fill="auto"/>
            <w:hideMark/>
          </w:tcPr>
          <w:p w14:paraId="59082693" w14:textId="77777777" w:rsidR="00EF5CD6" w:rsidRPr="00D11BAB" w:rsidRDefault="00EF5CD6" w:rsidP="00094F6F">
            <w:pPr>
              <w:spacing w:after="0" w:line="240" w:lineRule="auto"/>
              <w:rPr>
                <w:rFonts w:ascii="Times New Roman" w:hAnsi="Times New Roman"/>
                <w:bCs/>
                <w:sz w:val="24"/>
                <w:szCs w:val="24"/>
                <w:lang w:eastAsia="en-US" w:bidi="kn-IN"/>
              </w:rPr>
            </w:pPr>
            <w:r w:rsidRPr="00D11BAB">
              <w:rPr>
                <w:rFonts w:ascii="Times New Roman" w:hAnsi="Times New Roman"/>
                <w:sz w:val="24"/>
                <w:szCs w:val="24"/>
                <w:lang w:eastAsia="en-US" w:bidi="kn-IN"/>
              </w:rPr>
              <w:t>Сопутствующая патология</w:t>
            </w:r>
          </w:p>
        </w:tc>
        <w:tc>
          <w:tcPr>
            <w:tcW w:w="2410" w:type="dxa"/>
            <w:shd w:val="clear" w:color="auto" w:fill="auto"/>
          </w:tcPr>
          <w:p w14:paraId="28BCC2F3"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val="en-US" w:eastAsia="en-US" w:bidi="kn-IN"/>
              </w:rPr>
              <w:t>38 (43,6)</w:t>
            </w:r>
          </w:p>
        </w:tc>
        <w:tc>
          <w:tcPr>
            <w:tcW w:w="2410" w:type="dxa"/>
            <w:shd w:val="clear" w:color="auto" w:fill="auto"/>
            <w:hideMark/>
          </w:tcPr>
          <w:p w14:paraId="6C8FAD2E" w14:textId="77777777" w:rsidR="00EF5CD6" w:rsidRPr="00D11BAB" w:rsidRDefault="00EF5CD6" w:rsidP="00094F6F">
            <w:pPr>
              <w:spacing w:after="0" w:line="240" w:lineRule="auto"/>
              <w:jc w:val="center"/>
              <w:rPr>
                <w:rFonts w:ascii="Times New Roman" w:hAnsi="Times New Roman"/>
                <w:sz w:val="24"/>
                <w:szCs w:val="24"/>
                <w:lang w:val="en-US" w:eastAsia="en-US" w:bidi="kn-IN"/>
              </w:rPr>
            </w:pPr>
            <w:r w:rsidRPr="00D11BAB">
              <w:rPr>
                <w:rFonts w:ascii="Times New Roman" w:hAnsi="Times New Roman"/>
                <w:sz w:val="24"/>
                <w:szCs w:val="24"/>
                <w:lang w:val="en-US" w:eastAsia="en-US" w:bidi="kn-IN"/>
              </w:rPr>
              <w:t>33 (44)</w:t>
            </w:r>
          </w:p>
        </w:tc>
        <w:tc>
          <w:tcPr>
            <w:tcW w:w="850" w:type="dxa"/>
            <w:shd w:val="clear" w:color="auto" w:fill="auto"/>
            <w:hideMark/>
          </w:tcPr>
          <w:p w14:paraId="5EF3B3CC" w14:textId="77777777" w:rsidR="00EF5CD6" w:rsidRPr="00D11BAB" w:rsidRDefault="00EF5CD6" w:rsidP="00094F6F">
            <w:pPr>
              <w:spacing w:after="0" w:line="240" w:lineRule="auto"/>
              <w:jc w:val="center"/>
              <w:rPr>
                <w:rFonts w:ascii="Times New Roman" w:hAnsi="Times New Roman"/>
                <w:sz w:val="24"/>
                <w:szCs w:val="24"/>
                <w:lang w:eastAsia="en-US" w:bidi="kn-IN"/>
              </w:rPr>
            </w:pPr>
            <w:r w:rsidRPr="00D11BAB">
              <w:rPr>
                <w:rFonts w:ascii="Times New Roman" w:hAnsi="Times New Roman"/>
                <w:sz w:val="24"/>
                <w:szCs w:val="24"/>
                <w:lang w:eastAsia="en-US" w:bidi="kn-IN"/>
              </w:rPr>
              <w:t>0,</w:t>
            </w:r>
            <w:r w:rsidRPr="00D11BAB">
              <w:rPr>
                <w:rFonts w:ascii="Times New Roman" w:hAnsi="Times New Roman"/>
                <w:sz w:val="24"/>
                <w:szCs w:val="24"/>
                <w:lang w:val="en-US" w:eastAsia="en-US" w:bidi="kn-IN"/>
              </w:rPr>
              <w:t>864</w:t>
            </w:r>
          </w:p>
        </w:tc>
      </w:tr>
      <w:tr w:rsidR="00EF5CD6" w:rsidRPr="00D11BAB" w14:paraId="5A29EDFF" w14:textId="77777777" w:rsidTr="00094F6F">
        <w:trPr>
          <w:trHeight w:val="347"/>
        </w:trPr>
        <w:tc>
          <w:tcPr>
            <w:tcW w:w="9639" w:type="dxa"/>
            <w:gridSpan w:val="4"/>
            <w:shd w:val="clear" w:color="auto" w:fill="auto"/>
          </w:tcPr>
          <w:p w14:paraId="72DE945C" w14:textId="77777777" w:rsidR="00EF5CD6" w:rsidRPr="00D11BAB" w:rsidRDefault="00EF5CD6" w:rsidP="00094F6F">
            <w:pPr>
              <w:spacing w:after="0" w:line="240" w:lineRule="auto"/>
              <w:rPr>
                <w:rFonts w:ascii="Times New Roman" w:hAnsi="Times New Roman"/>
                <w:sz w:val="24"/>
                <w:szCs w:val="24"/>
                <w:lang w:eastAsia="en-US" w:bidi="kn-IN"/>
              </w:rPr>
            </w:pPr>
            <w:r w:rsidRPr="00D11BAB">
              <w:rPr>
                <w:rFonts w:ascii="Times New Roman" w:hAnsi="Times New Roman"/>
                <w:sz w:val="24"/>
                <w:szCs w:val="24"/>
                <w:lang w:eastAsia="en-US" w:bidi="kn-IN"/>
              </w:rPr>
              <w:t>Информация представлена в n (%)</w:t>
            </w:r>
          </w:p>
          <w:p w14:paraId="5FEE75CC" w14:textId="77777777" w:rsidR="00EF5CD6" w:rsidRPr="00D11BAB" w:rsidRDefault="00EF5CD6" w:rsidP="00094F6F">
            <w:pPr>
              <w:spacing w:after="0" w:line="240" w:lineRule="auto"/>
              <w:rPr>
                <w:rFonts w:ascii="Times New Roman" w:hAnsi="Times New Roman"/>
                <w:sz w:val="24"/>
                <w:szCs w:val="24"/>
                <w:lang w:eastAsia="en-US" w:bidi="kn-IN"/>
              </w:rPr>
            </w:pPr>
            <w:r w:rsidRPr="00D11BAB">
              <w:rPr>
                <w:rFonts w:ascii="Times New Roman" w:hAnsi="Times New Roman"/>
                <w:sz w:val="24"/>
                <w:szCs w:val="24"/>
                <w:lang w:val="en-US" w:eastAsia="en-US" w:bidi="kn-IN"/>
              </w:rPr>
              <w:t>Chi</w:t>
            </w:r>
            <w:r w:rsidRPr="00D11BAB">
              <w:rPr>
                <w:rFonts w:ascii="Times New Roman" w:hAnsi="Times New Roman"/>
                <w:sz w:val="24"/>
                <w:szCs w:val="24"/>
                <w:vertAlign w:val="superscript"/>
                <w:lang w:eastAsia="en-US" w:bidi="kn-IN"/>
              </w:rPr>
              <w:t>2</w:t>
            </w:r>
            <w:r w:rsidRPr="00D11BAB">
              <w:rPr>
                <w:rFonts w:ascii="Times New Roman" w:hAnsi="Times New Roman"/>
                <w:sz w:val="24"/>
                <w:szCs w:val="24"/>
                <w:lang w:eastAsia="en-US" w:bidi="kn-IN"/>
              </w:rPr>
              <w:t xml:space="preserve"> </w:t>
            </w:r>
            <w:r w:rsidRPr="00D11BAB">
              <w:rPr>
                <w:rFonts w:ascii="Times New Roman" w:hAnsi="Times New Roman"/>
                <w:sz w:val="24"/>
                <w:szCs w:val="24"/>
                <w:lang w:val="en-US" w:eastAsia="en-US" w:bidi="kn-IN"/>
              </w:rPr>
              <w:t>test</w:t>
            </w:r>
          </w:p>
        </w:tc>
      </w:tr>
    </w:tbl>
    <w:p w14:paraId="159C3624"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24D5C923"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Проведен сравнительный анализ общей одногодичной выживаемости больных основной и контрольной группы. Результаты одногодичной общей выживаемости отражены на рисунке </w:t>
      </w:r>
      <w:r>
        <w:rPr>
          <w:rFonts w:ascii="Times New Roman" w:hAnsi="Times New Roman"/>
          <w:sz w:val="28"/>
          <w:szCs w:val="28"/>
        </w:rPr>
        <w:t>45</w:t>
      </w:r>
      <w:r w:rsidRPr="00D11BAB">
        <w:rPr>
          <w:rFonts w:ascii="Times New Roman" w:hAnsi="Times New Roman"/>
          <w:sz w:val="28"/>
          <w:szCs w:val="28"/>
        </w:rPr>
        <w:t xml:space="preserve">. </w:t>
      </w:r>
    </w:p>
    <w:p w14:paraId="38921730"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57904D40"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55F06EA9"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D11BAB">
        <w:rPr>
          <w:rFonts w:ascii="Times New Roman" w:hAnsi="Times New Roman"/>
          <w:noProof/>
          <w:sz w:val="28"/>
          <w:szCs w:val="28"/>
        </w:rPr>
        <w:drawing>
          <wp:inline distT="0" distB="0" distL="0" distR="0" wp14:anchorId="7458900F" wp14:editId="049B889D">
            <wp:extent cx="4244340" cy="2933700"/>
            <wp:effectExtent l="0" t="0" r="0" b="0"/>
            <wp:docPr id="43" name="Рисунок 3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36" descr="Chart&#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44340" cy="2933700"/>
                    </a:xfrm>
                    <a:prstGeom prst="rect">
                      <a:avLst/>
                    </a:prstGeom>
                    <a:noFill/>
                    <a:ln>
                      <a:noFill/>
                    </a:ln>
                  </pic:spPr>
                </pic:pic>
              </a:graphicData>
            </a:graphic>
          </wp:inline>
        </w:drawing>
      </w:r>
    </w:p>
    <w:tbl>
      <w:tblPr>
        <w:tblpPr w:leftFromText="180" w:rightFromText="180" w:bottomFromText="200" w:vertAnchor="text" w:horzAnchor="margin" w:tblpXSpec="center" w:tblpY="130"/>
        <w:tblW w:w="0" w:type="auto"/>
        <w:tblLayout w:type="fixed"/>
        <w:tblLook w:val="04A0" w:firstRow="1" w:lastRow="0" w:firstColumn="1" w:lastColumn="0" w:noHBand="0" w:noVBand="1"/>
      </w:tblPr>
      <w:tblGrid>
        <w:gridCol w:w="2376"/>
        <w:gridCol w:w="993"/>
        <w:gridCol w:w="567"/>
        <w:gridCol w:w="244"/>
        <w:gridCol w:w="1031"/>
        <w:gridCol w:w="954"/>
        <w:gridCol w:w="2126"/>
      </w:tblGrid>
      <w:tr w:rsidR="00EF5CD6" w:rsidRPr="00D11BAB" w14:paraId="4CE2A68E" w14:textId="77777777" w:rsidTr="00094F6F">
        <w:trPr>
          <w:trHeight w:val="137"/>
        </w:trPr>
        <w:tc>
          <w:tcPr>
            <w:tcW w:w="2376" w:type="dxa"/>
            <w:shd w:val="clear" w:color="auto" w:fill="auto"/>
            <w:hideMark/>
          </w:tcPr>
          <w:p w14:paraId="03D21E24"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Контрольная группа</w:t>
            </w:r>
          </w:p>
        </w:tc>
        <w:tc>
          <w:tcPr>
            <w:tcW w:w="993" w:type="dxa"/>
            <w:shd w:val="clear" w:color="auto" w:fill="auto"/>
            <w:hideMark/>
          </w:tcPr>
          <w:p w14:paraId="2EDB0F44"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76</w:t>
            </w:r>
          </w:p>
        </w:tc>
        <w:tc>
          <w:tcPr>
            <w:tcW w:w="567" w:type="dxa"/>
            <w:shd w:val="clear" w:color="auto" w:fill="auto"/>
            <w:hideMark/>
          </w:tcPr>
          <w:p w14:paraId="24E5626C"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val="en-US" w:eastAsia="en-US"/>
              </w:rPr>
            </w:pPr>
            <w:r w:rsidRPr="00D11BAB">
              <w:rPr>
                <w:rFonts w:ascii="Times New Roman" w:hAnsi="Times New Roman"/>
                <w:sz w:val="24"/>
                <w:szCs w:val="24"/>
                <w:lang w:eastAsia="en-US"/>
              </w:rPr>
              <w:t>7</w:t>
            </w:r>
            <w:r w:rsidRPr="00D11BAB">
              <w:rPr>
                <w:rFonts w:ascii="Times New Roman" w:hAnsi="Times New Roman"/>
                <w:sz w:val="24"/>
                <w:szCs w:val="24"/>
                <w:lang w:val="kk-KZ" w:eastAsia="en-US"/>
              </w:rPr>
              <w:t>6</w:t>
            </w:r>
          </w:p>
        </w:tc>
        <w:tc>
          <w:tcPr>
            <w:tcW w:w="244" w:type="dxa"/>
            <w:shd w:val="clear" w:color="auto" w:fill="auto"/>
          </w:tcPr>
          <w:p w14:paraId="0EFD7DFD"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val="en-US" w:eastAsia="en-US"/>
              </w:rPr>
            </w:pPr>
          </w:p>
        </w:tc>
        <w:tc>
          <w:tcPr>
            <w:tcW w:w="1031" w:type="dxa"/>
            <w:shd w:val="clear" w:color="auto" w:fill="auto"/>
            <w:hideMark/>
          </w:tcPr>
          <w:p w14:paraId="2DD70198"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val="en-US" w:eastAsia="en-US"/>
              </w:rPr>
              <w:t>7</w:t>
            </w:r>
            <w:r w:rsidRPr="00D11BAB">
              <w:rPr>
                <w:rFonts w:ascii="Times New Roman" w:hAnsi="Times New Roman"/>
                <w:sz w:val="24"/>
                <w:szCs w:val="24"/>
                <w:lang w:eastAsia="en-US"/>
              </w:rPr>
              <w:t>4</w:t>
            </w:r>
          </w:p>
        </w:tc>
        <w:tc>
          <w:tcPr>
            <w:tcW w:w="954" w:type="dxa"/>
            <w:shd w:val="clear" w:color="auto" w:fill="auto"/>
            <w:hideMark/>
          </w:tcPr>
          <w:p w14:paraId="2C64DDEA"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70</w:t>
            </w:r>
          </w:p>
        </w:tc>
        <w:tc>
          <w:tcPr>
            <w:tcW w:w="2126" w:type="dxa"/>
            <w:shd w:val="clear" w:color="auto" w:fill="auto"/>
          </w:tcPr>
          <w:p w14:paraId="34A22E9A"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66</w:t>
            </w:r>
          </w:p>
        </w:tc>
      </w:tr>
      <w:tr w:rsidR="00EF5CD6" w:rsidRPr="00D11BAB" w14:paraId="5013945A" w14:textId="77777777" w:rsidTr="00094F6F">
        <w:trPr>
          <w:trHeight w:val="73"/>
        </w:trPr>
        <w:tc>
          <w:tcPr>
            <w:tcW w:w="2376" w:type="dxa"/>
            <w:shd w:val="clear" w:color="auto" w:fill="auto"/>
          </w:tcPr>
          <w:p w14:paraId="2E1C82E8"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Основная группа</w:t>
            </w:r>
          </w:p>
        </w:tc>
        <w:tc>
          <w:tcPr>
            <w:tcW w:w="993" w:type="dxa"/>
            <w:shd w:val="clear" w:color="auto" w:fill="auto"/>
          </w:tcPr>
          <w:p w14:paraId="16D6D8A6"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87</w:t>
            </w:r>
          </w:p>
        </w:tc>
        <w:tc>
          <w:tcPr>
            <w:tcW w:w="567" w:type="dxa"/>
            <w:shd w:val="clear" w:color="auto" w:fill="auto"/>
          </w:tcPr>
          <w:p w14:paraId="4B420E07"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87</w:t>
            </w:r>
          </w:p>
        </w:tc>
        <w:tc>
          <w:tcPr>
            <w:tcW w:w="244" w:type="dxa"/>
            <w:shd w:val="clear" w:color="auto" w:fill="auto"/>
          </w:tcPr>
          <w:p w14:paraId="40210573"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p>
        </w:tc>
        <w:tc>
          <w:tcPr>
            <w:tcW w:w="1031" w:type="dxa"/>
            <w:shd w:val="clear" w:color="auto" w:fill="auto"/>
          </w:tcPr>
          <w:p w14:paraId="4DDADDA0"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87</w:t>
            </w:r>
          </w:p>
        </w:tc>
        <w:tc>
          <w:tcPr>
            <w:tcW w:w="954" w:type="dxa"/>
            <w:shd w:val="clear" w:color="auto" w:fill="auto"/>
          </w:tcPr>
          <w:p w14:paraId="60751C96"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87</w:t>
            </w:r>
          </w:p>
        </w:tc>
        <w:tc>
          <w:tcPr>
            <w:tcW w:w="2126" w:type="dxa"/>
            <w:shd w:val="clear" w:color="auto" w:fill="auto"/>
          </w:tcPr>
          <w:p w14:paraId="07D6A20D"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87</w:t>
            </w:r>
          </w:p>
        </w:tc>
      </w:tr>
    </w:tbl>
    <w:p w14:paraId="1A2F336A"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1FD42082"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27EFDB24"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D11BAB">
        <w:rPr>
          <w:rFonts w:ascii="Times New Roman" w:hAnsi="Times New Roman"/>
          <w:sz w:val="28"/>
          <w:szCs w:val="28"/>
        </w:rPr>
        <w:t xml:space="preserve">Рисунок </w:t>
      </w:r>
      <w:r>
        <w:rPr>
          <w:rFonts w:ascii="Times New Roman" w:hAnsi="Times New Roman"/>
          <w:sz w:val="28"/>
          <w:szCs w:val="28"/>
        </w:rPr>
        <w:t>45</w:t>
      </w:r>
      <w:r w:rsidRPr="00D11BAB">
        <w:rPr>
          <w:rFonts w:ascii="Times New Roman" w:hAnsi="Times New Roman"/>
          <w:sz w:val="28"/>
          <w:szCs w:val="28"/>
        </w:rPr>
        <w:t xml:space="preserve"> – Сравнительный анализ общей одногодичной выживаемости больных в основной группе и группе сравнения</w:t>
      </w:r>
    </w:p>
    <w:p w14:paraId="37B6CB98"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7AAD660C"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6930E6C6"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Так, в соответствии с рисунком 39 краткосрочная выживаемость отмечалась у 86,8% пациентов контрольной группы и у 100% основной группы (</w:t>
      </w:r>
      <w:r w:rsidRPr="00D11BAB">
        <w:rPr>
          <w:rFonts w:ascii="Times New Roman" w:hAnsi="Times New Roman"/>
          <w:sz w:val="28"/>
          <w:szCs w:val="28"/>
          <w:lang w:val="en-US"/>
        </w:rPr>
        <w:t>log</w:t>
      </w:r>
      <w:r w:rsidRPr="00D11BAB">
        <w:rPr>
          <w:rFonts w:ascii="Times New Roman" w:hAnsi="Times New Roman"/>
          <w:sz w:val="28"/>
          <w:szCs w:val="28"/>
        </w:rPr>
        <w:t xml:space="preserve"> </w:t>
      </w:r>
      <w:r w:rsidRPr="00D11BAB">
        <w:rPr>
          <w:rFonts w:ascii="Times New Roman" w:hAnsi="Times New Roman"/>
          <w:sz w:val="28"/>
          <w:szCs w:val="28"/>
          <w:lang w:val="en-US"/>
        </w:rPr>
        <w:t>runk</w:t>
      </w:r>
      <w:r w:rsidRPr="00D11BAB">
        <w:rPr>
          <w:rFonts w:ascii="Times New Roman" w:hAnsi="Times New Roman"/>
          <w:sz w:val="28"/>
          <w:szCs w:val="28"/>
        </w:rPr>
        <w:t xml:space="preserve"> р˂0,05). При 95% статистической достоверности медиана одногодичной выживаемости больных контрольной группы составляет 11,1±0,27 месяцев, </w:t>
      </w:r>
      <w:r w:rsidRPr="00D11BAB">
        <w:rPr>
          <w:rFonts w:ascii="Times New Roman" w:hAnsi="Times New Roman"/>
          <w:sz w:val="28"/>
          <w:szCs w:val="28"/>
        </w:rPr>
        <w:lastRenderedPageBreak/>
        <w:t>интервал выживаемости 10,5-11,6 месяцев. Медиана выживаемости больных основной группы составляет 12,0 месяцев, случаев возникновения неблагоприятного исхода (смерти) для больных основной группы за 12 месяцев после хирургического лечения не наблюдалось. Кривая выживаемости демонстрирует статистически достоверную разницу в выживаемости больных.</w:t>
      </w:r>
    </w:p>
    <w:p w14:paraId="1412230F"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Рисунок 4</w:t>
      </w:r>
      <w:r>
        <w:rPr>
          <w:rFonts w:ascii="Times New Roman" w:hAnsi="Times New Roman"/>
          <w:sz w:val="28"/>
          <w:szCs w:val="28"/>
        </w:rPr>
        <w:t>6</w:t>
      </w:r>
      <w:r w:rsidRPr="00D11BAB">
        <w:rPr>
          <w:rFonts w:ascii="Times New Roman" w:hAnsi="Times New Roman"/>
          <w:sz w:val="28"/>
          <w:szCs w:val="28"/>
        </w:rPr>
        <w:t xml:space="preserve"> демонстрирует 3-летнюю выживаемость в группе сравнения и основной группе.</w:t>
      </w:r>
    </w:p>
    <w:p w14:paraId="16D7A3DC"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p>
    <w:p w14:paraId="69B5E53E" w14:textId="77777777" w:rsidR="00EF5CD6" w:rsidRPr="00D11BAB" w:rsidRDefault="00EF5CD6" w:rsidP="00EF5CD6">
      <w:pPr>
        <w:autoSpaceDE w:val="0"/>
        <w:autoSpaceDN w:val="0"/>
        <w:adjustRightInd w:val="0"/>
        <w:spacing w:after="0" w:line="240" w:lineRule="auto"/>
        <w:jc w:val="center"/>
        <w:rPr>
          <w:rFonts w:ascii="Times New Roman" w:eastAsia="Calibri" w:hAnsi="Times New Roman"/>
          <w:sz w:val="24"/>
          <w:szCs w:val="24"/>
          <w:lang w:eastAsia="en-US"/>
        </w:rPr>
      </w:pPr>
      <w:r w:rsidRPr="00D11BAB">
        <w:rPr>
          <w:rFonts w:ascii="Times New Roman" w:eastAsia="Calibri" w:hAnsi="Times New Roman"/>
          <w:noProof/>
          <w:sz w:val="24"/>
          <w:szCs w:val="24"/>
        </w:rPr>
        <w:drawing>
          <wp:inline distT="0" distB="0" distL="0" distR="0" wp14:anchorId="5DD49792" wp14:editId="3FC7A025">
            <wp:extent cx="5806440" cy="3581400"/>
            <wp:effectExtent l="0" t="0" r="0" b="0"/>
            <wp:docPr id="44" name="Рисунок 3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30" descr="Chart, line chart&#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t="6000"/>
                    <a:stretch>
                      <a:fillRect/>
                    </a:stretch>
                  </pic:blipFill>
                  <pic:spPr bwMode="auto">
                    <a:xfrm>
                      <a:off x="0" y="0"/>
                      <a:ext cx="5806440" cy="3581400"/>
                    </a:xfrm>
                    <a:prstGeom prst="rect">
                      <a:avLst/>
                    </a:prstGeom>
                    <a:noFill/>
                    <a:ln>
                      <a:noFill/>
                    </a:ln>
                  </pic:spPr>
                </pic:pic>
              </a:graphicData>
            </a:graphic>
          </wp:inline>
        </w:drawing>
      </w:r>
    </w:p>
    <w:p w14:paraId="02286FD1" w14:textId="77777777" w:rsidR="00EF5CD6" w:rsidRPr="00D11BAB" w:rsidRDefault="00EF5CD6" w:rsidP="00EF5CD6">
      <w:pPr>
        <w:autoSpaceDE w:val="0"/>
        <w:autoSpaceDN w:val="0"/>
        <w:adjustRightInd w:val="0"/>
        <w:spacing w:after="0" w:line="240" w:lineRule="auto"/>
        <w:rPr>
          <w:rFonts w:ascii="Times New Roman" w:eastAsia="Calibri" w:hAnsi="Times New Roman"/>
          <w:sz w:val="16"/>
          <w:szCs w:val="16"/>
          <w:lang w:eastAsia="en-US"/>
        </w:rPr>
      </w:pPr>
    </w:p>
    <w:tbl>
      <w:tblPr>
        <w:tblpPr w:leftFromText="180" w:rightFromText="180" w:bottomFromText="200" w:vertAnchor="text" w:horzAnchor="page" w:tblpX="2152" w:tblpY="186"/>
        <w:tblW w:w="0" w:type="auto"/>
        <w:tblLayout w:type="fixed"/>
        <w:tblLook w:val="04A0" w:firstRow="1" w:lastRow="0" w:firstColumn="1" w:lastColumn="0" w:noHBand="0" w:noVBand="1"/>
      </w:tblPr>
      <w:tblGrid>
        <w:gridCol w:w="2943"/>
        <w:gridCol w:w="1134"/>
        <w:gridCol w:w="567"/>
        <w:gridCol w:w="709"/>
        <w:gridCol w:w="425"/>
        <w:gridCol w:w="851"/>
        <w:gridCol w:w="992"/>
      </w:tblGrid>
      <w:tr w:rsidR="00EF5CD6" w:rsidRPr="00D11BAB" w14:paraId="2C7F06D3" w14:textId="77777777" w:rsidTr="00094F6F">
        <w:tc>
          <w:tcPr>
            <w:tcW w:w="2943" w:type="dxa"/>
            <w:shd w:val="clear" w:color="auto" w:fill="auto"/>
            <w:hideMark/>
          </w:tcPr>
          <w:p w14:paraId="645654CE"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Контрольная группа</w:t>
            </w:r>
          </w:p>
        </w:tc>
        <w:tc>
          <w:tcPr>
            <w:tcW w:w="1134" w:type="dxa"/>
            <w:shd w:val="clear" w:color="auto" w:fill="auto"/>
            <w:hideMark/>
          </w:tcPr>
          <w:p w14:paraId="5F003F4C"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76</w:t>
            </w:r>
          </w:p>
        </w:tc>
        <w:tc>
          <w:tcPr>
            <w:tcW w:w="567" w:type="dxa"/>
            <w:shd w:val="clear" w:color="auto" w:fill="auto"/>
          </w:tcPr>
          <w:p w14:paraId="27893CFF"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p>
        </w:tc>
        <w:tc>
          <w:tcPr>
            <w:tcW w:w="709" w:type="dxa"/>
            <w:shd w:val="clear" w:color="auto" w:fill="auto"/>
            <w:hideMark/>
          </w:tcPr>
          <w:p w14:paraId="56F5DC2D"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val="en-US" w:eastAsia="en-US"/>
              </w:rPr>
            </w:pPr>
            <w:r w:rsidRPr="00D11BAB">
              <w:rPr>
                <w:rFonts w:ascii="Times New Roman" w:hAnsi="Times New Roman"/>
                <w:sz w:val="24"/>
                <w:szCs w:val="24"/>
                <w:lang w:val="en-US" w:eastAsia="en-US"/>
              </w:rPr>
              <w:t>66</w:t>
            </w:r>
          </w:p>
        </w:tc>
        <w:tc>
          <w:tcPr>
            <w:tcW w:w="425" w:type="dxa"/>
            <w:shd w:val="clear" w:color="auto" w:fill="auto"/>
          </w:tcPr>
          <w:p w14:paraId="310C8683"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val="en-US" w:eastAsia="en-US"/>
              </w:rPr>
            </w:pPr>
          </w:p>
        </w:tc>
        <w:tc>
          <w:tcPr>
            <w:tcW w:w="851" w:type="dxa"/>
            <w:shd w:val="clear" w:color="auto" w:fill="auto"/>
            <w:hideMark/>
          </w:tcPr>
          <w:p w14:paraId="4891131A"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val="en-US" w:eastAsia="en-US"/>
              </w:rPr>
            </w:pPr>
            <w:r w:rsidRPr="00D11BAB">
              <w:rPr>
                <w:rFonts w:ascii="Times New Roman" w:hAnsi="Times New Roman"/>
                <w:sz w:val="24"/>
                <w:szCs w:val="24"/>
                <w:lang w:val="en-US" w:eastAsia="en-US"/>
              </w:rPr>
              <w:t>58</w:t>
            </w:r>
          </w:p>
        </w:tc>
        <w:tc>
          <w:tcPr>
            <w:tcW w:w="992" w:type="dxa"/>
            <w:shd w:val="clear" w:color="auto" w:fill="auto"/>
            <w:hideMark/>
          </w:tcPr>
          <w:p w14:paraId="0096992D"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val="en-US" w:eastAsia="en-US"/>
              </w:rPr>
            </w:pPr>
            <w:r w:rsidRPr="00D11BAB">
              <w:rPr>
                <w:rFonts w:ascii="Times New Roman" w:hAnsi="Times New Roman"/>
                <w:sz w:val="24"/>
                <w:szCs w:val="24"/>
                <w:lang w:val="en-US" w:eastAsia="en-US"/>
              </w:rPr>
              <w:t>45</w:t>
            </w:r>
          </w:p>
        </w:tc>
      </w:tr>
      <w:tr w:rsidR="00EF5CD6" w:rsidRPr="00D11BAB" w14:paraId="4DABE326" w14:textId="77777777" w:rsidTr="00094F6F">
        <w:tc>
          <w:tcPr>
            <w:tcW w:w="2943" w:type="dxa"/>
            <w:shd w:val="clear" w:color="auto" w:fill="auto"/>
          </w:tcPr>
          <w:p w14:paraId="20359E54"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Основная группа</w:t>
            </w:r>
          </w:p>
        </w:tc>
        <w:tc>
          <w:tcPr>
            <w:tcW w:w="1134" w:type="dxa"/>
            <w:shd w:val="clear" w:color="auto" w:fill="auto"/>
          </w:tcPr>
          <w:p w14:paraId="4407BB0B"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87</w:t>
            </w:r>
          </w:p>
        </w:tc>
        <w:tc>
          <w:tcPr>
            <w:tcW w:w="567" w:type="dxa"/>
            <w:shd w:val="clear" w:color="auto" w:fill="auto"/>
          </w:tcPr>
          <w:p w14:paraId="779F71DE"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p>
        </w:tc>
        <w:tc>
          <w:tcPr>
            <w:tcW w:w="709" w:type="dxa"/>
            <w:shd w:val="clear" w:color="auto" w:fill="auto"/>
          </w:tcPr>
          <w:p w14:paraId="3AE04424"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87</w:t>
            </w:r>
          </w:p>
        </w:tc>
        <w:tc>
          <w:tcPr>
            <w:tcW w:w="425" w:type="dxa"/>
            <w:shd w:val="clear" w:color="auto" w:fill="auto"/>
          </w:tcPr>
          <w:p w14:paraId="48A2E189"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val="en-US" w:eastAsia="en-US"/>
              </w:rPr>
            </w:pPr>
          </w:p>
        </w:tc>
        <w:tc>
          <w:tcPr>
            <w:tcW w:w="851" w:type="dxa"/>
            <w:shd w:val="clear" w:color="auto" w:fill="auto"/>
          </w:tcPr>
          <w:p w14:paraId="2BB3110C"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86</w:t>
            </w:r>
          </w:p>
        </w:tc>
        <w:tc>
          <w:tcPr>
            <w:tcW w:w="992" w:type="dxa"/>
            <w:shd w:val="clear" w:color="auto" w:fill="auto"/>
          </w:tcPr>
          <w:p w14:paraId="0FA1CFC1" w14:textId="77777777" w:rsidR="00EF5CD6" w:rsidRPr="00D11BAB" w:rsidRDefault="00EF5CD6" w:rsidP="00094F6F">
            <w:pPr>
              <w:autoSpaceDE w:val="0"/>
              <w:autoSpaceDN w:val="0"/>
              <w:adjustRightInd w:val="0"/>
              <w:spacing w:after="0" w:line="240" w:lineRule="auto"/>
              <w:rPr>
                <w:rFonts w:ascii="Times New Roman" w:hAnsi="Times New Roman"/>
                <w:sz w:val="24"/>
                <w:szCs w:val="24"/>
                <w:lang w:eastAsia="en-US"/>
              </w:rPr>
            </w:pPr>
            <w:r w:rsidRPr="00D11BAB">
              <w:rPr>
                <w:rFonts w:ascii="Times New Roman" w:hAnsi="Times New Roman"/>
                <w:sz w:val="24"/>
                <w:szCs w:val="24"/>
                <w:lang w:eastAsia="en-US"/>
              </w:rPr>
              <w:t>68</w:t>
            </w:r>
          </w:p>
        </w:tc>
      </w:tr>
    </w:tbl>
    <w:p w14:paraId="5635FFF2" w14:textId="77777777" w:rsidR="00EF5CD6" w:rsidRPr="00D11BAB" w:rsidRDefault="00EF5CD6" w:rsidP="00EF5CD6">
      <w:pPr>
        <w:autoSpaceDE w:val="0"/>
        <w:autoSpaceDN w:val="0"/>
        <w:adjustRightInd w:val="0"/>
        <w:spacing w:after="0" w:line="240" w:lineRule="auto"/>
        <w:rPr>
          <w:rFonts w:ascii="Times New Roman" w:eastAsia="Calibri" w:hAnsi="Times New Roman"/>
          <w:sz w:val="24"/>
          <w:szCs w:val="24"/>
          <w:lang w:eastAsia="en-US"/>
        </w:rPr>
      </w:pPr>
    </w:p>
    <w:p w14:paraId="70A8CA44" w14:textId="77777777" w:rsidR="00EF5CD6" w:rsidRPr="00D11BAB" w:rsidRDefault="00EF5CD6" w:rsidP="00EF5CD6">
      <w:pPr>
        <w:autoSpaceDE w:val="0"/>
        <w:autoSpaceDN w:val="0"/>
        <w:adjustRightInd w:val="0"/>
        <w:spacing w:after="0" w:line="240" w:lineRule="auto"/>
        <w:rPr>
          <w:rFonts w:ascii="Times New Roman" w:eastAsia="Calibri" w:hAnsi="Times New Roman"/>
          <w:sz w:val="24"/>
          <w:szCs w:val="24"/>
          <w:lang w:eastAsia="en-US"/>
        </w:rPr>
      </w:pPr>
    </w:p>
    <w:p w14:paraId="16648D5D"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14:paraId="2A8FE99A"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16"/>
          <w:szCs w:val="16"/>
        </w:rPr>
      </w:pPr>
    </w:p>
    <w:p w14:paraId="6E0170FD" w14:textId="77777777"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D11BAB">
        <w:rPr>
          <w:rFonts w:ascii="Times New Roman" w:hAnsi="Times New Roman"/>
          <w:sz w:val="28"/>
          <w:szCs w:val="28"/>
        </w:rPr>
        <w:t>Рисунок 4</w:t>
      </w:r>
      <w:r>
        <w:rPr>
          <w:rFonts w:ascii="Times New Roman" w:hAnsi="Times New Roman"/>
          <w:sz w:val="28"/>
          <w:szCs w:val="28"/>
        </w:rPr>
        <w:t>6</w:t>
      </w:r>
      <w:r w:rsidRPr="00D11BAB">
        <w:rPr>
          <w:rFonts w:ascii="Times New Roman" w:hAnsi="Times New Roman"/>
          <w:sz w:val="28"/>
          <w:szCs w:val="28"/>
        </w:rPr>
        <w:t xml:space="preserve"> – Сравнительный анализ 3-летней выживаемости больных в основной и контрольной группах </w:t>
      </w:r>
    </w:p>
    <w:p w14:paraId="48589504"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0959A514" w14:textId="77777777" w:rsidR="00EF5CD6"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14:paraId="4F1EB5F3" w14:textId="0D272173" w:rsidR="00EF5CD6" w:rsidRPr="00D11BAB" w:rsidRDefault="00EF5CD6" w:rsidP="00EF5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В соответствии с рисунком 40, 3-летняя выживаемость наблюдалась у 59,2% пациентов в контрольной группе и у 78,1% пациентов основной группы (</w:t>
      </w:r>
      <w:r w:rsidRPr="00D11BAB">
        <w:rPr>
          <w:rFonts w:ascii="Times New Roman" w:hAnsi="Times New Roman"/>
          <w:sz w:val="28"/>
          <w:szCs w:val="28"/>
          <w:lang w:val="en-US"/>
        </w:rPr>
        <w:t>log</w:t>
      </w:r>
      <w:r w:rsidRPr="00D11BAB">
        <w:rPr>
          <w:rFonts w:ascii="Times New Roman" w:hAnsi="Times New Roman"/>
          <w:sz w:val="28"/>
          <w:szCs w:val="28"/>
        </w:rPr>
        <w:t xml:space="preserve"> </w:t>
      </w:r>
      <w:r w:rsidRPr="00D11BAB">
        <w:rPr>
          <w:rFonts w:ascii="Times New Roman" w:hAnsi="Times New Roman"/>
          <w:sz w:val="28"/>
          <w:szCs w:val="28"/>
          <w:lang w:val="en-US"/>
        </w:rPr>
        <w:t>runk</w:t>
      </w:r>
      <w:r w:rsidRPr="00D11BAB">
        <w:rPr>
          <w:rFonts w:ascii="Times New Roman" w:hAnsi="Times New Roman"/>
          <w:sz w:val="28"/>
          <w:szCs w:val="28"/>
        </w:rPr>
        <w:t xml:space="preserve"> р˂0,05). </w:t>
      </w:r>
      <w:r w:rsidRPr="00D11BAB">
        <w:rPr>
          <w:rFonts w:ascii="Times New Roman" w:hAnsi="Times New Roman"/>
          <w:sz w:val="28"/>
          <w:szCs w:val="28"/>
          <w:lang w:val="en-US"/>
        </w:rPr>
        <w:t>C</w:t>
      </w:r>
      <w:r w:rsidRPr="00D11BAB">
        <w:rPr>
          <w:rFonts w:ascii="Times New Roman" w:hAnsi="Times New Roman"/>
          <w:sz w:val="28"/>
          <w:szCs w:val="28"/>
        </w:rPr>
        <w:t xml:space="preserve"> 95% достоверностью можно утверждать, что медиана 3-летней выживаемости у больных контрольной группы 2,4±0,09 составляет 2,4±0,09 лет, с продолжительностью жизни 2,2-2,6 лет. Медиана выживаемости больных основной группы составляет 2,8±0,03 года, интервал времени возникновения неблагоприятного исхода для больных основной группы </w:t>
      </w:r>
      <w:r w:rsidR="00AB0DCB" w:rsidRPr="00D11BAB">
        <w:rPr>
          <w:rFonts w:ascii="Times New Roman" w:hAnsi="Times New Roman"/>
          <w:sz w:val="28"/>
          <w:szCs w:val="28"/>
        </w:rPr>
        <w:t xml:space="preserve">2,8–2,9 </w:t>
      </w:r>
      <w:r w:rsidRPr="00D11BAB">
        <w:rPr>
          <w:rFonts w:ascii="Times New Roman" w:hAnsi="Times New Roman"/>
          <w:sz w:val="28"/>
          <w:szCs w:val="28"/>
        </w:rPr>
        <w:t>лет. Кривая выживаемости демонстрирует статистически достоверную разницу в выживаемости больных. Следовательно, риск развития неблагоприятного исхода у больных основной группы значительно ниже, чем в контрольной группе, что свидетельствует об эффективности реабилитационных мероприятий.</w:t>
      </w:r>
    </w:p>
    <w:p w14:paraId="0B98E284" w14:textId="5C2FE128" w:rsidR="00AB0DCB" w:rsidRDefault="00AB0DCB">
      <w:pPr>
        <w:spacing w:after="160" w:line="259" w:lineRule="auto"/>
      </w:pPr>
      <w:r>
        <w:br w:type="page"/>
      </w:r>
    </w:p>
    <w:p w14:paraId="47BDFE25" w14:textId="77777777" w:rsidR="00AB0DCB" w:rsidRPr="00D11BAB" w:rsidRDefault="00AB0DCB" w:rsidP="00AB0DCB">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b/>
          <w:bCs/>
          <w:sz w:val="28"/>
          <w:szCs w:val="28"/>
        </w:rPr>
      </w:pPr>
      <w:r w:rsidRPr="00D11BAB">
        <w:rPr>
          <w:rFonts w:ascii="Times New Roman" w:hAnsi="Times New Roman"/>
          <w:b/>
          <w:bCs/>
          <w:sz w:val="28"/>
          <w:szCs w:val="28"/>
        </w:rPr>
        <w:lastRenderedPageBreak/>
        <w:t>ЗАКЛЮЧЕНИЕ</w:t>
      </w:r>
    </w:p>
    <w:p w14:paraId="5ECBB89E" w14:textId="77777777" w:rsidR="00AB0DCB" w:rsidRPr="00D11BAB" w:rsidRDefault="00AB0DCB" w:rsidP="00AB0DCB">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b/>
          <w:bCs/>
          <w:sz w:val="28"/>
          <w:szCs w:val="28"/>
        </w:rPr>
      </w:pPr>
    </w:p>
    <w:p w14:paraId="487663CF" w14:textId="77777777" w:rsidR="00AB0DCB" w:rsidRPr="00D11BAB" w:rsidRDefault="00AB0DCB" w:rsidP="00AB0DCB">
      <w:pPr>
        <w:spacing w:after="0" w:line="240" w:lineRule="auto"/>
        <w:ind w:firstLine="567"/>
        <w:jc w:val="both"/>
        <w:rPr>
          <w:rFonts w:ascii="Times New Roman" w:hAnsi="Times New Roman"/>
          <w:sz w:val="28"/>
          <w:szCs w:val="24"/>
        </w:rPr>
      </w:pPr>
      <w:r w:rsidRPr="00D11BAB">
        <w:rPr>
          <w:rFonts w:ascii="Times New Roman" w:hAnsi="Times New Roman"/>
          <w:sz w:val="28"/>
          <w:szCs w:val="28"/>
        </w:rPr>
        <w:t xml:space="preserve">Согласно эпидемиологическим данным одним из распространенных  </w:t>
      </w:r>
      <w:r w:rsidRPr="00D11BAB">
        <w:rPr>
          <w:rFonts w:ascii="Times New Roman" w:hAnsi="Times New Roman"/>
          <w:sz w:val="28"/>
          <w:szCs w:val="28"/>
          <w:lang w:val="kk-KZ"/>
        </w:rPr>
        <w:t>злокачественных новообразований желудочно-кишечного тракта</w:t>
      </w:r>
      <w:r w:rsidRPr="00D11BAB">
        <w:rPr>
          <w:rFonts w:ascii="Times New Roman" w:hAnsi="Times New Roman"/>
          <w:sz w:val="28"/>
          <w:szCs w:val="28"/>
        </w:rPr>
        <w:t xml:space="preserve"> </w:t>
      </w:r>
      <w:r w:rsidRPr="00D11BAB">
        <w:rPr>
          <w:rFonts w:ascii="Times New Roman" w:hAnsi="Times New Roman"/>
          <w:sz w:val="28"/>
          <w:szCs w:val="28"/>
          <w:lang w:val="kk-KZ"/>
        </w:rPr>
        <w:t>является</w:t>
      </w:r>
      <w:r w:rsidRPr="00D11BAB">
        <w:rPr>
          <w:rFonts w:ascii="Times New Roman" w:hAnsi="Times New Roman"/>
          <w:sz w:val="28"/>
          <w:szCs w:val="28"/>
        </w:rPr>
        <w:t xml:space="preserve"> р</w:t>
      </w:r>
      <w:r w:rsidRPr="00D11BAB">
        <w:rPr>
          <w:rFonts w:ascii="Times New Roman" w:hAnsi="Times New Roman"/>
          <w:sz w:val="28"/>
          <w:szCs w:val="28"/>
          <w:lang w:val="kk-KZ"/>
        </w:rPr>
        <w:t xml:space="preserve">ак ободочной кишки </w:t>
      </w:r>
      <w:r w:rsidRPr="00D11BAB">
        <w:rPr>
          <w:rFonts w:ascii="Times New Roman" w:hAnsi="Times New Roman"/>
          <w:sz w:val="28"/>
          <w:szCs w:val="28"/>
        </w:rPr>
        <w:fldChar w:fldCharType="begin"/>
      </w:r>
      <w:r w:rsidRPr="00D11BAB">
        <w:rPr>
          <w:rFonts w:ascii="Times New Roman" w:hAnsi="Times New Roman"/>
          <w:sz w:val="28"/>
          <w:szCs w:val="28"/>
        </w:rPr>
        <w:instrText xml:space="preserve"> ADDIN ZOTERO_ITEM CSL_CITATION {"citationID":"NkIUN6WZ","properties":{"formattedCitation":"[1,2]","plainCitation":"[1,2]","noteIndex":0},"citationItems":[{"id":7,"uris":["http://zotero.org/users/7388323/items/YG6UWSIS"],"uri":["http://zotero.org/users/7388323/items/YG6UWSIS"],"itemData":{"id":7,"type":"article-journal","container-title":"International Journal of Cancer","DOI":"10.1002/ijc.1440","ISSN":"0020-7136, 1097-0215","issue":"2","journalAbbreviation":"Int. J. Cancer","language":"en","page":"153-156","source":"DOI.org (Crossref)","title":"Estimating the world cancer burden: Globocan 2000","title-short":"Estimating the world cancer burden","URL":"http://doi.wiley.com/10.1002/ijc.1440","volume":"94","author":[{"family":"Parkin","given":"D. Maxwell"},{"family":"Bray","given":"Freddie"},{"family":"Ferlay","given":"Jacques"},{"family":"Pisani","given":"Paola"}],"accessed":{"date-parts":[["2020",7,4]]},"issued":{"date-parts":[["2001",10,15]]}}},{"id":307,"uris":["http://zotero.org/users/7388323/items/8AT4CAXF"],"uri":["http://zotero.org/users/7388323/items/8AT4CAXF"],"itemData":{"id":307,"type":"article-journal","abstract":"Worldwide, colon cancer is the third most common male malignancy and the second most common female malignancy, following lung cancer. Since 2011, the Republic of Kazakhstan has consistently implemented national health reform programs, for which improving the quality of cancer care is one of the main priorities. This study aimed at evaluation of colon's cancer morbidity and mortality within the period of 14 years (from 2004 to 2017). We observed an increase in the morbidity of colon cancer among the population of Kazakhstan, which may be due to the screening program, which started in 2011 as a part of he healthcare reform program. Meanwhile, we observed a decrease in colon cancer mortality. The peak incidence of colon cancer falls at the age of 70 years and older. A number of Kazakhstan's regions, including Pavlodar and East Kazakhstan have higher rates of colon cancer morbidity.","container-title":"Georgian Medical News","ISSN":"1512-0112","issue":"301","journalAbbreviation":"Georgian Med News","language":"rus","note":"PMID: 32535563","page":"54-59","source":"PubMed","title":"[MORTALITY AND MORBIDITY FROM COLON CANCER IN THE REPUBLIC OF KAZAKHSTAN]","author":[{"family":"Bekisheva","given":"A."},{"family":"Makishev","given":"A."},{"family":"Dauletyarova","given":"M."},{"family":"Semenova","given":"U."}],"issued":{"date-parts":[["2020",4]]}}}],"schema":"https://github.com/citation-style-language/schema/raw/master/csl-citation.json"} </w:instrText>
      </w:r>
      <w:r w:rsidRPr="00D11BAB">
        <w:rPr>
          <w:rFonts w:ascii="Times New Roman" w:hAnsi="Times New Roman"/>
          <w:sz w:val="28"/>
          <w:szCs w:val="28"/>
        </w:rPr>
        <w:fldChar w:fldCharType="separate"/>
      </w:r>
      <w:r w:rsidRPr="00D11BAB">
        <w:rPr>
          <w:rFonts w:ascii="Times New Roman" w:hAnsi="Times New Roman"/>
          <w:sz w:val="28"/>
          <w:szCs w:val="24"/>
        </w:rPr>
        <w:t>[1, р. 153; 2, р. 54]</w:t>
      </w:r>
      <w:r w:rsidRPr="00D11BAB">
        <w:rPr>
          <w:rFonts w:ascii="Times New Roman" w:hAnsi="Times New Roman"/>
          <w:sz w:val="28"/>
          <w:szCs w:val="28"/>
        </w:rPr>
        <w:fldChar w:fldCharType="end"/>
      </w:r>
      <w:r w:rsidRPr="00D11BAB">
        <w:rPr>
          <w:rFonts w:ascii="Times New Roman" w:hAnsi="Times New Roman"/>
          <w:sz w:val="28"/>
          <w:szCs w:val="28"/>
        </w:rPr>
        <w:t xml:space="preserve">. Хирургическое лечение, направленное на удаление опухоли с частью ободочной и/или тонкой кишки  с лимфодиссекцией регионарных лимфоузлов считается основным радикальным методом лечения рака ободочной кишки </w:t>
      </w:r>
      <w:r w:rsidRPr="00D11BAB">
        <w:rPr>
          <w:rFonts w:ascii="Times New Roman" w:hAnsi="Times New Roman"/>
          <w:sz w:val="28"/>
          <w:szCs w:val="28"/>
        </w:rPr>
        <w:fldChar w:fldCharType="begin"/>
      </w:r>
      <w:r w:rsidRPr="00D11BAB">
        <w:rPr>
          <w:rFonts w:ascii="Times New Roman" w:hAnsi="Times New Roman"/>
          <w:sz w:val="28"/>
          <w:szCs w:val="28"/>
        </w:rPr>
        <w:instrText xml:space="preserve"> ADDIN ZOTERO_ITEM CSL_CITATION {"citationID":"oOKeJK4w","properties":{"formattedCitation":"[3\\uc0\\u8211{}6]","plainCitation":"[3–6]","noteIndex":0},"citationItems":[{"id":63,"uris":["http://zotero.org/users/7388323/items/BJU2AUJR"],"uri":["http://zotero.org/users/7388323/items/BJU2AUJR"],"itemData":{"id":63,"type":"article","title":"rak_obodochnoy_kishki_pr2018.pdf"}},{"id":61,"uris":["http://zotero.org/users/7388323/items/HYGZ26ED"],"uri":["http://zotero.org/users/7388323/items/HYGZ26ED"],"itemData":{"id":61,"type":"book","abstract":"Written by clinicians from the National Cancer Institute and other leading institutions, this comprehensive, clear, concise oncology handbook is designed specifically for quick bedside consultation. It covers all malignancies and offers busy clinicians practical guidelines on daily patient management, including commonly used treatment regimens and chemotherapy dosing and schedules. The user-friendly format features tables, charts, bullet points, and algorithms. The thoroughly updated Third Edition places an increased emphasis on practical clinical information, and includes new chemotherapeutic agents, dosages, and treatment regimens and the latest clinical trials data. New chapters focus on basic genomics for practicing oncologists and basic principles of radiation. The succinct yet detailed presentation is ideal for board review as well as clinical reference.","ISBN":"978-1-4511-4776-6","language":"en","note":"Google-Books-ID: jJmQU1He1IIC","number-of-pages":"682","publisher":"Lippincott Williams &amp; Wilkins","source":"Google Books","title":"The Bethesda Handbook of Clinical Oncology","author":[{"family":"Abraham","given":"Jame"},{"family":"Gulley","given":"James L."},{"family":"Allegra","given":"Carmen J."}],"issued":{"date-parts":[["2012",3,28]]}}},{"id":58,"uris":["http://zotero.org/users/7388323/items/JPNQMRQ6"],"uri":["http://zotero.org/users/7388323/items/JPNQMRQ6"],"itemData":{"id":58,"type":"article","title":"ESMO-ACF-Colorectal-Cancer-Guide-for-Patients-Russian.pdf"}},{"id":57,"uris":["http://zotero.org/users/7388323/items/KKHVRZZQ"],"uri":["http://zotero.org/users/7388323/items/KKHVRZZQ"],"itemData":{"id":57,"type":"article","title":"NCCN Clinical Practice Guidelines in Oncology. Colon Cancer. Version 2.2015 Oxford Handbook of Oncology"}}],"schema":"https://github.com/citation-style-language/schema/raw/master/csl-citation.json"} </w:instrText>
      </w:r>
      <w:r w:rsidRPr="00D11BAB">
        <w:rPr>
          <w:rFonts w:ascii="Times New Roman" w:hAnsi="Times New Roman"/>
          <w:sz w:val="28"/>
          <w:szCs w:val="28"/>
        </w:rPr>
        <w:fldChar w:fldCharType="separate"/>
      </w:r>
      <w:r w:rsidRPr="00D11BAB">
        <w:rPr>
          <w:rFonts w:ascii="Times New Roman" w:hAnsi="Times New Roman"/>
          <w:sz w:val="28"/>
          <w:szCs w:val="24"/>
        </w:rPr>
        <w:t>[3, р. 2480; 4, р. 554; 5, р. 3; 6, р. 332]</w:t>
      </w:r>
      <w:r w:rsidRPr="00D11BAB">
        <w:rPr>
          <w:rFonts w:ascii="Times New Roman" w:hAnsi="Times New Roman"/>
          <w:sz w:val="28"/>
          <w:szCs w:val="28"/>
        </w:rPr>
        <w:fldChar w:fldCharType="end"/>
      </w:r>
      <w:r w:rsidRPr="00D11BAB">
        <w:rPr>
          <w:rFonts w:ascii="Times New Roman" w:hAnsi="Times New Roman"/>
          <w:sz w:val="28"/>
          <w:szCs w:val="28"/>
        </w:rPr>
        <w:t xml:space="preserve">. Однако не смотря на развитие высокотехнологичных методов диагностики, усовершенствование хирургических методов лечения и  увеличение продолжительности жизни, больные страдают от множества различных осложнений после хирургического лечения рака ободочной кишки </w:t>
      </w:r>
      <w:r w:rsidRPr="00D11BAB">
        <w:rPr>
          <w:rFonts w:ascii="Times New Roman" w:hAnsi="Times New Roman"/>
          <w:sz w:val="28"/>
          <w:szCs w:val="28"/>
        </w:rPr>
        <w:fldChar w:fldCharType="begin"/>
      </w:r>
      <w:r w:rsidRPr="00D11BAB">
        <w:rPr>
          <w:rFonts w:ascii="Times New Roman" w:hAnsi="Times New Roman"/>
          <w:sz w:val="28"/>
          <w:szCs w:val="28"/>
        </w:rPr>
        <w:instrText xml:space="preserve"> ADDIN ZOTERO_ITEM CSL_CITATION {"citationID":"STKlsgQg","properties":{"formattedCitation":"[7\\uc0\\u8211{}11]","plainCitation":"[7–11]","noteIndex":0},"citationItems":[{"id":54,"uris":["http://zotero.org/users/7388323/items/473XHC3R"],"uri":["http://zotero.org/users/7388323/items/473XHC3R"],"itemData":{"id":54,"type":"article-journal","abstract":"Background: The optimal technique for curative resection of colonic cancer includes high ligation of the mesenteric vessels, wide excision of the colonic mesentery and prevention of tumour cell spillage. This article reports results from the authors’ institution for patients in whom complete mesocolic excision was performed long before the term was coined.\nMethods: Patients operated on for cure for primary adenocarcinoma of the colon between January 1994 and December 2004 were identified from a prospectively maintained, institutional review board-approved, colorectal cancer registry. Medical records and operation notes were reviewed. The primary outcomes were recurrence (local and distal) and age-adjusted 5-year survival.\nResults: Some 1013 patients (560 men and 453 women) were identified, with a median age of 69 (range 21–96) years. The most common location of the cancer was the sigmoid colon (32</w:instrText>
      </w:r>
      <w:r w:rsidRPr="00D11BAB">
        <w:rPr>
          <w:rFonts w:ascii="Cambria Math" w:hAnsi="Cambria Math" w:cs="Cambria Math"/>
          <w:sz w:val="28"/>
          <w:szCs w:val="28"/>
        </w:rPr>
        <w:instrText>⋅</w:instrText>
      </w:r>
      <w:r w:rsidRPr="00D11BAB">
        <w:rPr>
          <w:rFonts w:ascii="Times New Roman" w:hAnsi="Times New Roman"/>
          <w:sz w:val="28"/>
          <w:szCs w:val="28"/>
        </w:rPr>
        <w:instrText>9 per cent), followed by the caecum (26</w:instrText>
      </w:r>
      <w:r w:rsidRPr="00D11BAB">
        <w:rPr>
          <w:rFonts w:ascii="Cambria Math" w:hAnsi="Cambria Math" w:cs="Cambria Math"/>
          <w:sz w:val="28"/>
          <w:szCs w:val="28"/>
        </w:rPr>
        <w:instrText>⋅</w:instrText>
      </w:r>
      <w:r w:rsidRPr="00D11BAB">
        <w:rPr>
          <w:rFonts w:ascii="Times New Roman" w:hAnsi="Times New Roman"/>
          <w:sz w:val="28"/>
          <w:szCs w:val="28"/>
        </w:rPr>
        <w:instrText>7 per cent) and ascending colon (17</w:instrText>
      </w:r>
      <w:r w:rsidRPr="00D11BAB">
        <w:rPr>
          <w:rFonts w:ascii="Cambria Math" w:hAnsi="Cambria Math" w:cs="Cambria Math"/>
          <w:sz w:val="28"/>
          <w:szCs w:val="28"/>
        </w:rPr>
        <w:instrText>⋅</w:instrText>
      </w:r>
      <w:r w:rsidRPr="00D11BAB">
        <w:rPr>
          <w:rFonts w:ascii="Times New Roman" w:hAnsi="Times New Roman"/>
          <w:sz w:val="28"/>
          <w:szCs w:val="28"/>
        </w:rPr>
        <w:instrText>0 per cent). Operations were performed laparoscopically in 134 patients (13</w:instrText>
      </w:r>
      <w:r w:rsidRPr="00D11BAB">
        <w:rPr>
          <w:rFonts w:ascii="Cambria Math" w:hAnsi="Cambria Math" w:cs="Cambria Math"/>
          <w:sz w:val="28"/>
          <w:szCs w:val="28"/>
        </w:rPr>
        <w:instrText>⋅</w:instrText>
      </w:r>
      <w:r w:rsidRPr="00D11BAB">
        <w:rPr>
          <w:rFonts w:ascii="Times New Roman" w:hAnsi="Times New Roman"/>
          <w:sz w:val="28"/>
          <w:szCs w:val="28"/>
        </w:rPr>
        <w:instrText>2 per cent). Median duration of hospital stay was 7 (range 1–64, mean 8</w:instrText>
      </w:r>
      <w:r w:rsidRPr="00D11BAB">
        <w:rPr>
          <w:rFonts w:ascii="Cambria Math" w:hAnsi="Cambria Math" w:cs="Cambria Math"/>
          <w:sz w:val="28"/>
          <w:szCs w:val="28"/>
        </w:rPr>
        <w:instrText>⋅</w:instrText>
      </w:r>
      <w:r w:rsidRPr="00D11BAB">
        <w:rPr>
          <w:rFonts w:ascii="Times New Roman" w:hAnsi="Times New Roman"/>
          <w:sz w:val="28"/>
          <w:szCs w:val="28"/>
        </w:rPr>
        <w:instrText>2) days. Overall morbidity and mortality rates were 13</w:instrText>
      </w:r>
      <w:r w:rsidRPr="00D11BAB">
        <w:rPr>
          <w:rFonts w:ascii="Cambria Math" w:hAnsi="Cambria Math" w:cs="Cambria Math"/>
          <w:sz w:val="28"/>
          <w:szCs w:val="28"/>
        </w:rPr>
        <w:instrText>⋅</w:instrText>
      </w:r>
      <w:r w:rsidRPr="00D11BAB">
        <w:rPr>
          <w:rFonts w:ascii="Times New Roman" w:hAnsi="Times New Roman"/>
          <w:sz w:val="28"/>
          <w:szCs w:val="28"/>
        </w:rPr>
        <w:instrText>5 and 2</w:instrText>
      </w:r>
      <w:r w:rsidRPr="00D11BAB">
        <w:rPr>
          <w:rFonts w:ascii="Cambria Math" w:hAnsi="Cambria Math" w:cs="Cambria Math"/>
          <w:sz w:val="28"/>
          <w:szCs w:val="28"/>
        </w:rPr>
        <w:instrText>⋅</w:instrText>
      </w:r>
      <w:r w:rsidRPr="00D11BAB">
        <w:rPr>
          <w:rFonts w:ascii="Times New Roman" w:hAnsi="Times New Roman"/>
          <w:sz w:val="28"/>
          <w:szCs w:val="28"/>
        </w:rPr>
        <w:instrText>2 per cent respectively; there were 20 anastomotic leaks (2</w:instrText>
      </w:r>
      <w:r w:rsidRPr="00D11BAB">
        <w:rPr>
          <w:rFonts w:ascii="Cambria Math" w:hAnsi="Cambria Math" w:cs="Cambria Math"/>
          <w:sz w:val="28"/>
          <w:szCs w:val="28"/>
        </w:rPr>
        <w:instrText>⋅</w:instrText>
      </w:r>
      <w:r w:rsidRPr="00D11BAB">
        <w:rPr>
          <w:rFonts w:ascii="Times New Roman" w:hAnsi="Times New Roman"/>
          <w:sz w:val="28"/>
          <w:szCs w:val="28"/>
        </w:rPr>
        <w:instrText>0 per cent). Some 282 patients (27</w:instrText>
      </w:r>
      <w:r w:rsidRPr="00D11BAB">
        <w:rPr>
          <w:rFonts w:ascii="Cambria Math" w:hAnsi="Cambria Math" w:cs="Cambria Math"/>
          <w:sz w:val="28"/>
          <w:szCs w:val="28"/>
        </w:rPr>
        <w:instrText>⋅</w:instrText>
      </w:r>
      <w:r w:rsidRPr="00D11BAB">
        <w:rPr>
          <w:rFonts w:ascii="Times New Roman" w:hAnsi="Times New Roman"/>
          <w:sz w:val="28"/>
          <w:szCs w:val="28"/>
        </w:rPr>
        <w:instrText>8 per cent) had stage I, 386 (38</w:instrText>
      </w:r>
      <w:r w:rsidRPr="00D11BAB">
        <w:rPr>
          <w:rFonts w:ascii="Cambria Math" w:hAnsi="Cambria Math" w:cs="Cambria Math"/>
          <w:sz w:val="28"/>
          <w:szCs w:val="28"/>
        </w:rPr>
        <w:instrText>⋅</w:instrText>
      </w:r>
      <w:r w:rsidRPr="00D11BAB">
        <w:rPr>
          <w:rFonts w:ascii="Times New Roman" w:hAnsi="Times New Roman"/>
          <w:sz w:val="28"/>
          <w:szCs w:val="28"/>
        </w:rPr>
        <w:instrText>1 per cent) stage II and 345 (34</w:instrText>
      </w:r>
      <w:r w:rsidRPr="00D11BAB">
        <w:rPr>
          <w:rFonts w:ascii="Cambria Math" w:hAnsi="Cambria Math" w:cs="Cambria Math"/>
          <w:sz w:val="28"/>
          <w:szCs w:val="28"/>
        </w:rPr>
        <w:instrText>⋅</w:instrText>
      </w:r>
      <w:r w:rsidRPr="00D11BAB">
        <w:rPr>
          <w:rFonts w:ascii="Times New Roman" w:hAnsi="Times New Roman"/>
          <w:sz w:val="28"/>
          <w:szCs w:val="28"/>
        </w:rPr>
        <w:instrText>1 per cent) stage III disease. Median lymph node yield was 28</w:instrText>
      </w:r>
      <w:r w:rsidRPr="00D11BAB">
        <w:rPr>
          <w:rFonts w:ascii="Cambria Math" w:hAnsi="Cambria Math" w:cs="Cambria Math"/>
          <w:sz w:val="28"/>
          <w:szCs w:val="28"/>
        </w:rPr>
        <w:instrText>⋅</w:instrText>
      </w:r>
      <w:r w:rsidRPr="00D11BAB">
        <w:rPr>
          <w:rFonts w:ascii="Times New Roman" w:hAnsi="Times New Roman"/>
          <w:sz w:val="28"/>
          <w:szCs w:val="28"/>
        </w:rPr>
        <w:instrText>3 (range 0–241, mean 28</w:instrText>
      </w:r>
      <w:r w:rsidRPr="00D11BAB">
        <w:rPr>
          <w:rFonts w:ascii="Cambria Math" w:hAnsi="Cambria Math" w:cs="Cambria Math"/>
          <w:sz w:val="28"/>
          <w:szCs w:val="28"/>
        </w:rPr>
        <w:instrText>⋅</w:instrText>
      </w:r>
      <w:r w:rsidRPr="00D11BAB">
        <w:rPr>
          <w:rFonts w:ascii="Times New Roman" w:hAnsi="Times New Roman"/>
          <w:sz w:val="28"/>
          <w:szCs w:val="28"/>
        </w:rPr>
        <w:instrText>3), and 12 or more nodes were examined in 88</w:instrText>
      </w:r>
      <w:r w:rsidRPr="00D11BAB">
        <w:rPr>
          <w:rFonts w:ascii="Cambria Math" w:hAnsi="Cambria Math" w:cs="Cambria Math"/>
          <w:sz w:val="28"/>
          <w:szCs w:val="28"/>
        </w:rPr>
        <w:instrText>⋅</w:instrText>
      </w:r>
      <w:r w:rsidRPr="00D11BAB">
        <w:rPr>
          <w:rFonts w:ascii="Times New Roman" w:hAnsi="Times New Roman"/>
          <w:sz w:val="28"/>
          <w:szCs w:val="28"/>
        </w:rPr>
        <w:instrText>1 per cent of patients. Adjuvant chemotherapy was administered to 277 patients (80</w:instrText>
      </w:r>
      <w:r w:rsidRPr="00D11BAB">
        <w:rPr>
          <w:rFonts w:ascii="Cambria Math" w:hAnsi="Cambria Math" w:cs="Cambria Math"/>
          <w:sz w:val="28"/>
          <w:szCs w:val="28"/>
        </w:rPr>
        <w:instrText>⋅</w:instrText>
      </w:r>
      <w:r w:rsidRPr="00D11BAB">
        <w:rPr>
          <w:rFonts w:ascii="Times New Roman" w:hAnsi="Times New Roman"/>
          <w:sz w:val="28"/>
          <w:szCs w:val="28"/>
        </w:rPr>
        <w:instrText>3 per cent) with stage III disease. Overall local and distant recurrence rates at 5 years were 5</w:instrText>
      </w:r>
      <w:r w:rsidRPr="00D11BAB">
        <w:rPr>
          <w:rFonts w:ascii="Cambria Math" w:hAnsi="Cambria Math" w:cs="Cambria Math"/>
          <w:sz w:val="28"/>
          <w:szCs w:val="28"/>
        </w:rPr>
        <w:instrText>⋅</w:instrText>
      </w:r>
      <w:r w:rsidRPr="00D11BAB">
        <w:rPr>
          <w:rFonts w:ascii="Times New Roman" w:hAnsi="Times New Roman"/>
          <w:sz w:val="28"/>
          <w:szCs w:val="28"/>
        </w:rPr>
        <w:instrText>1 and 17</w:instrText>
      </w:r>
      <w:r w:rsidRPr="00D11BAB">
        <w:rPr>
          <w:rFonts w:ascii="Cambria Math" w:hAnsi="Cambria Math" w:cs="Cambria Math"/>
          <w:sz w:val="28"/>
          <w:szCs w:val="28"/>
        </w:rPr>
        <w:instrText>⋅</w:instrText>
      </w:r>
      <w:r w:rsidRPr="00D11BAB">
        <w:rPr>
          <w:rFonts w:ascii="Times New Roman" w:hAnsi="Times New Roman"/>
          <w:sz w:val="28"/>
          <w:szCs w:val="28"/>
        </w:rPr>
        <w:instrText>1 per cent respectively. The 5-year local recurrence rate was 2</w:instrText>
      </w:r>
      <w:r w:rsidRPr="00D11BAB">
        <w:rPr>
          <w:rFonts w:ascii="Cambria Math" w:hAnsi="Cambria Math" w:cs="Cambria Math"/>
          <w:sz w:val="28"/>
          <w:szCs w:val="28"/>
        </w:rPr>
        <w:instrText>⋅</w:instrText>
      </w:r>
      <w:r w:rsidRPr="00D11BAB">
        <w:rPr>
          <w:rFonts w:ascii="Times New Roman" w:hAnsi="Times New Roman"/>
          <w:sz w:val="28"/>
          <w:szCs w:val="28"/>
        </w:rPr>
        <w:instrText>2, 5</w:instrText>
      </w:r>
      <w:r w:rsidRPr="00D11BAB">
        <w:rPr>
          <w:rFonts w:ascii="Cambria Math" w:hAnsi="Cambria Math" w:cs="Cambria Math"/>
          <w:sz w:val="28"/>
          <w:szCs w:val="28"/>
        </w:rPr>
        <w:instrText>⋅</w:instrText>
      </w:r>
      <w:r w:rsidRPr="00D11BAB">
        <w:rPr>
          <w:rFonts w:ascii="Times New Roman" w:hAnsi="Times New Roman"/>
          <w:sz w:val="28"/>
          <w:szCs w:val="28"/>
        </w:rPr>
        <w:instrText>3 and 7</w:instrText>
      </w:r>
      <w:r w:rsidRPr="00D11BAB">
        <w:rPr>
          <w:rFonts w:ascii="Cambria Math" w:hAnsi="Cambria Math" w:cs="Cambria Math"/>
          <w:sz w:val="28"/>
          <w:szCs w:val="28"/>
        </w:rPr>
        <w:instrText>⋅</w:instrText>
      </w:r>
      <w:r w:rsidRPr="00D11BAB">
        <w:rPr>
          <w:rFonts w:ascii="Times New Roman" w:hAnsi="Times New Roman"/>
          <w:sz w:val="28"/>
          <w:szCs w:val="28"/>
        </w:rPr>
        <w:instrText>7 per cent for American Joint Committee on Cancer stages I, II and III respectively. Corresponding distant recurrence rates were 4</w:instrText>
      </w:r>
      <w:r w:rsidRPr="00D11BAB">
        <w:rPr>
          <w:rFonts w:ascii="Cambria Math" w:hAnsi="Cambria Math" w:cs="Cambria Math"/>
          <w:sz w:val="28"/>
          <w:szCs w:val="28"/>
        </w:rPr>
        <w:instrText>⋅</w:instrText>
      </w:r>
      <w:r w:rsidRPr="00D11BAB">
        <w:rPr>
          <w:rFonts w:ascii="Times New Roman" w:hAnsi="Times New Roman"/>
          <w:sz w:val="28"/>
          <w:szCs w:val="28"/>
        </w:rPr>
        <w:instrText>0, 14</w:instrText>
      </w:r>
      <w:r w:rsidRPr="00D11BAB">
        <w:rPr>
          <w:rFonts w:ascii="Cambria Math" w:hAnsi="Cambria Math" w:cs="Cambria Math"/>
          <w:sz w:val="28"/>
          <w:szCs w:val="28"/>
        </w:rPr>
        <w:instrText>⋅</w:instrText>
      </w:r>
      <w:r w:rsidRPr="00D11BAB">
        <w:rPr>
          <w:rFonts w:ascii="Times New Roman" w:hAnsi="Times New Roman"/>
          <w:sz w:val="28"/>
          <w:szCs w:val="28"/>
        </w:rPr>
        <w:instrText>7 and 30</w:instrText>
      </w:r>
      <w:r w:rsidRPr="00D11BAB">
        <w:rPr>
          <w:rFonts w:ascii="Cambria Math" w:hAnsi="Cambria Math" w:cs="Cambria Math"/>
          <w:sz w:val="28"/>
          <w:szCs w:val="28"/>
        </w:rPr>
        <w:instrText>⋅</w:instrText>
      </w:r>
      <w:r w:rsidRPr="00D11BAB">
        <w:rPr>
          <w:rFonts w:ascii="Times New Roman" w:hAnsi="Times New Roman"/>
          <w:sz w:val="28"/>
          <w:szCs w:val="28"/>
        </w:rPr>
        <w:instrText>5 per cent. The 5-year overall cancer-free age-standardized survival rate was 85</w:instrText>
      </w:r>
      <w:r w:rsidRPr="00D11BAB">
        <w:rPr>
          <w:rFonts w:ascii="Cambria Math" w:hAnsi="Cambria Math" w:cs="Cambria Math"/>
          <w:sz w:val="28"/>
          <w:szCs w:val="28"/>
        </w:rPr>
        <w:instrText>⋅</w:instrText>
      </w:r>
      <w:r w:rsidRPr="00D11BAB">
        <w:rPr>
          <w:rFonts w:ascii="Times New Roman" w:hAnsi="Times New Roman"/>
          <w:sz w:val="28"/>
          <w:szCs w:val="28"/>
        </w:rPr>
        <w:instrText>3 per cent. Five-year age standardized survival rates for patients with disease stages I, II and III were 97</w:instrText>
      </w:r>
      <w:r w:rsidRPr="00D11BAB">
        <w:rPr>
          <w:rFonts w:ascii="Cambria Math" w:hAnsi="Cambria Math" w:cs="Cambria Math"/>
          <w:sz w:val="28"/>
          <w:szCs w:val="28"/>
        </w:rPr>
        <w:instrText>⋅</w:instrText>
      </w:r>
      <w:r w:rsidRPr="00D11BAB">
        <w:rPr>
          <w:rFonts w:ascii="Times New Roman" w:hAnsi="Times New Roman"/>
          <w:sz w:val="28"/>
          <w:szCs w:val="28"/>
        </w:rPr>
        <w:instrText>7, 90</w:instrText>
      </w:r>
      <w:r w:rsidRPr="00D11BAB">
        <w:rPr>
          <w:rFonts w:ascii="Cambria Math" w:hAnsi="Cambria Math" w:cs="Cambria Math"/>
          <w:sz w:val="28"/>
          <w:szCs w:val="28"/>
        </w:rPr>
        <w:instrText>⋅</w:instrText>
      </w:r>
      <w:r w:rsidRPr="00D11BAB">
        <w:rPr>
          <w:rFonts w:ascii="Times New Roman" w:hAnsi="Times New Roman"/>
          <w:sz w:val="28"/>
          <w:szCs w:val="28"/>
        </w:rPr>
        <w:instrText>8 and 69</w:instrText>
      </w:r>
      <w:r w:rsidRPr="00D11BAB">
        <w:rPr>
          <w:rFonts w:ascii="Cambria Math" w:hAnsi="Cambria Math" w:cs="Cambria Math"/>
          <w:sz w:val="28"/>
          <w:szCs w:val="28"/>
        </w:rPr>
        <w:instrText>⋅</w:instrText>
      </w:r>
      <w:r w:rsidRPr="00D11BAB">
        <w:rPr>
          <w:rFonts w:ascii="Times New Roman" w:hAnsi="Times New Roman"/>
          <w:sz w:val="28"/>
          <w:szCs w:val="28"/>
        </w:rPr>
        <w:instrText xml:space="preserve">8 per cent respectively.\nConclusion: These data define modern results of surgery for colonic cancer with conservative use of chemotherapy.","container-title":"British Journal of Surgery","DOI":"10.1002/bjs.9805","ISSN":"00071323","issue":"7","journalAbbreviation":"Br J Surg","language":"en","page":"847-852","source":"DOI.org (Crossref)","title":"Primacy of surgery for colorectal cancer","URL":"http://doi.wiley.com/10.1002/bjs.9805","volume":"102","author":[{"family":"Liang","given":"J."},{"family":"Fazio","given":"V."},{"family":"Lavery","given":"I."},{"family":"Remzi","given":"F."},{"family":"Hull","given":"T."},{"family":"Strong","given":"S."},{"family":"Church","given":"J."}],"accessed":{"date-parts":[["2021",1,9]]},"issued":{"date-parts":[["2015",6]]}}},{"id":55,"uris":["http://zotero.org/users/7388323/items/VSEJ2MCT"],"uri":["http://zotero.org/users/7388323/items/VSEJ2MCT"],"itemData":{"id":55,"type":"article-journal","abstract":"Introduction: In 2009, the nationwide Dutch Surgical Colorectal Audit (DSCA) was initiated by the Association of Surgeons of the Netherlands (ASN) to monitor, evaluate and improve colorectal cancer care. The DSCA is currently widely used as a blueprint for the initiation of other audits, coordinated by the Dutch Institute for Clinical Auditing (DICA). This article illustrates key elements of the DSCA and results of three years of auditing.","container-title":"European Journal of Surgical Oncology (EJSO)","DOI":"10.1016/j.ejso.2013.05.008","ISSN":"07487983","issue":"10","journalAbbreviation":"European Journal of Surgical Oncology (EJSO)","language":"en","page":"1063-1070","source":"DOI.org (Crossref)","title":"The Dutch Surgical Colorectal Audit","URL":"https://linkinghub.elsevier.com/retrieve/pii/S074879831300379X","volume":"39","author":[{"family":"Van Leersum","given":"N.J."},{"family":"Snijders","given":"H.S."},{"family":"Henneman","given":"D."},{"family":"Kolfschoten","given":"N.E."},{"family":"Gooiker","given":"G.A."},{"family":"Berge","given":"M.G.","non-dropping-particle":"ten"},{"family":"Eddes","given":"E.H."},{"family":"Wouters","given":"M.W.J.M."},{"family":"Tollenaar","given":"R.A.E.M."},{"family":"Bemelman","given":"W.A."},{"family":"Dam","given":"R.M.","non-dropping-particle":"van"},{"family":"Elferink","given":"M.A."},{"family":"Karsten","given":"Th.M."},{"family":"Krieken","given":"J.H.J.M.","non-dropping-particle":"van"},{"family":"Lemmens","given":"V.E.P.P."},{"family":"Rutten","given":"H.J.T."},{"family":"Manusama","given":"E.R."},{"family":"Velde","given":"C.J.H.","non-dropping-particle":"van de"},{"family":"Meijerink","given":"W.J.H.J."},{"family":"Wiggers","given":"Th."},{"family":"Harst","given":"E.","non-dropping-particle":"van der"},{"family":"Dekker","given":"J.W.T."},{"family":"Boerma","given":"D."}],"accessed":{"date-parts":[["2021",1,9]]},"issued":{"date-parts":[["2013",10]]}}},{"id":51,"uris":["http://zotero.org/users/7388323/items/2398EYZF"],"uri":["http://zotero.org/users/7388323/items/2398EYZF"],"itemData":{"id":51,"type":"article-journal","abstract":"Aim The study included investigation of factors determining suboptimal adjuvant chemotherapy of patients diagnosed with Stage III colon cancer.","container-title":"Colorectal Disease","DOI":"10.1111/codi.12288","ISSN":"14628910","issue":"10","journalAbbreviation":"Colorectal Dis","language":"en","page":"e582-e591","source":"DOI.org (Crossref)","title":"Complicated postoperative recovery increases omission, delay and discontinuation of adjuvant chemotherapy in patients with Stage III colon cancer","URL":"http://doi.wiley.com/10.1111/codi.12288","volume":"15","author":[{"family":"Geest","given":"L. G. M.","non-dropping-particle":"van der"},{"family":"Portielje","given":"J. E. A."},{"family":"Wouters","given":"M. W. J. M."},{"family":"Weijl","given":"N. I."},{"family":"Tanis","given":"B. C."},{"family":"Tollenaar","given":"R. A. E. M."},{"family":"Struikmans","given":"H."},{"family":"Nortier","given":"J. W. R."},{"literal":"all nine hospitals in the Leiden region of the Comprehensive Cancer Centre The Netherlands (CCCNL)"}],"accessed":{"date-parts":[["2021",1,9]]},"issued":{"date-parts":[["2013",10]]}}},{"id":52,"uris":["http://zotero.org/users/7388323/items/YGZTTWBL"],"uri":["http://zotero.org/users/7388323/items/YGZTTWBL"],"itemData":{"id":52,"type":"article-journal","abstract":"Background. Perioperative treatment of patients with colorectal cancer according to the Enhanced Recovery After Surgery (ERAS) protocol has proven to reduce complications and duration of stay. However, strict adherence remains a challenge and the beneﬁts may decrease with lower adherence. In this study, we report on 8 years of adherence to the ERAS protocol and its effect on postoperative outcome in patients with colon cancer.\nMethods. In 2006, the ERAS protocol was introduced for treatment of colon cancer patients in the Medical Center Alkmaar, a large teaching hospital. Patients scheduled for elective colon cancer resection were included in this study. Adherence to ERAS items was monitored and along with clinical data prospectively gathered in a database. In 2011, several measures to improve adherence were implemented.\nResults. In total, 816 patients were included. Mean adherence rate was 73% in 2006 and 2007, 66% in 2008 and 2009, 63% in 2010 and 2011, and 82% in 2012 and 2013. There was a shorter duration of stay in the years with high adherence (5.7 days) compared with the years with low adherence (7.3 days; P &lt; .001). The ERAS items that were the strongest predictors for a shorter duration of stay were no nasogastric tube, early mobilization, early oral nutrition, early removal of epidural, early removal of catheter, and nonopioid oral analgesia.\nConclusion. It is possible to improve adherence to the ERAS protocol and related outcomes with speciﬁc measures. Adherence to the ERAS protocol was related inversely to duration of stay. Only postoperative items of the ERAS protocol were predictive for a shorter duration of stay. Keeping adherence optimal remains an ongoing challenge that requires repeated training and dedicated personnel. (Surgery 2015;j:j-j.)","container-title":"Surgery","DOI":"10.1016/j.surg.2015.01.016","ISSN":"00396060","issue":"6","journalAbbreviation":"Surgery","language":"en","page":"1130-1136","source":"DOI.org (Crossref)","title":"Eight years of experience with Enhanced Recovery After Surgery in patients with colon cancer: Impact of measures to improve adherence","title-short":"Eight years of experience with Enhanced Recovery After Surgery in patients with colon cancer","URL":"https://linkinghub.elsevier.com/retrieve/pii/S0039606015000628","volume":"157","author":[{"family":"Bakker","given":"Nathalie"},{"family":"Cakir","given":"Hamit"},{"family":"Doodeman","given":"H.J."},{"family":"Houdijk","given":"A.P.J."}],"accessed":{"date-parts":[["2021",1,9]]},"issued":{"date-parts":[["2015",6]]}}},{"id":50,"uris":["http://zotero.org/users/7388323/items/VA6WWCZC"],"uri":["http://zotero.org/users/7388323/items/VA6WWCZC"],"itemData":{"id":50,"type":"article-journal","abstract":"Purpose: Surgery for colorectal malignancy is increasingly being performed in the elderly. Little is known about the impact of complications on late mortality. This study aimed to analyze whether a complicated postoperative course affects the 1-year survival in elderly patients.\nMethods: All consecutive patients older than 75 years of age who underwent colorectal cancer surgery between January 2009 and April 2013 were included in this study. The main outcome was mortality at 1 year after surgery. Logistic regression analyses were performed to determine risk factors for a poor outcome (mortality) after survival of the early postoperative course of surgery at 1-year follow-up. Patients who died within 30 days postoperatively were excluded from analysis.\nResults: The early mortality rate was 6.3% (n = 15), and 2 patients died during follow-up as a result of complications after a second surgery. A total of 223 patients survived the perioperative period and were included in this study. Twenty-two patients (9.9%) died during the first year of follow-up. Stage IV disease (P = 0.002), complications of primary surgery (P = 0.016), and comorbidity (P = 0.050) were risk factors for 1-year mortality. Intensive care unit stay, reoperation and readmission were not associated with a worse 1-year outcome.\nConclusion: Elderly patients with stage IV disease at the time of surgery, comorbidity, and postoperative complications are at risk for mortality during the first year after surgery. A patient-tailored approach with special attention to perioperative care should be considered in the elderly.","container-title":"Annals of Coloproctology","DOI":"10.3393/ac.2017.33.4.134","ISSN":"2287-9714, 2287-9722","issue":"4","journalAbbreviation":"Ann Coloproctol","language":"en","page":"134-138","source":"DOI.org (Crossref)","title":"The First Year After Colorectal Surgery in the Elderly","URL":"http://coloproctol.org/journal/view.php?doi=10.3393/ac.2017.33.4.134","volume":"33","author":[{"family":"Kornmann","given":"Verena N.N."},{"family":"Vugt","given":"Jeroen L.A.","non-dropping-particle":"van"},{"family":"Smits","given":"Anke B."},{"family":"Ramshorst","given":"Bert","non-dropping-particle":"van"},{"family":"Boerma","given":"Djamila"}],"accessed":{"date-parts":[["2021",1,10]]},"issued":{"date-parts":[["2017",8,31]]}}}],"schema":"https://github.com/citation-style-language/schema/raw/master/csl-citation.json"} </w:instrText>
      </w:r>
      <w:r w:rsidRPr="00D11BAB">
        <w:rPr>
          <w:rFonts w:ascii="Times New Roman" w:hAnsi="Times New Roman"/>
          <w:sz w:val="28"/>
          <w:szCs w:val="28"/>
        </w:rPr>
        <w:fldChar w:fldCharType="separate"/>
      </w:r>
      <w:r w:rsidRPr="00D11BAB">
        <w:rPr>
          <w:rFonts w:ascii="Times New Roman" w:hAnsi="Times New Roman"/>
          <w:sz w:val="28"/>
          <w:szCs w:val="24"/>
        </w:rPr>
        <w:t>[7, р. 850; 8, р. 1065; 9, р. е589; 10, р. 1132; 11, р. 135; 226, с. 74]</w:t>
      </w:r>
      <w:r w:rsidRPr="00D11BAB">
        <w:rPr>
          <w:rFonts w:ascii="Times New Roman" w:hAnsi="Times New Roman"/>
          <w:sz w:val="28"/>
          <w:szCs w:val="28"/>
        </w:rPr>
        <w:fldChar w:fldCharType="end"/>
      </w:r>
      <w:r w:rsidRPr="00D11BAB">
        <w:rPr>
          <w:rFonts w:ascii="Times New Roman" w:hAnsi="Times New Roman"/>
          <w:sz w:val="28"/>
          <w:szCs w:val="28"/>
        </w:rPr>
        <w:t xml:space="preserve">. Большинство осложнений достаточно хорошо изучены, в частности осложнения, имеющие прямую связь с хирургическим вмешательствами и возникающие в раннем послеоперационном периоде (несостоятельность анастомоза, кишечная непроходимость, перитонит и кровотечение, инфекционные осложнения) </w:t>
      </w:r>
      <w:r w:rsidRPr="00D11BAB">
        <w:rPr>
          <w:rFonts w:ascii="Times New Roman" w:hAnsi="Times New Roman"/>
          <w:sz w:val="28"/>
          <w:szCs w:val="28"/>
        </w:rPr>
        <w:fldChar w:fldCharType="begin"/>
      </w:r>
      <w:r w:rsidRPr="00D11BAB">
        <w:rPr>
          <w:rFonts w:ascii="Times New Roman" w:hAnsi="Times New Roman"/>
          <w:sz w:val="28"/>
          <w:szCs w:val="28"/>
        </w:rPr>
        <w:instrText xml:space="preserve"> ADDIN ZOTERO_ITEM CSL_CITATION {"citationID":"a1fgo505plq","properties":{"formattedCitation":"[12\\uc0\\u8211{}16]","plainCitation":"[12–16]","noteIndex":0},"citationItems":[{"id":49,"uris":["http://zotero.org/users/7388323/items/4LUZRG3P"],"uri":["http://zotero.org/users/7388323/items/4LUZRG3P"],"itemData":{"id":49,"type":"article-journal","abstract":"Background: This study aimed to investigate the impact of postoperative complications on long-term survival and disease recurrence in patients who underwent curative resection for colorectal cancer.\nMethod: Patients who underwent radical resection for colorectal cancer with curative intent from January 1996 to December 2004 were included. Operative mortality and morbidity were documented prospectively. Factors that might affect long-term outcome were analyzed with multivariate analysis.\nResults: Curative resection was performed in 1657 patients (943 men), and the median age was 70 years (range: 24–94 years). The 30-day mortality was 2.4%, and the complication rate was 27.3%. Age over 70 years (P &lt; .001, odds ratio: 2.06, 95% CI: 1.63–2.61), male gender (P = .001, odds ratio: 1.49, 95% CI: 1.19–1.88), emergency operation (P &lt; .001, odds ratio: 3.14, 95% CI: 2.26–4.35) and rectal cancer (P &lt; .001, odds ratio: 1.41, 95% CI: 1.25–1.61) were associated with a significantly higher complication rate. With exclusion of patients who died within 30 days, the median follow-up of the surviving patients was 45.3 months. The 5-year overall survival was 64.9%, and the overall recurrence rate was 29.1%. The presence of postoperative complications was an independent factor associated with a worse overall survival (P = .023, hazard ratio: 1.26; 95% CI: 1.03–1.52) and a higher overall recurrence rate (P = .04, hazard ratio: 1.26; 95% CI: 1.01–1.57).\nConclusion: The presence of postoperative complication not only affects the short-term results of resection of colorectal cancer, but the long-term oncologic outcomes are also adversely affected. Long-term outcomes can be improved with efforts to reduce postoperative complications.","container-title":"Annals of Surgical Oncology","DOI":"10.1245/s10434-007-9434-4","ISSN":"1068-9265, 1534-4681","issue":"9","journalAbbreviation":"Ann Surg Oncol","language":"en","page":"2559-2566","source":"DOI.org (Crossref)","title":"The Impact of Postoperative Complications on Long-Term Outcomes Following Curative Resection for Colorectal Cancer","URL":"http://link.springer.com/10.1245/s10434-007-9434-4","volume":"14","author":[{"family":"Law","given":"Wai Lun"},{"family":"Choi","given":"Hok Kwok"},{"family":"Lee","given":"Yee Man"},{"family":"Ho","given":"Judy WC"}],"accessed":{"date-parts":[["2021",1,10]]},"issued":{"date-parts":[["2007",9,10]]}}},{"id":48,"uris":["http://zotero.org/users/7388323/items/KXZWLJVP"],"uri":["http://zotero.org/users/7388323/items/KXZWLJVP"],"itemData":{"id":48,"type":"article-journal","container-title":"Colorectal Disease","DOI":"10.1111/codi.12757","ISSN":"14628910","issue":"2","journalAbbreviation":"Colorectal Dis","language":"en","page":"141-149","source":"DOI.org (Crossref)","title":"Major postoperative complications following elective resection for colorectal cancer decrease long-term survival but not the time to recurrence","URL":"http://doi.wiley.com/10.1111/codi.12757","volume":"17","author":[{"family":"Odermatt","given":"M."},{"family":"Miskovic","given":"D."},{"family":"Flashman","given":"K."},{"family":"Khan","given":"J."},{"family":"Senapati","given":"A."},{"family":"O'Leary","given":"D."},{"family":"Thompson","given":"M."},{"family":"Parvaiz","given":"A."}],"accessed":{"date-parts":[["2021",1,10]]},"issued":{"date-parts":[["2015",2]]}}},{"id":47,"uris":["http://zotero.org/users/7388323/items/SPTV2MQI"],"uri":["http://zotero.org/users/7388323/items/SPTV2MQI"],"itemData":{"id":47,"type":"article-journal","container-title":"Archives of Surgery","DOI":"10.1001/archsurg.140.3.278","ISSN":"0004-0010","issue":"3","journalAbbreviation":"Arch Surg","language":"en","page":"278","source":"DOI.org (Crossref)","title":"Postoperative Mortality and Morbidity in French Patients Undergoing Colorectal Surgery: Results of a Prospective Multicenter Study","title-short":"Postoperative Mortality and Morbidity in French Patients Undergoing Colorectal Surgery","URL":"http://archsurg.jamanetwork.com/article.aspx?doi=10.1001/archsurg.140.3.278","volume":"140","author":[{"family":"Alves","given":"Arnaud"}],"accessed":{"date-parts":[["2021",1,10]]},"issued":{"date-parts":[["2005",3,1]]}}},{"id":46,"uris":["http://zotero.org/users/7388323/items/TD6YNTI7"],"uri":["http://zotero.org/users/7388323/items/TD6YNTI7"],"itemData":{"id":46,"type":"article-journal","abstract":"BACKGROUND: Mortality following severe complications (failure-to-rescue, FTR) is targeted in surgical quality improvement projects. Rates may differ between colon- and rectal cancer resections.\nMETHODS: Analysis of patients undergoing elective colon and rectal cancer resections registered in the Dutch Surgical Colorectal Audit in 2011-2012. Severe complication- and FTR rates were compared between the groups in univariate and multivariate analysis.\nRESULTS: Colon cancer (CC) patients (n = 10,184) were older and had more comorbidity. Rectal cancer (RC) patients (n = 4,906) less often received an anastomosis and had more diverting stomas. Complication rates were higher in RC patients (24.8% vs. 18.3%, P &lt; 0.001). However, FTR rates were higher in CC patients (18.6% vs. 9.4%, P &lt; 0.001). Particularly, FTR associated with anastomotic leakage, postoperative bleeding, and infections was higher in CC patients. Adjusted for casemix, CC patients had a twofold risk of FTR compared to RC patients (OR 1.89, 95% CI 1.06-3.37).\nCONCLUSIONS: Severe complication rates were lower in CC patients than in RC patients; however, the risk of dying following a severe complication was twice as high in CC patients, regardless of differences in characteristics between the groups. Efforts should be made to improve recognition and management of postoperative (non-)surgical complications, especially in colon cancer surgery.","container-title":"Journal of Surgical Oncology","DOI":"10.1002/jso.23532","ISSN":"1096-9098","issue":"6","journalAbbreviation":"J Surg Oncol","language":"eng","note":"PMID: 24338627","page":"567-573","source":"PubMed","title":"Safety of elective colorectal cancer surgery: non-surgical complications and colectomies are targets for quality improvement","title-short":"Safety of elective colorectal cancer surgery","volume":"109","author":[{"family":"Henneman","given":"Daniel"},{"family":"Ten Berge","given":"Martijn G."},{"family":"Snijders","given":"Heleen S."},{"family":"Leersum","given":"Nicoline J.","non-dropping-particle":"van"},{"family":"Fiocco","given":"Marta"},{"family":"Wiggers","given":"Theo"},{"family":"Tollenaar","given":"Rob A. E. M."},{"family":"Wouters","given":"Michel W. J. M."},{"literal":"Dutch Surgical Colorectal Audit Group"}],"issued":{"date-parts":[["2014",5]]}}},{"id":19,"uris":["http://zotero.org/users/7388323/items/WU96GUY3"],"uri":["http://zotero.org/users/7388323/items/WU96GUY3"],"itemData":{"id":19,"type":"article-journal","abstract":"INTRODUCTION: Predicting long-term survival and cancer recurrence in patients with colorectal cancer is difficult because of the many factors that may affect the prognosis. This study investigated the prognostic significance of postoperative infections for patient outcome.\nMETHODS: From an electronic database we selected 192 patients undergoing elective radical surgery for Dukes' stage B and C colorectal adenocarcinoma. The five-year survival rates were analyzed by the Kaplan-Meier method. Univariate and multivariate analyses were carried out to evaluate the potential prognostic variables using the Cox proportional hazard model.\nRESULTS: Forty-three patients developed deep incisional or organ/space surgical site infections, while the remaining 149 were complication free. The two groups were comparable for baseline, surgical and histopathological characteristics. At univariate analysis, Dukes' stage and infections were negative prognostic factors, while peritumoral infiltration of lymphocytes and eosinophils and fibrotic tissue appeared as protective variables. However, multivariate analysis showed that only Dukes' stage (P = 0.048) and occurrence of postoperative infectious complications (P = 0.011) were independently associated with outcome. In patients with infectious complications, the survival rate was significantly lower than in patients without infections (log-rank = 0.0004).\nCONCLUSIONS: The present results suggest the importance of evaluating other variables besides tumor stage in the prediction of long-term outcome. In prognostic studies more attention should be paid to postoperative infections.","container-title":"Tumori","ISSN":"0300-8916","issue":"5","journalAbbreviation":"Tumori","language":"eng","note":"PMID: 15656334","page":"485-490","source":"PubMed","title":"Correlation between postoperative infections and long-term survival after colorectal resection for cancer","volume":"90","author":[{"family":"Nespoli","given":"Angelo"},{"family":"Gianotti","given":"Luca"},{"family":"Totis","given":"Mauro"},{"family":"Bovo","given":"Giorgio"},{"family":"Nespoli","given":"Luca"},{"family":"Chiodini","given":"Paolo"},{"family":"Brivio","given":"Ferdinando"}],"issued":{"date-parts":[["2004",10]]}}}],"schema":"https://github.com/citation-style-language/schema/raw/master/csl-citation.json"} </w:instrText>
      </w:r>
      <w:r w:rsidRPr="00D11BAB">
        <w:rPr>
          <w:rFonts w:ascii="Times New Roman" w:hAnsi="Times New Roman"/>
          <w:sz w:val="28"/>
          <w:szCs w:val="28"/>
        </w:rPr>
        <w:fldChar w:fldCharType="separate"/>
      </w:r>
      <w:r w:rsidRPr="00D11BAB">
        <w:rPr>
          <w:rFonts w:ascii="Times New Roman" w:hAnsi="Times New Roman"/>
          <w:sz w:val="28"/>
          <w:szCs w:val="24"/>
        </w:rPr>
        <w:t>[12, р. 2560; 13, р. 145; 14, р. 278; 16, р. 569; 17, р. 488]</w:t>
      </w:r>
      <w:r w:rsidRPr="00D11BAB">
        <w:rPr>
          <w:rFonts w:ascii="Times New Roman" w:hAnsi="Times New Roman"/>
          <w:sz w:val="28"/>
          <w:szCs w:val="28"/>
        </w:rPr>
        <w:fldChar w:fldCharType="end"/>
      </w:r>
      <w:r w:rsidRPr="00D11BAB">
        <w:rPr>
          <w:rFonts w:ascii="Times New Roman" w:hAnsi="Times New Roman"/>
          <w:sz w:val="28"/>
          <w:szCs w:val="28"/>
        </w:rPr>
        <w:t xml:space="preserve">. Нарушения, возникающие в течение первого года после операции имеют функциональный характер и связаны с адаптацией к новому анатомо-функциональному состоянию, снижению абсорбционной поверхности кишечника, изменениями микробиоты </w:t>
      </w:r>
      <w:r w:rsidRPr="00D11BAB">
        <w:rPr>
          <w:rFonts w:ascii="Times New Roman" w:hAnsi="Times New Roman"/>
          <w:sz w:val="28"/>
          <w:szCs w:val="28"/>
        </w:rPr>
        <w:fldChar w:fldCharType="begin"/>
      </w:r>
      <w:r w:rsidRPr="00D11BAB">
        <w:rPr>
          <w:rFonts w:ascii="Times New Roman" w:hAnsi="Times New Roman"/>
          <w:sz w:val="28"/>
          <w:szCs w:val="28"/>
        </w:rPr>
        <w:instrText xml:space="preserve"> ADDIN ZOTERO_ITEM CSL_CITATION {"citationID":"O5P3jZUg","properties":{"formattedCitation":"[17\\uc0\\u8211{}19]","plainCitation":"[17–19]","noteIndex":0},"citationItems":[{"id":826,"uris":["http://zotero.org/users/7388323/items/SKN2X3NF"],"uri":["http://zotero.org/users/7388323/items/SKN2X3NF"],"itemData":{"id":826,"type":"article","title":"metabolizm-lipidov-mikrobiotsenoz-kishechnika-i-endotoksinemiya-u-pozhilyh-bolnyh-posle-gemikolektomii (1).pdf"}},{"id":163,"uris":["http://zotero.org/users/7388323/items/K2WAYMIA"],"uri":["http://zotero.org/users/7388323/items/K2WAYMIA"],"itemData":{"id":163,"type":"article-journal","abstract":"Objectives: After subtotal colectomy, 40% of patients report chronic gastrointestinal symptoms and poor quality of life. Its etiology is unknown. We determined whether small intestinal bacterial overgrowth (SIBO) or small intestinal fungal overgrowth (SIFO) cause gastrointestinal symptoms after colectomy.\nMethods: Consecutive patients with unexplained abdominal pain, gas, bloating and diarrhea (&gt;1 year), and without colectomy (controls), and with colectomy were evaluated with symptom questionnaires, glucose breath test (GBT) and/or duodenal aspiration/culture. Baseline symptoms, prevalence of SIBO/SIFO, and response to treatment were compared between groups.\nResults: Fifty patients with colectomy and 50 controls were evaluated. A signiﬁcantly higher (p = 0.005) proportion of patients with colectomy, 31/50 (62%) had SIBO compared to controls 16/50 (32%). Patients with colectomy had signiﬁcantly higher (p = 0.017) prevalence of mixed SIBO/SIFO 12/50 (24%) compared to controls 4/50 (8%). SIFO prevalence was higher in colectomy but not signiﬁcant (p = 0.08). There was higher prevalence of aerobic organisms together with decreased anaerobic and mixed organisms in the colectomy group compared to controls (p = 0.008). Patients with colectomy reported signiﬁcantly greater severity of diarrhea (p = 0.029), vomiting (p &lt; 0.001), and abdominal pain (p = 0.05) compared to controls, at baseline. After antibiotics, 74% of patients with SIBO/SIFO in the colectomy and 69% in the control group improved (p = 0.69).\nConclusion: Patients with colectomy demonstrate signiﬁcantly higher prevalence of SIBO/SIFO and greater severity of gastrointestinal symptoms. Colectomy is a risk factor for SIBO/SIFO. 1234567890():,;","container-title":"Clinical and Translational Gastroenterology","DOI":"10.1038/s41424-018-0011-x","ISSN":"2155-384X","issue":"4","journalAbbreviation":"Clinical and Translational Gastroenterology","language":"en","page":"e146","source":"DOI.org (Crossref)","title":"Does colectomy predispose to small intestinal bacterial (SIBO) and fungal overgrowth (SIFO)?:","title-short":"Does colectomy predispose to small intestinal bacterial (SIBO) and fungal overgrowth (SIFO)?","URL":"http://journals.lww.com/01720094-201804000-00005","volume":"9","author":[{"family":"Rao","given":"Satish S. C."},{"family":"Tan","given":"George"},{"family":"Abdulla","given":"Hamza"},{"family":"Yu","given":"Siegfried"},{"family":"Larion","given":"Sebastian"},{"family":"Leelasinjaroen","given":"Pornchai"}],"accessed":{"date-parts":[["2020",7,15]]},"issued":{"date-parts":[["2018",4]]}}},{"id":821,"uris":["http://zotero.org/users/7388323/items/TTAI3L8A"],"uri":["http://zotero.org/users/7388323/items/TTAI3L8A"],"itemData":{"id":821,"type":"webpage","title":"Костюченко Л.Н., Кузьмина Т.Н. Нутриционная поддержка при последствиях обширных резекций кишечника // Национальное руководство по нутрициологии. 2013. С. 563–584","URL":"https://umedp.ru/articles/nutritsionnaya_podderzhka_posle_obshirnykh_rezektsiy_kishechnika_novye_podkhody.html","accessed":{"date-parts":[["2021",1,26]]}}}],"schema":"https://github.com/citation-style-language/schema/raw/master/csl-citation.json"} </w:instrText>
      </w:r>
      <w:r w:rsidRPr="00D11BAB">
        <w:rPr>
          <w:rFonts w:ascii="Times New Roman" w:hAnsi="Times New Roman"/>
          <w:sz w:val="28"/>
          <w:szCs w:val="28"/>
        </w:rPr>
        <w:fldChar w:fldCharType="separate"/>
      </w:r>
      <w:r w:rsidRPr="00D11BAB">
        <w:rPr>
          <w:rFonts w:ascii="Times New Roman" w:hAnsi="Times New Roman"/>
          <w:sz w:val="28"/>
          <w:szCs w:val="24"/>
        </w:rPr>
        <w:t>[18, с. 9; 22, р. 5; 23, с. 564]</w:t>
      </w:r>
      <w:r w:rsidRPr="00D11BAB">
        <w:rPr>
          <w:rFonts w:ascii="Times New Roman" w:hAnsi="Times New Roman"/>
          <w:sz w:val="28"/>
          <w:szCs w:val="28"/>
        </w:rPr>
        <w:fldChar w:fldCharType="end"/>
      </w:r>
      <w:r w:rsidRPr="00D11BAB">
        <w:rPr>
          <w:rFonts w:ascii="Times New Roman" w:hAnsi="Times New Roman"/>
          <w:sz w:val="28"/>
          <w:szCs w:val="28"/>
        </w:rPr>
        <w:t>. Опубликованы результаты исследования функциональных последствий хирургического лечения рака прямой кишки</w:t>
      </w:r>
      <w:r w:rsidRPr="00D11BAB">
        <w:rPr>
          <w:rFonts w:ascii="Times New Roman" w:hAnsi="Times New Roman"/>
          <w:sz w:val="28"/>
          <w:szCs w:val="28"/>
        </w:rPr>
        <w:fldChar w:fldCharType="begin"/>
      </w:r>
      <w:r w:rsidRPr="00D11BAB">
        <w:rPr>
          <w:rFonts w:ascii="Times New Roman" w:hAnsi="Times New Roman"/>
          <w:sz w:val="28"/>
          <w:szCs w:val="28"/>
        </w:rPr>
        <w:instrText xml:space="preserve"> ADDIN ZOTERO_ITEM CSL_CITATION {"citationID":"l54xytbp","properties":{"formattedCitation":"[21\\uc0\\u8211{}24]","plainCitation":"[21–24]","noteIndex":0},"citationItems":[{"id":878,"uris":["http://zotero.org/users/7388323/items/G7SALX24"],"uri":["http://zotero.org/users/7388323/items/G7SALX24"],"itemData":{"id":878,"type":"article-journal","abstract":"AIM: There is increasing awareness of the poor functional outcome suffered by many patients after sphincter-preserving rectal resection, termed 'low anterior resection syndrome' (LARS). There is no consensus definition of LARS and varying instruments have been employed to measure functional outcome, complicating research into prevalence, contributing factors and potential therapies. We therefore aimed to describe the instruments and outcome measures used in studies of bowel dysfunction after low anterior resection and identify major themes used in the assessment of LARS.\nMETHOD: A systematic review of the literature was performed for studies published between 1986 and 2016. The instruments and outcome measures used to report bowel function after low anterior resection were extracted and their frequency of use calculated.\nRESULTS: The search revealed 128 eligible studies. These employed 18 instruments, over 30 symptoms, and follow-up time periods from 4 weeks to 14.6 years. The most frequent follow-up period was 12 months (48%). The most frequently reported outcomes were incontinence (97%), stool frequency (80%), urgency (67%), evacuatory dysfunction (47%), gas-stool discrimination (34%) and a measure of quality of life (80%). Faecal incontinence scoring systems were used frequently. The LARS score and the Bowel Function Instrument (BFI) were used in only nine studies.\nCONCLUSION: LARS is common, but there is substantial variation in the reporting of functional outcomes after low anterior resection. Most studies have focused on incontinence, omitting other symptoms that correlate with patients' quality of life. To improve and standardize research into LARS, a consensus definition should be developed, and these findings should inform this goal.","container-title":"Colorectal Disease: The Official Journal of the Association of Coloproctology of Great Britain and Ireland","DOI":"10.1111/codi.13767","ISSN":"1463-1318","issue":"8","journalAbbreviation":"Colorectal Dis","language":"eng","note":"PMID: 28612460","page":"713-722","source":"PubMed","title":"Defining low anterior resection syndrome: a systematic review of the literature","title-short":"Defining low anterior resection syndrome","volume":"19","author":[{"family":"Keane","given":"C."},{"family":"Wells","given":"C."},{"family":"O'Grady","given":"G."},{"family":"Bissett","given":"I. P."}],"issued":{"date-parts":[["2017",8]]}}},{"id":291,"uris":["http://zotero.org/users/7388323/items/55WRCC9I"],"uri":["http://zotero.org/users/7388323/items/55WRCC9I"],"itemData":{"id":291,"type":"article-journal","abstract":"OBJECTIVE: The aim of this study was to develop and validate a scoring system for bowel dysfunction after low anterior resection (LAR) for rectal cancer, on the basis of symptoms and impact on quality of life (QoL).\nBACKGROUND: LAR for rectal cancer often results in severe bowel dysfunction (LAR syndrome [LARS]) with incontinence, urgency, and frequent bowel movements. Several studies have investigated functional outcome, but the terminology is inconsistent hereby complicating comparison of results.\nMETHODS: Questionnaires regarding bowel function was sent to all 1143 LAR patients eligible for inclusion identified in the national Colorectal Cancer Database. Associations between items and QoL were computed by binomial regression analyses. The important items were selected and regression analysis was performed to find the adjusted risk ratios. Individual score values were designated items to form the LARS score, which was divided into \"no LARS,\" \"minor LARS,\" and \"major LARS.\" Validity was tested by receiver operating characteristic (ROC) curve and Spearman's rank correlation and discriminant validity was tested by Student t tests.\nRESULTS: A total of 961 patients returned completed questionnaires. The 5 most important items were \"incontinence for flatus,\" \"incontinence for liquid stools,\" \"frequency,\" \"clustering,\" and \"urgency.\" The range (0-42) was divided into 0 to 20 (no LARS), 21 to 29 (minor LARS), and 30 to 42 (major LARS). The score showed good correlation and a high sensitivity (72.54%) and specificity (82.52%) for major LARS. Discriminant validity showed significant differences between groups with and without radiotherapy (P &lt; 0.0001), tumor height more or less than 5 cm (P &lt; 0.0001), and total mesorectal excision/partial mesorectal excision (P = 0.0163).\nCONCLUSIONS: We have constructed a valid and reliable LARS score correlated to QoL--a simple tool for quick clinical evaluation of the severity of LARS.","container-title":"Annals of Surgery","DOI":"10.1097/SLA.0b013e31824f1c21","ISSN":"1528-1140","issue":"5","journalAbbreviation":"Ann. Surg.","language":"eng","note":"PMID: 22504191","page":"922-928","source":"PubMed","title":"Low anterior resection syndrome score: development and validation of a symptom-based scoring system for bowel dysfunction after low anterior resection for rectal cancer","title-short":"Low anterior resection syndrome score","volume":"255","author":[{"family":"Emmertsen","given":"Katrine J."},{"family":"Laurberg","given":"Søren"}],"issued":{"date-parts":[["2012",5]]}}},{"id":290,"uris":["http://zotero.org/users/7388323/items/9HLRWILS"],"uri":["http://zotero.org/users/7388323/items/9HLRWILS"],"itemData":{"id":290,"type":"webpage","title":"Low Anterior Resection Syndrome and Quality of Life: An International Multicenter Study - PubMed","URL":"https://pubmed.ncbi.nlm.nih.gov/24819098/","accessed":{"date-parts":[["2020",7,4]]}}},{"id":884,"uris":["http://zotero.org/users/7388323/items/5GIDISQN"],"uri":["http://zotero.org/users/7388323/items/5GIDISQN"],"itemData":{"id":884,"type":"article-journal","abstract":"Low anterior resection syndrome (LARS) commonly develops after an anal sphincter-preserving operation (SPO). The etiology of LARS is not well understood, as the anatomical components and physiological function of normal defecation, which may be damaged during the SPO, are not well established. SPOs may damage components of the anal canal (such as the internal anal sphincter, longitudinal conjoint muscle, or hiatal ligament), either mechanically or via injury to the nerves that supply these organs. The function of the rectum is substantially impaired by resection of the rectum, division of the rectococcygeus muscle, and/or injury of the nervous supply. When the remnant rectum is small and does not function properly, an important functional role may be played by the neorectum, which is usually constructed from the left side of the colon. Hypermotility of the remnant colon may affect the manifestation of urge fecal incontinence. To develop an SPO that minimizes the risk of LARS, the anatomy and physiology of the structures involved in normal defecation need to be understood better. LARS is managed similarly to fecal incontinence. In particular, management should focus on reducing colonic motility when urge fecal incontinence is the dominant symptom.","container-title":"Surgery Today","DOI":"10.1007/s00595-019-01795-9","ISSN":"1436-2813","issue":"10","journalAbbreviation":"Surg Today","language":"eng","note":"PMID: 30937634","page":"803-808","source":"PubMed","title":"Etiology and management of low anterior resection syndrome based on the normal defecation mechanism","volume":"49","author":[{"family":"Koda","given":"Keiji"},{"family":"Yamazaki","given":"Masato"},{"family":"Shuto","given":"Kiyohiko"},{"family":"Kosugi","given":"Chihiro"},{"family":"Mori","given":"Mikito"},{"family":"Narushima","given":"Kazuo"},{"family":"Hosokawa","given":"Isamu"},{"family":"Shimizu","given":"Hiroaki"}],"issued":{"date-parts":[["2019",10]]}}}],"schema":"https://github.com/citation-style-language/schema/raw/master/csl-citation.json"} </w:instrText>
      </w:r>
      <w:r w:rsidRPr="00D11BAB">
        <w:rPr>
          <w:rFonts w:ascii="Times New Roman" w:hAnsi="Times New Roman"/>
          <w:sz w:val="28"/>
          <w:szCs w:val="28"/>
        </w:rPr>
        <w:fldChar w:fldCharType="separate"/>
      </w:r>
      <w:r w:rsidRPr="00D11BAB">
        <w:rPr>
          <w:rFonts w:ascii="Times New Roman" w:hAnsi="Times New Roman"/>
          <w:sz w:val="28"/>
          <w:szCs w:val="28"/>
        </w:rPr>
        <w:t xml:space="preserve"> </w:t>
      </w:r>
      <w:r w:rsidRPr="00D11BAB">
        <w:rPr>
          <w:rFonts w:ascii="Times New Roman" w:hAnsi="Times New Roman"/>
          <w:sz w:val="28"/>
          <w:szCs w:val="24"/>
        </w:rPr>
        <w:t xml:space="preserve">[25, </w:t>
      </w:r>
      <w:r w:rsidRPr="00D11BAB">
        <w:rPr>
          <w:rFonts w:ascii="Times New Roman" w:hAnsi="Times New Roman"/>
          <w:sz w:val="28"/>
          <w:szCs w:val="24"/>
          <w:lang w:val="en-US"/>
        </w:rPr>
        <w:t>p</w:t>
      </w:r>
      <w:r w:rsidRPr="00D11BAB">
        <w:rPr>
          <w:rFonts w:ascii="Times New Roman" w:hAnsi="Times New Roman"/>
          <w:sz w:val="28"/>
          <w:szCs w:val="24"/>
        </w:rPr>
        <w:t>. 717, 26, р. 924; 27, р. 586; 28, р. 804]</w:t>
      </w:r>
      <w:r w:rsidRPr="00D11BAB">
        <w:rPr>
          <w:rFonts w:ascii="Times New Roman" w:hAnsi="Times New Roman"/>
          <w:sz w:val="28"/>
          <w:szCs w:val="28"/>
        </w:rPr>
        <w:fldChar w:fldCharType="end"/>
      </w:r>
      <w:r w:rsidRPr="00D11BAB">
        <w:rPr>
          <w:rFonts w:ascii="Times New Roman" w:hAnsi="Times New Roman"/>
          <w:sz w:val="28"/>
          <w:szCs w:val="28"/>
        </w:rPr>
        <w:t xml:space="preserve">, при этом функциональные осложнения после резекции ободочной кишки остаются малоизученными. Клиническим проявлением функциональных осложнений является развитие синдрома хронической диареи, метеоризма, абдоминальной боли и т.д., которые встречаются достаточно часто и имеют негативное влияние на качество жизни больных реабилитационном периоде </w:t>
      </w:r>
      <w:r w:rsidRPr="00D11BAB">
        <w:rPr>
          <w:rFonts w:ascii="Times New Roman" w:hAnsi="Times New Roman"/>
          <w:sz w:val="28"/>
          <w:szCs w:val="28"/>
        </w:rPr>
        <w:fldChar w:fldCharType="begin"/>
      </w:r>
      <w:r w:rsidRPr="00D11BAB">
        <w:rPr>
          <w:rFonts w:ascii="Times New Roman" w:hAnsi="Times New Roman"/>
          <w:sz w:val="28"/>
          <w:szCs w:val="28"/>
        </w:rPr>
        <w:instrText xml:space="preserve"> ADDIN ZOTERO_ITEM CSL_CITATION {"citationID":"EAUcl1aj","properties":{"formattedCitation":"[27]","plainCitation":"[27]","noteIndex":0},"citationItems":[{"id":872,"uris":["http://zotero.org/users/7388323/items/QWWVBLT9"],"uri":["http://zotero.org/users/7388323/items/QWWVBLT9"],"itemData":{"id":872,"type":"article-journal","abstract":"BACKGROUND: Right-sided cancer accounts for approximately 30% of bowel cancer in women and 22% in men. Colonic resection can cause changes in bowel function which affect daily activity. The aims are to assess the impact of right hemicolectomy for cancer on bowel function and to identify useful treatment modalities for managing bowel dysfunction after right hemicolectomy.\nMETHOD: The review was conducted in line with PRISMA. Eligible studies evaluated the impact of right hemicolectomy on bowel function in those treated for colorectal neoplasia or assessed the effect of surgical technique or other intervention on bowel function after right hemicolectomy. Right hemicolectomy for inflammatory bowel disease or benign cases only were excluded. Articles were limited to studies on human subjects written in English published between January 2008 and December 2018.\nRESULTS: The searches identified 7531 articles. Nine articles met the inclusion criteria, of which eight were cohort studies and one was a randomised trial. Loose stool, increased bowel frequency and/or nocturnal defaecation following right-sided colectomy occurs in approximately one in five patients. Some of these symptoms may improve spontaneously with time. Bile acid malabsorption and/or small bowel bacterial overgrowth may be the cause for chronic dysfunction. Some studies report that no or little difference in outcome between right-sided and rectal resections likely suggests poor function after right-sided resection.\nCONCLUSION: Right hemicolectomy can result in changes to bowel function. Patients should be counselled preoperatively, and follow-up should be designed to identify and effectively treat significantly altered bowel function.","container-title":"Supportive Care in Cancer: Official Journal of the Multinational Association of Supportive Care in Cancer","DOI":"10.1007/s00520-020-05519-5","ISSN":"1433-7339","issue":"10","journalAbbreviation":"Support Care Cancer","language":"eng","note":"PMID: 32430603\nPMCID: PMC7447648","page":"4549-4559","source":"PubMed","title":"Systematic review: the effect of right hemicolectomy for cancer on postoperative bowel function","title-short":"Systematic review","volume":"28","author":[{"family":"Hope","given":"C."},{"family":"Reilly","given":"J."},{"family":"Lund","given":"J."},{"family":"Andreyev","given":"Hjn"}],"issued":{"date-parts":[["2020",10]]}}}],"schema":"https://github.com/citation-style-language/schema/raw/master/csl-citation.json"} </w:instrText>
      </w:r>
      <w:r w:rsidRPr="00D11BAB">
        <w:rPr>
          <w:rFonts w:ascii="Times New Roman" w:hAnsi="Times New Roman"/>
          <w:sz w:val="28"/>
          <w:szCs w:val="28"/>
        </w:rPr>
        <w:fldChar w:fldCharType="separate"/>
      </w:r>
      <w:r w:rsidRPr="00D11BAB">
        <w:rPr>
          <w:rFonts w:ascii="Times New Roman" w:hAnsi="Times New Roman"/>
          <w:sz w:val="28"/>
        </w:rPr>
        <w:t xml:space="preserve">[31, </w:t>
      </w:r>
      <w:r w:rsidRPr="00D11BAB">
        <w:rPr>
          <w:rFonts w:ascii="Times New Roman" w:hAnsi="Times New Roman"/>
          <w:sz w:val="28"/>
          <w:lang w:val="en-US"/>
        </w:rPr>
        <w:t>p</w:t>
      </w:r>
      <w:r w:rsidRPr="00D11BAB">
        <w:rPr>
          <w:rFonts w:ascii="Times New Roman" w:hAnsi="Times New Roman"/>
          <w:sz w:val="28"/>
        </w:rPr>
        <w:t>. 4549]</w:t>
      </w:r>
      <w:r w:rsidRPr="00D11BAB">
        <w:rPr>
          <w:rFonts w:ascii="Times New Roman" w:hAnsi="Times New Roman"/>
          <w:sz w:val="28"/>
          <w:szCs w:val="28"/>
        </w:rPr>
        <w:fldChar w:fldCharType="end"/>
      </w:r>
      <w:r w:rsidRPr="00D11BAB">
        <w:rPr>
          <w:rFonts w:ascii="Times New Roman" w:hAnsi="Times New Roman"/>
          <w:sz w:val="28"/>
          <w:szCs w:val="28"/>
        </w:rPr>
        <w:t xml:space="preserve">. В период адаптации происходит изменение пищеварительно- абсорбционных процессов, что в свою очередь проявляется потерей массы тела, нутритивной недостаточностью, электролитным дисбалансом, дефицитом витаминов, анемией </w:t>
      </w:r>
      <w:r w:rsidRPr="00D11BAB">
        <w:rPr>
          <w:rFonts w:ascii="Times New Roman" w:hAnsi="Times New Roman"/>
          <w:sz w:val="28"/>
          <w:szCs w:val="28"/>
        </w:rPr>
        <w:fldChar w:fldCharType="begin"/>
      </w:r>
      <w:r w:rsidRPr="00D11BAB">
        <w:rPr>
          <w:rFonts w:ascii="Times New Roman" w:hAnsi="Times New Roman"/>
          <w:sz w:val="28"/>
          <w:szCs w:val="28"/>
        </w:rPr>
        <w:instrText xml:space="preserve"> ADDIN ZOTERO_ITEM CSL_CITATION {"citationID":"tCGBVe22","properties":{"formattedCitation":"[25,28,29]","plainCitation":"[25,28,29]","noteIndex":0},"citationItems":[{"id":793,"uris":["http://zotero.org/users/7388323/items/8AMWLPTG"],"uri":["http://zotero.org/users/7388323/items/8AMWLPTG"],"itemData":{"id":793,"type":"book","abstract":"В монографии проанализированы причины неблагоприятных исходов применения резервуарных илеоректальных анастомозов после колэктомии, положившие основу разработке и обоснованию нового способа патогенетической коррекции постколэктомических нарушений. Подробно изложены экспериментальные и клинические данные принципиальных отличий и преимуществ нового способа резервуарной конструкции. Книга адресована широкому кругу хирургов, онкологов, колопроктологов и гастроэнтерологов.","language":"ru","publisher":"Новосибирское отделение издательства \"Наука\"","source":"eLibrary.ru","title":"Хирургическая коррекция постколэктомических нарушений","URL":"https://elibrary.ru/item.asp?id=19530367","author":[{"family":"Жерлов","given":"Георгий Кириллович"},{"family":"Баширов","given":"Сергей Рафаэльевич"},{"family":"Рыжов","given":"Александр Иванович"}],"accessed":{"date-parts":[["2021",1,26]]}}},{"id":804,"uris":["http://zotero.org/users/7388323/items/NUIUBITH"],"uri":["http://zotero.org/users/7388323/items/NUIUBITH"],"itemData":{"id":804,"type":"article-journal","container-title":"Expert Review of Gastroenterology &amp; Hepatology","DOI":"10.1586/egh.13.2","ISSN":"1747-4132","issue":"3","journalAbbreviation":"Expert Rev Gastroenterol Hepatol","language":"eng","note":"PMID: 23445228","page":"197-199","source":"PubMed","title":"The novel use of peptide analogs in short bowel syndrome","volume":"7","author":[{"family":"Jeppesen","given":"Palle Bekker"}],"issued":{"date-parts":[["2013",3]]}}},{"id":806,"uris":["http://zotero.org/users/7388323/items/KIZCTGI9"],"uri":["http://zotero.org/users/7388323/items/KIZCTGI9"],"itemData":{"id":806,"type":"article-journal","abstract":"Short-bowel syndrome is a rare problem in surgical practice and its prognosis depends on the length of intestinal remnants and/or the presence of a jejunostomy. In adults long-term total parenteral nutrition (TPN) can be avoided if the remaining small bowel is longer than 60-100 cm. In all, 50-60% of patients in the long-term follow-up are expected to be adequately nourished with oral feeding, 25% with enteral and parenteral feeding and less than 20% depend on long-term TPN alone. By using a modified diet (glutamine, growth hormone), intestinal absorption and overall prognosis could even be enhanced. The introduction of home TPN by specialized centres has resulted in a remarkable improvement in quality of life (&gt; 80% good). The main complications of long-term TPN are sepsis, thrombosis and metabolic disorders. Medical therapy of diarrhoea consists of H2-receptor antagonists (hypergastrinaemia), loperamide and secretion inhibitors (somatostatin). Several surgical procedures have been performed, either to decelerate intestinal transit or to increase the area of intestinal absorption with overall unsatisfactory results. However, in the presence of small-bowel dilatation, promising surgical results (tapering, stricturoplasty, intestinal lengthening) have been achieved. There may be advances (immunosuppression) in the future that will make intestinal transplantation a good option for some patients; at present, the 1-year patient and graft survival in around 100 patients was 60% and 40%, respectively.","container-title":"Der Chirurg; Zeitschrift Fur Alle Gebiete Der Operativen Medizen","DOI":"10.1007/s001040050230","ISSN":"0009-4722","issue":"6","journalAbbreviation":"Chirurg","language":"ger","note":"PMID: 9324432","page":"559-567","source":"PubMed","title":"[Pathophysiology, clinical aspects and therapy of short bowel syndrome]","volume":"68","author":[{"family":"Krähenbühl","given":"L."},{"family":"Büchler","given":"M. W."}],"issued":{"date-parts":[["1997",6]]}}}],"schema":"https://github.com/citation-style-language/schema/raw/master/csl-citation.json"} </w:instrText>
      </w:r>
      <w:r w:rsidRPr="00D11BAB">
        <w:rPr>
          <w:rFonts w:ascii="Times New Roman" w:hAnsi="Times New Roman"/>
          <w:sz w:val="28"/>
          <w:szCs w:val="28"/>
        </w:rPr>
        <w:fldChar w:fldCharType="separate"/>
      </w:r>
      <w:r w:rsidRPr="00D11BAB">
        <w:rPr>
          <w:rFonts w:ascii="Times New Roman" w:hAnsi="Times New Roman"/>
          <w:sz w:val="28"/>
        </w:rPr>
        <w:t xml:space="preserve">[29, с. 5; 32, </w:t>
      </w:r>
      <w:r w:rsidRPr="00D11BAB">
        <w:rPr>
          <w:rFonts w:ascii="Times New Roman" w:hAnsi="Times New Roman"/>
          <w:sz w:val="28"/>
          <w:lang w:val="en-US"/>
        </w:rPr>
        <w:t>p</w:t>
      </w:r>
      <w:r w:rsidRPr="00D11BAB">
        <w:rPr>
          <w:rFonts w:ascii="Times New Roman" w:hAnsi="Times New Roman"/>
          <w:sz w:val="28"/>
        </w:rPr>
        <w:t xml:space="preserve">. 198; 33, </w:t>
      </w:r>
      <w:r w:rsidRPr="00D11BAB">
        <w:rPr>
          <w:rFonts w:ascii="Times New Roman" w:hAnsi="Times New Roman"/>
          <w:sz w:val="28"/>
          <w:lang w:val="en-US"/>
        </w:rPr>
        <w:t>p</w:t>
      </w:r>
      <w:r w:rsidRPr="00D11BAB">
        <w:rPr>
          <w:rFonts w:ascii="Times New Roman" w:hAnsi="Times New Roman"/>
          <w:sz w:val="28"/>
        </w:rPr>
        <w:t>. 565]</w:t>
      </w:r>
      <w:r w:rsidRPr="00D11BAB">
        <w:rPr>
          <w:rFonts w:ascii="Times New Roman" w:hAnsi="Times New Roman"/>
          <w:sz w:val="28"/>
          <w:szCs w:val="28"/>
        </w:rPr>
        <w:fldChar w:fldCharType="end"/>
      </w:r>
      <w:r w:rsidRPr="00D11BAB">
        <w:rPr>
          <w:rFonts w:ascii="Times New Roman" w:hAnsi="Times New Roman"/>
          <w:sz w:val="28"/>
          <w:szCs w:val="28"/>
        </w:rPr>
        <w:t xml:space="preserve">. </w:t>
      </w:r>
    </w:p>
    <w:p w14:paraId="00DFD0F3" w14:textId="77777777" w:rsidR="00AB0DCB" w:rsidRPr="00D11BAB" w:rsidRDefault="00AB0DCB" w:rsidP="00AB0DCB">
      <w:pPr>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Следовательно одной из актуальных проблем современной онкологии является реабилитация больных с осложнениями после резекции ободочной кишки. В связи с мало изученностью вопросов, посвященных структуре функциональных осложнений, выживаемости у данной группы больных и возможностям реабилитации была определена цель данного исследования. учитывая теоретическое и практическое значение исследуемой темы по результатам работы получены акты внедрения в учебный процесс, а так же опубликован тезис в международном сборнике тезисов </w:t>
      </w:r>
      <w:r w:rsidRPr="00D11BAB">
        <w:rPr>
          <w:rFonts w:ascii="Times New Roman" w:hAnsi="Times New Roman"/>
          <w:sz w:val="28"/>
          <w:szCs w:val="28"/>
        </w:rPr>
        <w:fldChar w:fldCharType="begin"/>
      </w:r>
      <w:r w:rsidRPr="00D11BAB">
        <w:rPr>
          <w:rFonts w:ascii="Times New Roman" w:hAnsi="Times New Roman"/>
          <w:sz w:val="28"/>
          <w:szCs w:val="28"/>
        </w:rPr>
        <w:instrText xml:space="preserve"> ADDIN ZOTERO_ITEM CSL_CITATION {"citationID":"EAUcl1aj","properties":{"formattedCitation":"[27]","plainCitation":"[27]","noteIndex":0},"citationItems":[{"id":872,"uris":["http://zotero.org/users/7388323/items/QWWVBLT9"],"uri":["http://zotero.org/users/7388323/items/QWWVBLT9"],"itemData":{"id":872,"type":"article-journal","abstract":"BACKGROUND: Right-sided cancer accounts for approximately 30% of bowel cancer in women and 22% in men. Colonic resection can cause changes in bowel function which affect daily activity. The aims are to assess the impact of right hemicolectomy for cancer on bowel function and to identify useful treatment modalities for managing bowel dysfunction after right hemicolectomy.\nMETHOD: The review was conducted in line with PRISMA. Eligible studies evaluated the impact of right hemicolectomy on bowel function in those treated for colorectal neoplasia or assessed the effect of surgical technique or other intervention on bowel function after right hemicolectomy. Right hemicolectomy for inflammatory bowel disease or benign cases only were excluded. Articles were limited to studies on human subjects written in English published between January 2008 and December 2018.\nRESULTS: The searches identified 7531 articles. Nine articles met the inclusion criteria, of which eight were cohort studies and one was a randomised trial. Loose stool, increased bowel frequency and/or nocturnal defaecation following right-sided colectomy occurs in approximately one in five patients. Some of these symptoms may improve spontaneously with time. Bile acid malabsorption and/or small bowel bacterial overgrowth may be the cause for chronic dysfunction. Some studies report that no or little difference in outcome between right-sided and rectal resections likely suggests poor function after right-sided resection.\nCONCLUSION: Right hemicolectomy can result in changes to bowel function. Patients should be counselled preoperatively, and follow-up should be designed to identify and effectively treat significantly altered bowel function.","container-title":"Supportive Care in Cancer: Official Journal of the Multinational Association of Supportive Care in Cancer","DOI":"10.1007/s00520-020-05519-5","ISSN":"1433-7339","issue":"10","journalAbbreviation":"Support Care Cancer","language":"eng","note":"PMID: 32430603\nPMCID: PMC7447648","page":"4549-4559","source":"PubMed","title":"Systematic review: the effect of right hemicolectomy for cancer on postoperative bowel function","title-short":"Systematic review","volume":"28","author":[{"family":"Hope","given":"C."},{"family":"Reilly","given":"J."},{"family":"Lund","given":"J."},{"family":"Andreyev","given":"Hjn"}],"issued":{"date-parts":[["2020",10]]}}}],"schema":"https://github.com/citation-style-language/schema/raw/master/csl-citation.json"} </w:instrText>
      </w:r>
      <w:r w:rsidRPr="00D11BAB">
        <w:rPr>
          <w:rFonts w:ascii="Times New Roman" w:hAnsi="Times New Roman"/>
          <w:sz w:val="28"/>
          <w:szCs w:val="28"/>
        </w:rPr>
        <w:fldChar w:fldCharType="separate"/>
      </w:r>
      <w:r w:rsidRPr="00D11BAB">
        <w:rPr>
          <w:rFonts w:ascii="Times New Roman" w:hAnsi="Times New Roman"/>
          <w:sz w:val="28"/>
        </w:rPr>
        <w:t>[245, 246]</w:t>
      </w:r>
      <w:r w:rsidRPr="00D11BAB">
        <w:rPr>
          <w:rFonts w:ascii="Times New Roman" w:hAnsi="Times New Roman"/>
          <w:sz w:val="28"/>
          <w:szCs w:val="28"/>
        </w:rPr>
        <w:fldChar w:fldCharType="end"/>
      </w:r>
      <w:r w:rsidRPr="00D11BAB">
        <w:rPr>
          <w:rFonts w:ascii="Times New Roman" w:hAnsi="Times New Roman"/>
          <w:sz w:val="28"/>
          <w:szCs w:val="28"/>
        </w:rPr>
        <w:t>.</w:t>
      </w:r>
    </w:p>
    <w:p w14:paraId="255F981A" w14:textId="77777777" w:rsidR="00AB0DCB" w:rsidRPr="00D11BAB" w:rsidRDefault="00AB0DCB" w:rsidP="00AB0DCB">
      <w:pPr>
        <w:pStyle w:val="a6"/>
        <w:tabs>
          <w:tab w:val="left" w:pos="0"/>
        </w:tabs>
        <w:spacing w:after="0" w:line="240" w:lineRule="auto"/>
        <w:ind w:left="0" w:firstLine="567"/>
        <w:jc w:val="both"/>
        <w:rPr>
          <w:rFonts w:ascii="Times New Roman" w:hAnsi="Times New Roman"/>
          <w:sz w:val="28"/>
          <w:szCs w:val="28"/>
        </w:rPr>
      </w:pPr>
      <w:r w:rsidRPr="00D11BAB">
        <w:rPr>
          <w:rFonts w:ascii="Times New Roman" w:hAnsi="Times New Roman"/>
          <w:sz w:val="28"/>
          <w:szCs w:val="28"/>
        </w:rPr>
        <w:t xml:space="preserve">Согласно поставленным задачам первым этапом выполнен анализ амбулаторных карт 150 больных с целью изучения влияния различных факторов (демографические, тумор-ассоциированные, хирургические осложнения в раннем послеоперационном периоде, функциональные нарушения ободочной кишки, коморбидность, адъювантная химиотерапия) на </w:t>
      </w:r>
      <w:r w:rsidRPr="00D11BAB">
        <w:rPr>
          <w:rFonts w:ascii="Times New Roman" w:hAnsi="Times New Roman"/>
          <w:bCs/>
          <w:sz w:val="28"/>
          <w:szCs w:val="28"/>
        </w:rPr>
        <w:t xml:space="preserve">общую одногодичную, </w:t>
      </w:r>
      <w:r w:rsidRPr="00D11BAB">
        <w:rPr>
          <w:rFonts w:ascii="Times New Roman" w:hAnsi="Times New Roman"/>
          <w:bCs/>
          <w:sz w:val="28"/>
          <w:szCs w:val="28"/>
        </w:rPr>
        <w:lastRenderedPageBreak/>
        <w:t>3-летнюю общую, 3-летнюю безрецидивную и общую 5-летнюю и выживаемость</w:t>
      </w:r>
      <w:r w:rsidRPr="00D11BAB">
        <w:rPr>
          <w:rFonts w:ascii="Times New Roman" w:hAnsi="Times New Roman"/>
          <w:sz w:val="28"/>
          <w:szCs w:val="28"/>
        </w:rPr>
        <w:t xml:space="preserve"> больных после радикального хирургического лечения рака ободочной кишки. В результате однофакторного регрессионного анализа выяснено, что возраст старше 60 лет, </w:t>
      </w:r>
      <w:r w:rsidRPr="00D11BAB">
        <w:rPr>
          <w:rFonts w:ascii="Times New Roman" w:hAnsi="Times New Roman"/>
          <w:sz w:val="28"/>
          <w:szCs w:val="28"/>
          <w:lang w:val="en-US" w:eastAsia="en-US"/>
        </w:rPr>
        <w:t>III</w:t>
      </w:r>
      <w:r w:rsidRPr="00D11BAB">
        <w:rPr>
          <w:rFonts w:ascii="Times New Roman" w:hAnsi="Times New Roman"/>
          <w:sz w:val="28"/>
          <w:szCs w:val="28"/>
          <w:lang w:eastAsia="en-US"/>
        </w:rPr>
        <w:t xml:space="preserve"> стадия рака ободочной кишки, </w:t>
      </w:r>
      <w:r w:rsidRPr="00D11BAB">
        <w:rPr>
          <w:rFonts w:ascii="Times New Roman" w:hAnsi="Times New Roman"/>
          <w:bCs/>
          <w:sz w:val="28"/>
          <w:szCs w:val="28"/>
          <w:lang w:eastAsia="en-US"/>
        </w:rPr>
        <w:t xml:space="preserve">низкая </w:t>
      </w:r>
      <w:r w:rsidRPr="00D11BAB">
        <w:rPr>
          <w:rFonts w:ascii="Times New Roman" w:hAnsi="Times New Roman"/>
          <w:sz w:val="28"/>
          <w:szCs w:val="28"/>
          <w:lang w:eastAsia="en-US"/>
        </w:rPr>
        <w:t>степень дифференцировки опухолевой клетки, наличие недифференцированной карциномы, а также функциональные</w:t>
      </w:r>
      <w:r w:rsidRPr="00D11BAB">
        <w:rPr>
          <w:rFonts w:ascii="Times New Roman" w:hAnsi="Times New Roman"/>
          <w:bCs/>
          <w:sz w:val="28"/>
          <w:szCs w:val="28"/>
          <w:lang w:eastAsia="en-US"/>
        </w:rPr>
        <w:t xml:space="preserve"> осложнения ободочной кишки и сопутствующая патология являются независимыми предикторами неблагоприятного исхода у больных в реабилитационном периоде. При включении вышеуказанных предикторов в многофакторный </w:t>
      </w:r>
      <w:r w:rsidRPr="00D11BAB">
        <w:rPr>
          <w:rFonts w:ascii="Times New Roman" w:hAnsi="Times New Roman"/>
          <w:sz w:val="28"/>
          <w:szCs w:val="28"/>
        </w:rPr>
        <w:t xml:space="preserve">регрессионный анализ статистически значимое влияние на выживаемость больных сохранили следующие ковариаты: возраст старше 60 лет, </w:t>
      </w:r>
      <w:r w:rsidRPr="00D11BAB">
        <w:rPr>
          <w:rFonts w:ascii="Times New Roman" w:hAnsi="Times New Roman"/>
          <w:sz w:val="28"/>
          <w:szCs w:val="28"/>
          <w:lang w:val="en-US" w:eastAsia="en-US"/>
        </w:rPr>
        <w:t>III</w:t>
      </w:r>
      <w:r w:rsidRPr="00D11BAB">
        <w:rPr>
          <w:rFonts w:ascii="Times New Roman" w:hAnsi="Times New Roman"/>
          <w:sz w:val="28"/>
          <w:szCs w:val="28"/>
          <w:lang w:eastAsia="en-US"/>
        </w:rPr>
        <w:t xml:space="preserve"> стадия рака ободочной кишки, </w:t>
      </w:r>
      <w:r w:rsidRPr="00D11BAB">
        <w:rPr>
          <w:rFonts w:ascii="Times New Roman" w:hAnsi="Times New Roman"/>
          <w:bCs/>
          <w:sz w:val="28"/>
          <w:szCs w:val="28"/>
          <w:lang w:eastAsia="en-US"/>
        </w:rPr>
        <w:t xml:space="preserve">низкая </w:t>
      </w:r>
      <w:r w:rsidRPr="00D11BAB">
        <w:rPr>
          <w:rFonts w:ascii="Times New Roman" w:hAnsi="Times New Roman"/>
          <w:sz w:val="28"/>
          <w:szCs w:val="28"/>
          <w:lang w:eastAsia="en-US"/>
        </w:rPr>
        <w:t>степень дифференцировки опухолевой клетки и функциональные</w:t>
      </w:r>
      <w:r w:rsidRPr="00D11BAB">
        <w:rPr>
          <w:rFonts w:ascii="Times New Roman" w:hAnsi="Times New Roman"/>
          <w:bCs/>
          <w:sz w:val="28"/>
          <w:szCs w:val="28"/>
          <w:lang w:eastAsia="en-US"/>
        </w:rPr>
        <w:t xml:space="preserve"> осложнения ободочной кишки. Учитывая значимое влияние</w:t>
      </w:r>
      <w:r w:rsidRPr="00D11BAB">
        <w:rPr>
          <w:rFonts w:ascii="Times New Roman" w:hAnsi="Times New Roman"/>
          <w:sz w:val="28"/>
          <w:szCs w:val="28"/>
          <w:lang w:eastAsia="en-US"/>
        </w:rPr>
        <w:t xml:space="preserve"> функциональных</w:t>
      </w:r>
      <w:r w:rsidRPr="00D11BAB">
        <w:rPr>
          <w:rFonts w:ascii="Times New Roman" w:hAnsi="Times New Roman"/>
          <w:bCs/>
          <w:sz w:val="28"/>
          <w:szCs w:val="28"/>
          <w:lang w:eastAsia="en-US"/>
        </w:rPr>
        <w:t xml:space="preserve"> осложнений ободочной кишки на выживаемость больных в реабилитационном периоде, отдельно была изучена медиана выживаемости больных с данными осложнениями. Таким образом, 50% больных с функциональными осложнениями имели 5-летнюю выживаемость, при этом медиана выживаемости составила </w:t>
      </w:r>
      <w:r w:rsidRPr="00D11BAB">
        <w:rPr>
          <w:rFonts w:ascii="Times New Roman" w:hAnsi="Times New Roman"/>
          <w:sz w:val="28"/>
          <w:szCs w:val="28"/>
        </w:rPr>
        <w:t>3,6±0,2 года. 59,2% больных не имели неблагоприятных исходов в первые 3 года после хирургического лечения, показывая медиану выживаемости 2,4±0,09 года. Общая одногодичная выживаемость зарегистрирована у 86,8% пациентов с функциональными осложнениями с медианой выживаемости 11,1±0,27 месяцев.</w:t>
      </w:r>
    </w:p>
    <w:p w14:paraId="5F5ADC29" w14:textId="77777777" w:rsidR="00AB0DCB" w:rsidRPr="00D11BAB" w:rsidRDefault="00AB0DCB" w:rsidP="00AB0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С целью детального изучения клинико-лабораторной характеристики, тяжести течения, факторов риска развития функциональных осложнений после хирургического лечения рака ободочной кишки проведен второй этап работы в дизайне одноцентрового проспективного исследования. Из 125 больных со злокачественными новообразованиями ободочной кишки после хирургического лечения функциональные осложнения диагностированы в 87 случаях. В ходе исследования выявлено, что наиболее часто встречается диарейный синдром (46,4%), который имеет хроническое течение (длительностью более 3 недель) и сочетается с другими симптомами (метеоризм, абдоминальная боль, констипация, недержание кала, тенезмы, ночная дефекация, тошнота). Сочетание клинических симптомов с изменениями в копрограмме (увеличение лейкоцитов и эри</w:t>
      </w:r>
      <w:r w:rsidRPr="00D11BAB">
        <w:rPr>
          <w:rFonts w:ascii="Times New Roman" w:hAnsi="Times New Roman"/>
          <w:sz w:val="28"/>
          <w:szCs w:val="28"/>
          <w:lang w:val="kk-KZ"/>
        </w:rPr>
        <w:t>т</w:t>
      </w:r>
      <w:r w:rsidRPr="00D11BAB">
        <w:rPr>
          <w:rFonts w:ascii="Times New Roman" w:hAnsi="Times New Roman"/>
          <w:sz w:val="28"/>
          <w:szCs w:val="28"/>
        </w:rPr>
        <w:t>роцитов) и сыворотке крови (сдвиг лейкоцитарной формулы влево и повышение СРБ) расценивалось как проявление энтероколита.</w:t>
      </w:r>
      <w:r w:rsidRPr="00D11BAB">
        <w:rPr>
          <w:rFonts w:ascii="Times New Roman" w:hAnsi="Times New Roman"/>
          <w:sz w:val="28"/>
          <w:szCs w:val="28"/>
          <w:lang w:val="kk-KZ"/>
        </w:rPr>
        <w:t xml:space="preserve"> Четких клинических различий симптоматики энтерита и колита при значительном удалении длины любого из отдела кишечника определить не удалось. </w:t>
      </w:r>
      <w:r w:rsidRPr="00D11BAB">
        <w:rPr>
          <w:rFonts w:ascii="Times New Roman" w:hAnsi="Times New Roman"/>
          <w:sz w:val="28"/>
          <w:szCs w:val="28"/>
        </w:rPr>
        <w:t>По результатам микробиологического исследования кала на дисбактериоз во всех случаях диагностировано снижение количества микроорганизмов облигатной микрофлоры кишечника (бактерии рода Bifidobacterium и Lactobacterium) и определение условно-патогенных штаммов (</w:t>
      </w:r>
      <w:r w:rsidRPr="00D11BAB">
        <w:rPr>
          <w:rFonts w:ascii="Times New Roman" w:hAnsi="Times New Roman"/>
          <w:bCs/>
          <w:sz w:val="28"/>
          <w:szCs w:val="28"/>
          <w:lang w:eastAsia="en-US"/>
        </w:rPr>
        <w:t>бактерии рода Enterococcus</w:t>
      </w:r>
      <w:r w:rsidRPr="00D11BAB">
        <w:rPr>
          <w:rFonts w:ascii="Times New Roman" w:hAnsi="Times New Roman"/>
          <w:sz w:val="28"/>
          <w:szCs w:val="28"/>
          <w:lang w:eastAsia="en-US"/>
        </w:rPr>
        <w:t xml:space="preserve">, </w:t>
      </w:r>
      <w:r w:rsidRPr="00D11BAB">
        <w:rPr>
          <w:rFonts w:ascii="Times New Roman" w:hAnsi="Times New Roman"/>
          <w:bCs/>
          <w:sz w:val="28"/>
          <w:szCs w:val="28"/>
          <w:lang w:eastAsia="en-US"/>
        </w:rPr>
        <w:t>E.coli с гемолитической активностью, лактозонегативная E.coli, Staphylococcus aureus, грибы рода Candida</w:t>
      </w:r>
      <w:r w:rsidRPr="00D11BAB">
        <w:rPr>
          <w:rFonts w:ascii="Times New Roman" w:hAnsi="Times New Roman"/>
          <w:sz w:val="28"/>
          <w:szCs w:val="28"/>
        </w:rPr>
        <w:t>).  При изучении факторов риска развития энтероколита статистическую значимость показали удаление илеоцекального клапана (</w:t>
      </w:r>
      <w:r w:rsidRPr="00D11BAB">
        <w:rPr>
          <w:rFonts w:ascii="Times New Roman" w:hAnsi="Times New Roman"/>
          <w:sz w:val="28"/>
          <w:szCs w:val="28"/>
          <w:lang w:val="en-US"/>
        </w:rPr>
        <w:t>RR</w:t>
      </w:r>
      <w:r w:rsidRPr="00D11BAB">
        <w:rPr>
          <w:rFonts w:ascii="Times New Roman" w:hAnsi="Times New Roman"/>
          <w:sz w:val="28"/>
          <w:szCs w:val="28"/>
        </w:rPr>
        <w:t xml:space="preserve"> </w:t>
      </w:r>
      <w:r w:rsidRPr="00D11BAB">
        <w:rPr>
          <w:rFonts w:ascii="Times New Roman" w:hAnsi="Times New Roman"/>
          <w:sz w:val="28"/>
          <w:szCs w:val="28"/>
          <w:lang w:eastAsia="en-US"/>
        </w:rPr>
        <w:t>1,6</w:t>
      </w:r>
      <w:r w:rsidRPr="00D11BAB">
        <w:rPr>
          <w:rFonts w:ascii="Times New Roman" w:hAnsi="Times New Roman"/>
          <w:sz w:val="28"/>
          <w:szCs w:val="28"/>
          <w:lang w:val="kk-KZ" w:eastAsia="en-US"/>
        </w:rPr>
        <w:t xml:space="preserve"> </w:t>
      </w:r>
      <w:r w:rsidRPr="00D11BAB">
        <w:rPr>
          <w:rFonts w:ascii="Times New Roman" w:hAnsi="Times New Roman"/>
          <w:sz w:val="28"/>
          <w:szCs w:val="28"/>
        </w:rPr>
        <w:lastRenderedPageBreak/>
        <w:t>ДИ 95% [1,23-2,10], р=0,006) и формирование стомы (илео-, колостомы) (</w:t>
      </w:r>
      <w:r w:rsidRPr="00D11BAB">
        <w:rPr>
          <w:rFonts w:ascii="Times New Roman" w:hAnsi="Times New Roman"/>
          <w:sz w:val="28"/>
          <w:szCs w:val="28"/>
          <w:lang w:val="en-US"/>
        </w:rPr>
        <w:t>RR</w:t>
      </w:r>
      <w:r w:rsidRPr="00D11BAB">
        <w:rPr>
          <w:rFonts w:ascii="Times New Roman" w:hAnsi="Times New Roman"/>
          <w:sz w:val="28"/>
          <w:szCs w:val="28"/>
        </w:rPr>
        <w:t xml:space="preserve"> 1</w:t>
      </w:r>
      <w:r w:rsidRPr="00D11BAB">
        <w:rPr>
          <w:rFonts w:ascii="Times New Roman" w:hAnsi="Times New Roman"/>
          <w:sz w:val="28"/>
          <w:szCs w:val="28"/>
          <w:lang w:val="kk-KZ"/>
        </w:rPr>
        <w:t xml:space="preserve">,4 </w:t>
      </w:r>
      <w:r w:rsidRPr="00D11BAB">
        <w:rPr>
          <w:rFonts w:ascii="Times New Roman" w:hAnsi="Times New Roman"/>
          <w:sz w:val="28"/>
          <w:szCs w:val="28"/>
        </w:rPr>
        <w:t>ДИ</w:t>
      </w:r>
      <w:r w:rsidRPr="00D11BAB">
        <w:rPr>
          <w:rFonts w:ascii="Times New Roman" w:hAnsi="Times New Roman"/>
          <w:sz w:val="28"/>
          <w:szCs w:val="28"/>
          <w:lang w:val="kk-KZ"/>
        </w:rPr>
        <w:t xml:space="preserve"> </w:t>
      </w:r>
      <w:r w:rsidRPr="00D11BAB">
        <w:rPr>
          <w:rFonts w:ascii="Times New Roman" w:hAnsi="Times New Roman"/>
          <w:sz w:val="28"/>
          <w:szCs w:val="28"/>
        </w:rPr>
        <w:t xml:space="preserve">95% [1,073-1,902], р=0,002). </w:t>
      </w:r>
    </w:p>
    <w:p w14:paraId="3BBCF782" w14:textId="77777777" w:rsidR="00AB0DCB" w:rsidRPr="00D11BAB" w:rsidRDefault="00AB0DCB" w:rsidP="00AB0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В зависимости от выраженности клинической картины и наличия нарушения микрофлоры верхнего и нижнего отделов кишечника определялась дальнейшая тактика лечения: назначена диета с низким содержанием </w:t>
      </w:r>
      <w:r w:rsidRPr="00D11BAB">
        <w:rPr>
          <w:rFonts w:ascii="Times New Roman" w:hAnsi="Times New Roman"/>
          <w:sz w:val="28"/>
          <w:szCs w:val="28"/>
          <w:lang w:val="en-US"/>
        </w:rPr>
        <w:t>FODMAP</w:t>
      </w:r>
      <w:r w:rsidRPr="00D11BAB">
        <w:rPr>
          <w:rFonts w:ascii="Times New Roman" w:hAnsi="Times New Roman"/>
          <w:sz w:val="28"/>
          <w:szCs w:val="28"/>
        </w:rPr>
        <w:t>, препараты для нормализации микрофлоры кишечника, содержащих лиофилизированные молочнокислые бактерии Lactobacillus rhamnosus GG - 4×10</w:t>
      </w:r>
      <w:r w:rsidRPr="00D11BAB">
        <w:rPr>
          <w:rFonts w:ascii="Times New Roman" w:hAnsi="Times New Roman"/>
          <w:sz w:val="28"/>
          <w:szCs w:val="28"/>
          <w:vertAlign w:val="superscript"/>
        </w:rPr>
        <w:t>9</w:t>
      </w:r>
      <w:r w:rsidRPr="00D11BAB">
        <w:rPr>
          <w:rFonts w:ascii="Times New Roman" w:hAnsi="Times New Roman"/>
          <w:sz w:val="28"/>
          <w:szCs w:val="28"/>
        </w:rPr>
        <w:t xml:space="preserve"> КОЕ, </w:t>
      </w:r>
      <w:r w:rsidRPr="00D11BAB">
        <w:rPr>
          <w:rFonts w:ascii="Times New Roman" w:hAnsi="Times New Roman"/>
          <w:sz w:val="28"/>
          <w:szCs w:val="28"/>
          <w:lang w:val="kk-KZ"/>
        </w:rPr>
        <w:t>вяжущие и калоформирующие вещества</w:t>
      </w:r>
      <w:r w:rsidRPr="00D11BAB">
        <w:rPr>
          <w:rFonts w:ascii="Times New Roman" w:hAnsi="Times New Roman"/>
          <w:sz w:val="28"/>
          <w:szCs w:val="28"/>
        </w:rPr>
        <w:t xml:space="preserve">.  После проведенного лечения </w:t>
      </w:r>
      <w:r w:rsidRPr="00D11BAB">
        <w:rPr>
          <w:rFonts w:ascii="Times New Roman" w:hAnsi="Times New Roman"/>
          <w:bCs/>
          <w:sz w:val="28"/>
          <w:szCs w:val="28"/>
          <w:lang w:eastAsia="en-US"/>
        </w:rPr>
        <w:t>статическое значимое изменение показали такие симптомы, как частота стула более 3 раз в день (</w:t>
      </w:r>
      <w:r w:rsidRPr="00D11BAB">
        <w:rPr>
          <w:rFonts w:ascii="Times New Roman" w:hAnsi="Times New Roman"/>
          <w:bCs/>
          <w:sz w:val="28"/>
          <w:szCs w:val="28"/>
          <w:lang w:val="en-US" w:eastAsia="en-US"/>
        </w:rPr>
        <w:t>p</w:t>
      </w:r>
      <w:r w:rsidRPr="00D11BAB">
        <w:rPr>
          <w:rFonts w:ascii="Times New Roman" w:hAnsi="Times New Roman"/>
          <w:bCs/>
          <w:sz w:val="28"/>
          <w:szCs w:val="28"/>
          <w:lang w:eastAsia="en-US"/>
        </w:rPr>
        <w:t xml:space="preserve">=0,003), </w:t>
      </w:r>
      <w:r w:rsidRPr="00D11BAB">
        <w:rPr>
          <w:rFonts w:ascii="Times New Roman" w:hAnsi="Times New Roman"/>
          <w:bCs/>
          <w:sz w:val="28"/>
          <w:szCs w:val="28"/>
          <w:lang w:val="kk-KZ" w:eastAsia="en-US"/>
        </w:rPr>
        <w:t xml:space="preserve">консистенция стула </w:t>
      </w:r>
      <w:r w:rsidRPr="00D11BAB">
        <w:rPr>
          <w:rFonts w:ascii="Times New Roman" w:hAnsi="Times New Roman"/>
          <w:bCs/>
          <w:sz w:val="28"/>
          <w:szCs w:val="28"/>
          <w:lang w:val="en-US" w:eastAsia="en-US"/>
        </w:rPr>
        <w:t>BSF</w:t>
      </w:r>
      <w:r w:rsidRPr="00D11BAB">
        <w:rPr>
          <w:rFonts w:ascii="Times New Roman" w:hAnsi="Times New Roman"/>
          <w:bCs/>
          <w:sz w:val="28"/>
          <w:szCs w:val="28"/>
          <w:lang w:eastAsia="en-US"/>
        </w:rPr>
        <w:t xml:space="preserve"> 6-7 (</w:t>
      </w:r>
      <w:r w:rsidRPr="00D11BAB">
        <w:rPr>
          <w:rFonts w:ascii="Times New Roman" w:hAnsi="Times New Roman"/>
          <w:bCs/>
          <w:sz w:val="28"/>
          <w:szCs w:val="28"/>
          <w:lang w:val="en-US" w:eastAsia="en-US"/>
        </w:rPr>
        <w:t>p</w:t>
      </w:r>
      <w:r w:rsidRPr="00D11BAB">
        <w:rPr>
          <w:rFonts w:ascii="Times New Roman" w:hAnsi="Times New Roman"/>
          <w:bCs/>
          <w:sz w:val="28"/>
          <w:szCs w:val="28"/>
          <w:lang w:eastAsia="en-US"/>
        </w:rPr>
        <w:t>=0,002), недержание кала (</w:t>
      </w:r>
      <w:r w:rsidRPr="00D11BAB">
        <w:rPr>
          <w:rFonts w:ascii="Times New Roman" w:hAnsi="Times New Roman"/>
          <w:bCs/>
          <w:sz w:val="28"/>
          <w:szCs w:val="28"/>
          <w:lang w:val="en-US" w:eastAsia="en-US"/>
        </w:rPr>
        <w:t>p</w:t>
      </w:r>
      <w:r w:rsidRPr="00D11BAB">
        <w:rPr>
          <w:rFonts w:ascii="Times New Roman" w:hAnsi="Times New Roman"/>
          <w:bCs/>
          <w:sz w:val="28"/>
          <w:szCs w:val="28"/>
          <w:lang w:eastAsia="en-US"/>
        </w:rPr>
        <w:t>=0,003), метеоризм (</w:t>
      </w:r>
      <w:r w:rsidRPr="00D11BAB">
        <w:rPr>
          <w:rFonts w:ascii="Times New Roman" w:hAnsi="Times New Roman"/>
          <w:bCs/>
          <w:sz w:val="28"/>
          <w:szCs w:val="28"/>
          <w:lang w:val="en-US" w:eastAsia="en-US"/>
        </w:rPr>
        <w:t>p</w:t>
      </w:r>
      <w:r w:rsidRPr="00D11BAB">
        <w:rPr>
          <w:rFonts w:ascii="Times New Roman" w:hAnsi="Times New Roman"/>
          <w:bCs/>
          <w:sz w:val="28"/>
          <w:szCs w:val="28"/>
          <w:lang w:eastAsia="en-US"/>
        </w:rPr>
        <w:t>=0,001), тенезмы (</w:t>
      </w:r>
      <w:r w:rsidRPr="00D11BAB">
        <w:rPr>
          <w:rFonts w:ascii="Times New Roman" w:hAnsi="Times New Roman"/>
          <w:bCs/>
          <w:sz w:val="28"/>
          <w:szCs w:val="28"/>
          <w:lang w:val="en-US" w:eastAsia="en-US"/>
        </w:rPr>
        <w:t>p</w:t>
      </w:r>
      <w:r w:rsidRPr="00D11BAB">
        <w:rPr>
          <w:rFonts w:ascii="Times New Roman" w:hAnsi="Times New Roman"/>
          <w:bCs/>
          <w:sz w:val="28"/>
          <w:szCs w:val="28"/>
          <w:lang w:eastAsia="en-US"/>
        </w:rPr>
        <w:t xml:space="preserve">=0,002). Также наблюдалась тенденция к улучшению симптома как абдоминальная боль (p=0,004). </w:t>
      </w:r>
      <w:r w:rsidRPr="00D11BAB">
        <w:rPr>
          <w:rFonts w:ascii="Times New Roman" w:hAnsi="Times New Roman"/>
          <w:sz w:val="28"/>
          <w:szCs w:val="28"/>
        </w:rPr>
        <w:t xml:space="preserve">Опорными симптомами при оценке эффективности лечения </w:t>
      </w:r>
      <w:r w:rsidRPr="00D11BAB">
        <w:rPr>
          <w:rFonts w:ascii="Times New Roman" w:hAnsi="Times New Roman"/>
          <w:sz w:val="28"/>
          <w:szCs w:val="28"/>
          <w:lang w:val="kk-KZ"/>
        </w:rPr>
        <w:t>синдрома хронической диареи</w:t>
      </w:r>
      <w:r w:rsidRPr="00D11BAB">
        <w:rPr>
          <w:rFonts w:ascii="Times New Roman" w:hAnsi="Times New Roman"/>
          <w:sz w:val="28"/>
          <w:szCs w:val="28"/>
        </w:rPr>
        <w:t xml:space="preserve"> для больных с сохраненной анальной дефекацией были частота и консистенция стула, для больных с илеостомой и </w:t>
      </w:r>
      <w:proofErr w:type="spellStart"/>
      <w:r w:rsidRPr="00D11BAB">
        <w:rPr>
          <w:rFonts w:ascii="Times New Roman" w:hAnsi="Times New Roman"/>
          <w:sz w:val="28"/>
          <w:szCs w:val="28"/>
        </w:rPr>
        <w:t>колостомой</w:t>
      </w:r>
      <w:proofErr w:type="spellEnd"/>
      <w:r w:rsidRPr="00D11BAB">
        <w:rPr>
          <w:rFonts w:ascii="Times New Roman" w:hAnsi="Times New Roman"/>
          <w:sz w:val="28"/>
          <w:szCs w:val="28"/>
        </w:rPr>
        <w:t xml:space="preserve"> – уменьшение количества кишечного отделяемого менее 1000 мл и 500 мл в сутки соответственно. Таким образом, после лечения медиана частоты стула в сутки составила 2 (1;4), консистенция стула по шкале </w:t>
      </w:r>
      <w:r w:rsidRPr="00D11BAB">
        <w:rPr>
          <w:rFonts w:ascii="Times New Roman" w:hAnsi="Times New Roman"/>
          <w:sz w:val="28"/>
          <w:szCs w:val="28"/>
          <w:lang w:val="en-US"/>
        </w:rPr>
        <w:t>BSF</w:t>
      </w:r>
      <w:r w:rsidRPr="00D11BAB">
        <w:rPr>
          <w:rFonts w:ascii="Times New Roman" w:hAnsi="Times New Roman"/>
          <w:sz w:val="28"/>
          <w:szCs w:val="28"/>
        </w:rPr>
        <w:t xml:space="preserve"> 4 (4;5). Медиана количества отделяемого по илеостоме уменьшилась до 800 (500;1000) мл в сутки. Отмечено сгущение отделяемого с колостомы с уменьшением потерь до 450 (350;550) мл в сутки. </w:t>
      </w:r>
    </w:p>
    <w:p w14:paraId="5B7019E1" w14:textId="77777777" w:rsidR="00AB0DCB" w:rsidRPr="00D11BAB" w:rsidRDefault="00AB0DCB" w:rsidP="00AB0DCB">
      <w:pPr>
        <w:tabs>
          <w:tab w:val="left" w:pos="567"/>
        </w:tabs>
        <w:spacing w:after="0" w:line="240" w:lineRule="auto"/>
        <w:ind w:firstLine="567"/>
        <w:jc w:val="both"/>
        <w:rPr>
          <w:rFonts w:ascii="Times New Roman" w:hAnsi="Times New Roman"/>
          <w:sz w:val="28"/>
          <w:szCs w:val="28"/>
        </w:rPr>
      </w:pPr>
      <w:r w:rsidRPr="00D11BAB">
        <w:rPr>
          <w:rFonts w:ascii="Times New Roman" w:hAnsi="Times New Roman"/>
          <w:sz w:val="28"/>
          <w:szCs w:val="28"/>
        </w:rPr>
        <w:t xml:space="preserve">При лабораторном анализе крови из 125 больных поле радикального хирургического лечения рака ободочной кишки электролитные нарушения диагностированы в 79 (63,2%) случаях. Чаще встречались </w:t>
      </w:r>
      <w:proofErr w:type="spellStart"/>
      <w:r w:rsidRPr="00D11BAB">
        <w:rPr>
          <w:rFonts w:ascii="Times New Roman" w:hAnsi="Times New Roman"/>
          <w:sz w:val="28"/>
          <w:szCs w:val="28"/>
        </w:rPr>
        <w:t>гипонатриемия</w:t>
      </w:r>
      <w:proofErr w:type="spellEnd"/>
      <w:r w:rsidRPr="00D11BAB">
        <w:rPr>
          <w:rFonts w:ascii="Times New Roman" w:hAnsi="Times New Roman"/>
          <w:sz w:val="28"/>
          <w:szCs w:val="28"/>
        </w:rPr>
        <w:t xml:space="preserve"> 26 (32,9%), </w:t>
      </w:r>
      <w:proofErr w:type="spellStart"/>
      <w:r w:rsidRPr="00D11BAB">
        <w:rPr>
          <w:rFonts w:ascii="Times New Roman" w:hAnsi="Times New Roman"/>
          <w:sz w:val="28"/>
          <w:szCs w:val="28"/>
        </w:rPr>
        <w:t>гипокалиемия</w:t>
      </w:r>
      <w:proofErr w:type="spellEnd"/>
      <w:r w:rsidRPr="00D11BAB">
        <w:rPr>
          <w:rFonts w:ascii="Times New Roman" w:hAnsi="Times New Roman"/>
          <w:sz w:val="28"/>
          <w:szCs w:val="28"/>
        </w:rPr>
        <w:t xml:space="preserve"> 22(27,8%) </w:t>
      </w:r>
      <w:proofErr w:type="spellStart"/>
      <w:r w:rsidRPr="00D11BAB">
        <w:rPr>
          <w:rFonts w:ascii="Times New Roman" w:hAnsi="Times New Roman"/>
          <w:sz w:val="28"/>
          <w:szCs w:val="28"/>
        </w:rPr>
        <w:t>гипохлоремия</w:t>
      </w:r>
      <w:proofErr w:type="spellEnd"/>
      <w:r w:rsidRPr="00D11BAB">
        <w:rPr>
          <w:rFonts w:ascii="Times New Roman" w:hAnsi="Times New Roman"/>
          <w:sz w:val="28"/>
          <w:szCs w:val="28"/>
        </w:rPr>
        <w:t xml:space="preserve"> 14(17,7%) и </w:t>
      </w:r>
      <w:proofErr w:type="spellStart"/>
      <w:r w:rsidRPr="00D11BAB">
        <w:rPr>
          <w:rFonts w:ascii="Times New Roman" w:hAnsi="Times New Roman"/>
          <w:sz w:val="28"/>
          <w:szCs w:val="28"/>
        </w:rPr>
        <w:t>гипомагниемия</w:t>
      </w:r>
      <w:proofErr w:type="spellEnd"/>
      <w:r w:rsidRPr="00D11BAB">
        <w:rPr>
          <w:rFonts w:ascii="Times New Roman" w:hAnsi="Times New Roman"/>
          <w:sz w:val="28"/>
          <w:szCs w:val="28"/>
        </w:rPr>
        <w:t xml:space="preserve"> 7(8,8%). По тяжести преобладали </w:t>
      </w:r>
      <w:r w:rsidRPr="00D11BAB">
        <w:rPr>
          <w:rFonts w:ascii="Times New Roman" w:hAnsi="Times New Roman"/>
          <w:sz w:val="28"/>
          <w:szCs w:val="28"/>
          <w:lang w:val="en-US"/>
        </w:rPr>
        <w:t>I</w:t>
      </w:r>
      <w:r w:rsidRPr="00D11BAB">
        <w:rPr>
          <w:rFonts w:ascii="Times New Roman" w:hAnsi="Times New Roman"/>
          <w:sz w:val="28"/>
          <w:szCs w:val="28"/>
        </w:rPr>
        <w:t xml:space="preserve"> (40%) и </w:t>
      </w:r>
      <w:r w:rsidRPr="00D11BAB">
        <w:rPr>
          <w:rFonts w:ascii="Times New Roman" w:hAnsi="Times New Roman"/>
          <w:sz w:val="28"/>
          <w:szCs w:val="28"/>
          <w:lang w:val="en-US"/>
        </w:rPr>
        <w:t>II</w:t>
      </w:r>
      <w:r w:rsidRPr="00D11BAB">
        <w:rPr>
          <w:rFonts w:ascii="Times New Roman" w:hAnsi="Times New Roman"/>
          <w:sz w:val="28"/>
          <w:szCs w:val="28"/>
        </w:rPr>
        <w:t xml:space="preserve"> (48%) степени </w:t>
      </w:r>
      <w:proofErr w:type="spellStart"/>
      <w:r w:rsidRPr="00D11BAB">
        <w:rPr>
          <w:rFonts w:ascii="Times New Roman" w:hAnsi="Times New Roman"/>
          <w:sz w:val="28"/>
          <w:szCs w:val="28"/>
        </w:rPr>
        <w:t>электролитемии</w:t>
      </w:r>
      <w:proofErr w:type="spellEnd"/>
      <w:r w:rsidRPr="00D11BAB">
        <w:rPr>
          <w:rFonts w:ascii="Times New Roman" w:hAnsi="Times New Roman"/>
          <w:sz w:val="28"/>
          <w:szCs w:val="28"/>
        </w:rPr>
        <w:t>. Изучена частота встречаемости электролитных нарушений в зависимости от возраста, ИМТ, пола. Таким образом, больные старше 60 лет (</w:t>
      </w:r>
      <w:r w:rsidRPr="00D11BAB">
        <w:rPr>
          <w:rFonts w:ascii="Times New Roman" w:hAnsi="Times New Roman"/>
          <w:sz w:val="28"/>
          <w:szCs w:val="28"/>
          <w:lang w:val="en-US"/>
        </w:rPr>
        <w:t>p</w:t>
      </w:r>
      <w:r w:rsidRPr="00D11BAB">
        <w:rPr>
          <w:rFonts w:ascii="Times New Roman" w:hAnsi="Times New Roman"/>
          <w:sz w:val="28"/>
          <w:szCs w:val="28"/>
        </w:rPr>
        <w:t>=0,011) и ИМТ ниже 18 кг/м</w:t>
      </w:r>
      <w:r w:rsidRPr="00D11BAB">
        <w:rPr>
          <w:rFonts w:ascii="Times New Roman" w:hAnsi="Times New Roman"/>
          <w:sz w:val="28"/>
          <w:szCs w:val="28"/>
          <w:vertAlign w:val="superscript"/>
        </w:rPr>
        <w:t xml:space="preserve">2 </w:t>
      </w:r>
      <w:r w:rsidRPr="00D11BAB">
        <w:rPr>
          <w:rFonts w:ascii="Times New Roman" w:hAnsi="Times New Roman"/>
          <w:sz w:val="28"/>
          <w:szCs w:val="28"/>
        </w:rPr>
        <w:t xml:space="preserve">(р=0,001) более подвержены к электролитным нарушениям. К факторам риска развития электролитных нарушения были отнесены </w:t>
      </w:r>
      <w:r w:rsidRPr="00D11BAB">
        <w:rPr>
          <w:rFonts w:ascii="Times New Roman" w:hAnsi="Times New Roman"/>
          <w:sz w:val="28"/>
          <w:szCs w:val="28"/>
          <w:lang w:val="en-US"/>
        </w:rPr>
        <w:t>III</w:t>
      </w:r>
      <w:r w:rsidRPr="00D11BAB">
        <w:rPr>
          <w:rFonts w:ascii="Times New Roman" w:hAnsi="Times New Roman"/>
          <w:sz w:val="28"/>
          <w:szCs w:val="28"/>
        </w:rPr>
        <w:t xml:space="preserve"> стадия (</w:t>
      </w:r>
      <w:r w:rsidRPr="00D11BAB">
        <w:rPr>
          <w:rFonts w:ascii="Times New Roman" w:hAnsi="Times New Roman"/>
          <w:sz w:val="28"/>
          <w:szCs w:val="28"/>
          <w:lang w:val="en-US"/>
        </w:rPr>
        <w:t>RR</w:t>
      </w:r>
      <w:r w:rsidRPr="00D11BAB">
        <w:rPr>
          <w:rFonts w:ascii="Times New Roman" w:hAnsi="Times New Roman"/>
          <w:sz w:val="28"/>
          <w:szCs w:val="28"/>
        </w:rPr>
        <w:t xml:space="preserve"> 1,764 [</w:t>
      </w:r>
      <w:r w:rsidRPr="00D11BAB">
        <w:rPr>
          <w:rFonts w:ascii="Times New Roman" w:hAnsi="Times New Roman"/>
          <w:sz w:val="28"/>
          <w:szCs w:val="28"/>
          <w:lang w:val="kk-KZ" w:eastAsia="en-US"/>
        </w:rPr>
        <w:t>95% ДИ</w:t>
      </w:r>
      <w:r w:rsidRPr="00D11BAB">
        <w:rPr>
          <w:rFonts w:ascii="Times New Roman" w:hAnsi="Times New Roman"/>
          <w:sz w:val="28"/>
          <w:szCs w:val="28"/>
          <w:lang w:eastAsia="en-US"/>
        </w:rPr>
        <w:t xml:space="preserve"> </w:t>
      </w:r>
      <w:r w:rsidRPr="00D11BAB">
        <w:rPr>
          <w:rFonts w:ascii="Times New Roman" w:hAnsi="Times New Roman"/>
          <w:sz w:val="28"/>
          <w:szCs w:val="28"/>
        </w:rPr>
        <w:t>1,347-2,310]), объем оперативного вмешательства в виде правосторонней гемиколэктомии (</w:t>
      </w:r>
      <w:r w:rsidRPr="00D11BAB">
        <w:rPr>
          <w:rFonts w:ascii="Times New Roman" w:hAnsi="Times New Roman"/>
          <w:sz w:val="28"/>
          <w:szCs w:val="28"/>
          <w:lang w:val="en-US"/>
        </w:rPr>
        <w:t>RR</w:t>
      </w:r>
      <w:r w:rsidRPr="00D11BAB">
        <w:rPr>
          <w:rFonts w:ascii="Times New Roman" w:hAnsi="Times New Roman"/>
          <w:sz w:val="28"/>
          <w:szCs w:val="28"/>
        </w:rPr>
        <w:t>1,611[</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ДИ</w:t>
      </w:r>
      <w:r w:rsidRPr="00D11BAB">
        <w:rPr>
          <w:rFonts w:ascii="Times New Roman" w:hAnsi="Times New Roman"/>
          <w:sz w:val="28"/>
          <w:szCs w:val="28"/>
        </w:rPr>
        <w:t xml:space="preserve">1,234-2,103]) и </w:t>
      </w:r>
      <w:r w:rsidRPr="00D11BAB">
        <w:rPr>
          <w:rFonts w:ascii="Times New Roman" w:hAnsi="Times New Roman"/>
          <w:sz w:val="28"/>
          <w:szCs w:val="28"/>
          <w:lang w:eastAsia="en-US"/>
        </w:rPr>
        <w:t xml:space="preserve">резекции кишечника с формирование стомы </w:t>
      </w:r>
      <w:r w:rsidRPr="00D11BAB">
        <w:rPr>
          <w:rFonts w:ascii="Times New Roman" w:hAnsi="Times New Roman"/>
          <w:sz w:val="28"/>
          <w:szCs w:val="28"/>
        </w:rPr>
        <w:t>(</w:t>
      </w:r>
      <w:r w:rsidRPr="00D11BAB">
        <w:rPr>
          <w:rFonts w:ascii="Times New Roman" w:hAnsi="Times New Roman"/>
          <w:sz w:val="28"/>
          <w:szCs w:val="28"/>
          <w:lang w:val="en-US"/>
        </w:rPr>
        <w:t>RR</w:t>
      </w:r>
      <w:r w:rsidRPr="00D11BAB">
        <w:rPr>
          <w:rFonts w:ascii="Times New Roman" w:hAnsi="Times New Roman"/>
          <w:sz w:val="28"/>
          <w:szCs w:val="28"/>
        </w:rPr>
        <w:t xml:space="preserve"> 1,364 [</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 xml:space="preserve">ДИ </w:t>
      </w:r>
      <w:r w:rsidRPr="00D11BAB">
        <w:rPr>
          <w:rFonts w:ascii="Times New Roman" w:hAnsi="Times New Roman"/>
          <w:sz w:val="28"/>
          <w:szCs w:val="28"/>
        </w:rPr>
        <w:t>1,014-1,836]), энтероколит (</w:t>
      </w:r>
      <w:r w:rsidRPr="00D11BAB">
        <w:rPr>
          <w:rFonts w:ascii="Times New Roman" w:hAnsi="Times New Roman"/>
          <w:sz w:val="28"/>
          <w:szCs w:val="28"/>
          <w:lang w:val="en-US"/>
        </w:rPr>
        <w:t>RR</w:t>
      </w:r>
      <w:r w:rsidRPr="00D11BAB">
        <w:rPr>
          <w:rFonts w:ascii="Times New Roman" w:hAnsi="Times New Roman"/>
          <w:sz w:val="28"/>
          <w:szCs w:val="28"/>
        </w:rPr>
        <w:t xml:space="preserve"> 1,832 [</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 xml:space="preserve">ДИ </w:t>
      </w:r>
      <w:r w:rsidRPr="00D11BAB">
        <w:rPr>
          <w:rFonts w:ascii="Times New Roman" w:hAnsi="Times New Roman"/>
          <w:sz w:val="28"/>
          <w:szCs w:val="28"/>
        </w:rPr>
        <w:t>1,352-2,483]), сопутствующая сердечно-сосудистая патология (</w:t>
      </w:r>
      <w:r w:rsidRPr="00D11BAB">
        <w:rPr>
          <w:rFonts w:ascii="Times New Roman" w:hAnsi="Times New Roman"/>
          <w:sz w:val="28"/>
          <w:szCs w:val="28"/>
          <w:lang w:val="en-US"/>
        </w:rPr>
        <w:t>RR</w:t>
      </w:r>
      <w:r w:rsidRPr="00D11BAB">
        <w:rPr>
          <w:rFonts w:ascii="Times New Roman" w:hAnsi="Times New Roman"/>
          <w:sz w:val="28"/>
          <w:szCs w:val="28"/>
        </w:rPr>
        <w:t xml:space="preserve"> 1,442 [</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 xml:space="preserve">ДИ </w:t>
      </w:r>
      <w:r w:rsidRPr="00D11BAB">
        <w:rPr>
          <w:rFonts w:ascii="Times New Roman" w:hAnsi="Times New Roman"/>
          <w:sz w:val="28"/>
          <w:szCs w:val="28"/>
        </w:rPr>
        <w:t>1,090-1,908]) и сахарный диабет (</w:t>
      </w:r>
      <w:r w:rsidRPr="00D11BAB">
        <w:rPr>
          <w:rFonts w:ascii="Times New Roman" w:hAnsi="Times New Roman"/>
          <w:sz w:val="28"/>
          <w:szCs w:val="28"/>
          <w:lang w:val="en-US"/>
        </w:rPr>
        <w:t>RR</w:t>
      </w:r>
      <w:r w:rsidRPr="00D11BAB">
        <w:rPr>
          <w:rFonts w:ascii="Times New Roman" w:hAnsi="Times New Roman"/>
          <w:sz w:val="28"/>
          <w:szCs w:val="28"/>
        </w:rPr>
        <w:t xml:space="preserve"> 1,588 [</w:t>
      </w:r>
      <w:r w:rsidRPr="00D11BAB">
        <w:rPr>
          <w:rFonts w:ascii="Times New Roman" w:hAnsi="Times New Roman"/>
          <w:sz w:val="28"/>
          <w:szCs w:val="28"/>
          <w:lang w:val="kk-KZ" w:eastAsia="en-US"/>
        </w:rPr>
        <w:t xml:space="preserve">95% </w:t>
      </w:r>
      <w:r w:rsidRPr="00D11BAB">
        <w:rPr>
          <w:rFonts w:ascii="Times New Roman" w:hAnsi="Times New Roman"/>
          <w:sz w:val="28"/>
          <w:szCs w:val="28"/>
          <w:lang w:eastAsia="en-US"/>
        </w:rPr>
        <w:t>ДИ</w:t>
      </w:r>
      <w:r w:rsidRPr="00D11BAB">
        <w:rPr>
          <w:rFonts w:ascii="Times New Roman" w:hAnsi="Times New Roman"/>
          <w:sz w:val="28"/>
          <w:szCs w:val="28"/>
        </w:rPr>
        <w:t xml:space="preserve"> 1,247-2,023]). Для коррекции электролитных нарушений наряду с основным лечением использовалась нутритивная смесь с широким спектром электролитов. В 61 (81%) случаях зарегистрирован положительный результат лечения в виде достижения референсных значений электролитов. Также в результате применения комплексных реабилитационных мероприятий, включающих диетические рекомендации, коррекцию микробиоты кишечника,   нормализацию электролитного баланса  и нутритивного статуса с применением энтеральных питательных смесей, отмечается уменьшение доли больных с</w:t>
      </w:r>
      <w:r w:rsidRPr="00D11BAB">
        <w:rPr>
          <w:rFonts w:ascii="Times New Roman" w:hAnsi="Times New Roman"/>
          <w:bCs/>
          <w:sz w:val="28"/>
          <w:szCs w:val="28"/>
        </w:rPr>
        <w:t xml:space="preserve"> отчетливым истощением (ИМТ </w:t>
      </w:r>
      <w:r w:rsidRPr="00D11BAB">
        <w:rPr>
          <w:rFonts w:ascii="Times New Roman" w:hAnsi="Times New Roman"/>
          <w:sz w:val="28"/>
          <w:szCs w:val="28"/>
        </w:rPr>
        <w:t>до 20 кг/м</w:t>
      </w:r>
      <w:r w:rsidRPr="00D11BAB">
        <w:rPr>
          <w:rFonts w:ascii="Times New Roman" w:hAnsi="Times New Roman"/>
          <w:sz w:val="28"/>
          <w:szCs w:val="28"/>
          <w:vertAlign w:val="superscript"/>
        </w:rPr>
        <w:t>2</w:t>
      </w:r>
      <w:r w:rsidRPr="00D11BAB">
        <w:rPr>
          <w:rFonts w:ascii="Times New Roman" w:hAnsi="Times New Roman"/>
          <w:sz w:val="28"/>
          <w:szCs w:val="28"/>
        </w:rPr>
        <w:t>)</w:t>
      </w:r>
      <w:r w:rsidRPr="00D11BAB">
        <w:rPr>
          <w:rFonts w:ascii="Times New Roman" w:hAnsi="Times New Roman"/>
          <w:bCs/>
          <w:sz w:val="28"/>
          <w:szCs w:val="28"/>
        </w:rPr>
        <w:t xml:space="preserve"> с 66,6 до 29,3% (р=0,003), со значительным истощением (ИМТ </w:t>
      </w:r>
      <w:r w:rsidRPr="00D11BAB">
        <w:rPr>
          <w:rFonts w:ascii="Times New Roman" w:hAnsi="Times New Roman"/>
          <w:sz w:val="28"/>
          <w:szCs w:val="28"/>
        </w:rPr>
        <w:t>до 17 кг/м</w:t>
      </w:r>
      <w:r w:rsidRPr="00D11BAB">
        <w:rPr>
          <w:rFonts w:ascii="Times New Roman" w:hAnsi="Times New Roman"/>
          <w:sz w:val="28"/>
          <w:szCs w:val="28"/>
          <w:vertAlign w:val="superscript"/>
        </w:rPr>
        <w:t xml:space="preserve">2 </w:t>
      </w:r>
      <w:r w:rsidRPr="00D11BAB">
        <w:rPr>
          <w:rFonts w:ascii="Times New Roman" w:hAnsi="Times New Roman"/>
          <w:sz w:val="28"/>
          <w:szCs w:val="28"/>
        </w:rPr>
        <w:t>)</w:t>
      </w:r>
      <w:r w:rsidRPr="00D11BAB">
        <w:rPr>
          <w:rFonts w:ascii="Times New Roman" w:hAnsi="Times New Roman"/>
          <w:bCs/>
          <w:sz w:val="28"/>
          <w:szCs w:val="28"/>
        </w:rPr>
        <w:t xml:space="preserve"> с 19,6 до 3,9% (р=0,002), с предельным </w:t>
      </w:r>
      <w:r w:rsidRPr="00D11BAB">
        <w:rPr>
          <w:rFonts w:ascii="Times New Roman" w:hAnsi="Times New Roman"/>
          <w:bCs/>
          <w:sz w:val="28"/>
          <w:szCs w:val="28"/>
        </w:rPr>
        <w:lastRenderedPageBreak/>
        <w:t xml:space="preserve">истощением (ИМТ </w:t>
      </w:r>
      <w:r w:rsidRPr="00D11BAB">
        <w:rPr>
          <w:rFonts w:ascii="Times New Roman" w:hAnsi="Times New Roman"/>
          <w:sz w:val="28"/>
          <w:szCs w:val="28"/>
        </w:rPr>
        <w:t>до 16кг/м</w:t>
      </w:r>
      <w:r w:rsidRPr="00D11BAB">
        <w:rPr>
          <w:rFonts w:ascii="Times New Roman" w:hAnsi="Times New Roman"/>
          <w:sz w:val="28"/>
          <w:szCs w:val="28"/>
          <w:vertAlign w:val="superscript"/>
        </w:rPr>
        <w:t xml:space="preserve">2 </w:t>
      </w:r>
      <w:r w:rsidRPr="00D11BAB">
        <w:rPr>
          <w:rFonts w:ascii="Times New Roman" w:hAnsi="Times New Roman"/>
          <w:bCs/>
          <w:sz w:val="28"/>
          <w:szCs w:val="28"/>
        </w:rPr>
        <w:t>) с 13,7 до 1,9% (р=0,031) с начала наблюдения к 12 месяцу реабилитационной программы. Из лабораторных показателей нутритивного статуса концентрация общего белка и альбумина также стастически достоверно увеличились (р=0,003). Зарегистрирован прирост массы тела через</w:t>
      </w:r>
      <w:r w:rsidRPr="00D11BAB">
        <w:rPr>
          <w:rFonts w:ascii="Times New Roman" w:hAnsi="Times New Roman"/>
          <w:sz w:val="28"/>
          <w:szCs w:val="28"/>
        </w:rPr>
        <w:t xml:space="preserve"> 6 месяцев на 12,7%, через 9 месяцев на 16,1%, через 12 месяцев на 20,5%.</w:t>
      </w:r>
    </w:p>
    <w:p w14:paraId="769DBCE7" w14:textId="77777777" w:rsidR="00AB0DCB" w:rsidRPr="00D11BAB" w:rsidRDefault="00AB0DCB" w:rsidP="00AB0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В процессе реабилитационных мероприятий происходило улучшение качества жизни больных. У большинства пациентов зарегистрирован ответ на лечение, связанный с качеством жизни, в виде улучшения физического функционирования (р=</w:t>
      </w:r>
      <w:r w:rsidRPr="00D11BAB">
        <w:rPr>
          <w:rFonts w:ascii="Times New Roman" w:hAnsi="Times New Roman"/>
          <w:sz w:val="28"/>
          <w:szCs w:val="28"/>
          <w:lang w:eastAsia="en-US"/>
        </w:rPr>
        <w:t>0,002</w:t>
      </w:r>
      <w:r w:rsidRPr="00D11BAB">
        <w:rPr>
          <w:rFonts w:ascii="Times New Roman" w:hAnsi="Times New Roman"/>
          <w:sz w:val="28"/>
          <w:szCs w:val="28"/>
        </w:rPr>
        <w:t>), эмоционального (р=</w:t>
      </w:r>
      <w:r w:rsidRPr="00D11BAB">
        <w:rPr>
          <w:rFonts w:ascii="Times New Roman" w:hAnsi="Times New Roman"/>
          <w:sz w:val="28"/>
          <w:szCs w:val="28"/>
          <w:lang w:eastAsia="en-US"/>
        </w:rPr>
        <w:t>0,001</w:t>
      </w:r>
      <w:r w:rsidRPr="00D11BAB">
        <w:rPr>
          <w:rFonts w:ascii="Times New Roman" w:hAnsi="Times New Roman"/>
          <w:sz w:val="28"/>
          <w:szCs w:val="28"/>
        </w:rPr>
        <w:t>) и ролевого функционирования р=(</w:t>
      </w:r>
      <w:r w:rsidRPr="00D11BAB">
        <w:rPr>
          <w:rFonts w:ascii="Times New Roman" w:hAnsi="Times New Roman"/>
          <w:sz w:val="28"/>
          <w:szCs w:val="28"/>
          <w:lang w:eastAsia="en-US"/>
        </w:rPr>
        <w:t>0,041</w:t>
      </w:r>
      <w:r w:rsidRPr="00D11BAB">
        <w:rPr>
          <w:rFonts w:ascii="Times New Roman" w:hAnsi="Times New Roman"/>
          <w:sz w:val="28"/>
          <w:szCs w:val="28"/>
        </w:rPr>
        <w:t>), а также отмечено снижение выраженности актуальных симптомов как слабость (р=</w:t>
      </w:r>
      <w:r w:rsidRPr="00D11BAB">
        <w:rPr>
          <w:rFonts w:ascii="Times New Roman" w:hAnsi="Times New Roman"/>
          <w:sz w:val="28"/>
          <w:szCs w:val="28"/>
          <w:lang w:eastAsia="en-US"/>
        </w:rPr>
        <w:t>0,002</w:t>
      </w:r>
      <w:r w:rsidRPr="00D11BAB">
        <w:rPr>
          <w:rFonts w:ascii="Times New Roman" w:hAnsi="Times New Roman"/>
          <w:sz w:val="28"/>
          <w:szCs w:val="28"/>
        </w:rPr>
        <w:t>), диарея (р=</w:t>
      </w:r>
      <w:r w:rsidRPr="00D11BAB">
        <w:rPr>
          <w:rFonts w:ascii="Times New Roman" w:hAnsi="Times New Roman"/>
          <w:sz w:val="28"/>
          <w:szCs w:val="28"/>
          <w:lang w:eastAsia="en-US"/>
        </w:rPr>
        <w:t>0,000</w:t>
      </w:r>
      <w:r w:rsidRPr="00D11BAB">
        <w:rPr>
          <w:rFonts w:ascii="Times New Roman" w:hAnsi="Times New Roman"/>
          <w:sz w:val="28"/>
          <w:szCs w:val="28"/>
        </w:rPr>
        <w:t>), констипация (р=</w:t>
      </w:r>
      <w:r w:rsidRPr="00D11BAB">
        <w:rPr>
          <w:rFonts w:ascii="Times New Roman" w:hAnsi="Times New Roman"/>
          <w:sz w:val="28"/>
          <w:szCs w:val="28"/>
          <w:lang w:eastAsia="en-US"/>
        </w:rPr>
        <w:t>0,000</w:t>
      </w:r>
      <w:r w:rsidRPr="00D11BAB">
        <w:rPr>
          <w:rFonts w:ascii="Times New Roman" w:hAnsi="Times New Roman"/>
          <w:sz w:val="28"/>
          <w:szCs w:val="28"/>
        </w:rPr>
        <w:t>), снижение аппетита (р=</w:t>
      </w:r>
      <w:r w:rsidRPr="00D11BAB">
        <w:rPr>
          <w:rFonts w:ascii="Times New Roman" w:hAnsi="Times New Roman"/>
          <w:sz w:val="28"/>
          <w:szCs w:val="28"/>
          <w:lang w:eastAsia="en-US"/>
        </w:rPr>
        <w:t>0,032</w:t>
      </w:r>
      <w:r w:rsidRPr="00D11BAB">
        <w:rPr>
          <w:rFonts w:ascii="Times New Roman" w:hAnsi="Times New Roman"/>
          <w:sz w:val="28"/>
          <w:szCs w:val="28"/>
        </w:rPr>
        <w:t>), нарушение сна (р=</w:t>
      </w:r>
      <w:r w:rsidRPr="00D11BAB">
        <w:rPr>
          <w:rFonts w:ascii="Times New Roman" w:hAnsi="Times New Roman"/>
          <w:sz w:val="28"/>
          <w:szCs w:val="28"/>
          <w:lang w:eastAsia="en-US"/>
        </w:rPr>
        <w:t>0,000</w:t>
      </w:r>
      <w:r w:rsidRPr="00D11BAB">
        <w:rPr>
          <w:rFonts w:ascii="Times New Roman" w:hAnsi="Times New Roman"/>
          <w:sz w:val="28"/>
          <w:szCs w:val="28"/>
        </w:rPr>
        <w:t>).</w:t>
      </w:r>
    </w:p>
    <w:p w14:paraId="1C64E6E7" w14:textId="15DF376F" w:rsidR="00AB0DCB" w:rsidRDefault="00AB0DCB" w:rsidP="00AB0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D11BAB">
        <w:rPr>
          <w:rFonts w:ascii="Times New Roman" w:hAnsi="Times New Roman"/>
          <w:sz w:val="28"/>
          <w:szCs w:val="28"/>
        </w:rPr>
        <w:t>Проведен сравнительный анализ одногодичной и 3-летней выживаемости больных с функциональными осложнениями (</w:t>
      </w:r>
      <w:r w:rsidRPr="00D11BAB">
        <w:rPr>
          <w:rFonts w:ascii="Times New Roman" w:hAnsi="Times New Roman"/>
          <w:sz w:val="28"/>
          <w:szCs w:val="28"/>
          <w:lang w:val="en-US"/>
        </w:rPr>
        <w:t>n</w:t>
      </w:r>
      <w:r w:rsidRPr="00D11BAB">
        <w:rPr>
          <w:rFonts w:ascii="Times New Roman" w:hAnsi="Times New Roman"/>
          <w:sz w:val="28"/>
          <w:szCs w:val="28"/>
        </w:rPr>
        <w:t>=</w:t>
      </w:r>
      <w:r w:rsidRPr="00D11BAB">
        <w:rPr>
          <w:rFonts w:ascii="Times New Roman" w:hAnsi="Times New Roman"/>
          <w:sz w:val="28"/>
          <w:szCs w:val="28"/>
          <w:lang w:val="kk-KZ"/>
        </w:rPr>
        <w:t>87</w:t>
      </w:r>
      <w:r w:rsidRPr="00D11BAB">
        <w:rPr>
          <w:rFonts w:ascii="Times New Roman" w:hAnsi="Times New Roman"/>
          <w:sz w:val="28"/>
          <w:szCs w:val="28"/>
        </w:rPr>
        <w:t>), получавших лечение в рамках разработанной реабилитационной программы (основная группа), и больных с функциональными осложнениями, которым динамическое наблюдение в реабилитационном периоде проведено по стандартной методике (контрольная группа из ретроспективного этапа исследования) (</w:t>
      </w:r>
      <w:r w:rsidRPr="00D11BAB">
        <w:rPr>
          <w:rFonts w:ascii="Times New Roman" w:hAnsi="Times New Roman"/>
          <w:sz w:val="28"/>
          <w:szCs w:val="28"/>
          <w:lang w:val="en-US"/>
        </w:rPr>
        <w:t>n</w:t>
      </w:r>
      <w:r w:rsidRPr="00D11BAB">
        <w:rPr>
          <w:rFonts w:ascii="Times New Roman" w:hAnsi="Times New Roman"/>
          <w:sz w:val="28"/>
          <w:szCs w:val="28"/>
        </w:rPr>
        <w:t>=</w:t>
      </w:r>
      <w:r w:rsidRPr="00D11BAB">
        <w:rPr>
          <w:rFonts w:ascii="Times New Roman" w:hAnsi="Times New Roman"/>
          <w:sz w:val="28"/>
          <w:szCs w:val="28"/>
          <w:lang w:val="kk-KZ"/>
        </w:rPr>
        <w:t>76</w:t>
      </w:r>
      <w:r w:rsidRPr="00D11BAB">
        <w:rPr>
          <w:rFonts w:ascii="Times New Roman" w:hAnsi="Times New Roman"/>
          <w:sz w:val="28"/>
          <w:szCs w:val="28"/>
        </w:rPr>
        <w:t>). Одногодичная общая выживаемость отмечалась у 86,8% пациентов контрольной группы и у 100% основной группы (</w:t>
      </w:r>
      <w:r w:rsidRPr="00D11BAB">
        <w:rPr>
          <w:rFonts w:ascii="Times New Roman" w:hAnsi="Times New Roman"/>
          <w:sz w:val="28"/>
          <w:szCs w:val="28"/>
          <w:lang w:val="en-US"/>
        </w:rPr>
        <w:t>log</w:t>
      </w:r>
      <w:r w:rsidRPr="00D11BAB">
        <w:rPr>
          <w:rFonts w:ascii="Times New Roman" w:hAnsi="Times New Roman"/>
          <w:sz w:val="28"/>
          <w:szCs w:val="28"/>
        </w:rPr>
        <w:t xml:space="preserve"> </w:t>
      </w:r>
      <w:r w:rsidRPr="00D11BAB">
        <w:rPr>
          <w:rFonts w:ascii="Times New Roman" w:hAnsi="Times New Roman"/>
          <w:sz w:val="28"/>
          <w:szCs w:val="28"/>
          <w:lang w:val="en-US"/>
        </w:rPr>
        <w:t>runk</w:t>
      </w:r>
      <w:r w:rsidRPr="00D11BAB">
        <w:rPr>
          <w:rFonts w:ascii="Times New Roman" w:hAnsi="Times New Roman"/>
          <w:sz w:val="28"/>
          <w:szCs w:val="28"/>
        </w:rPr>
        <w:t xml:space="preserve"> р˂0,05). 3-летняя выживаемость наблюдалась у 59,2% пациентов в контрольной группе и у 78,1% пациентов основной группы (</w:t>
      </w:r>
      <w:r w:rsidRPr="00D11BAB">
        <w:rPr>
          <w:rFonts w:ascii="Times New Roman" w:hAnsi="Times New Roman"/>
          <w:sz w:val="28"/>
          <w:szCs w:val="28"/>
          <w:lang w:val="en-US"/>
        </w:rPr>
        <w:t>log</w:t>
      </w:r>
      <w:r w:rsidRPr="00D11BAB">
        <w:rPr>
          <w:rFonts w:ascii="Times New Roman" w:hAnsi="Times New Roman"/>
          <w:sz w:val="28"/>
          <w:szCs w:val="28"/>
        </w:rPr>
        <w:t xml:space="preserve"> </w:t>
      </w:r>
      <w:r w:rsidRPr="00D11BAB">
        <w:rPr>
          <w:rFonts w:ascii="Times New Roman" w:hAnsi="Times New Roman"/>
          <w:sz w:val="28"/>
          <w:szCs w:val="28"/>
          <w:lang w:val="en-US"/>
        </w:rPr>
        <w:t>runk</w:t>
      </w:r>
      <w:r w:rsidRPr="00D11BAB">
        <w:rPr>
          <w:rFonts w:ascii="Times New Roman" w:hAnsi="Times New Roman"/>
          <w:sz w:val="28"/>
          <w:szCs w:val="28"/>
        </w:rPr>
        <w:t xml:space="preserve"> р˂0,05). Следовательно, риск развития неблагоприятного исхода у больных в основной группе значительно ниже, чем в контрольной группе, что свидетельствует об эффективности реабилитационных мероприятий [247, 248].</w:t>
      </w:r>
    </w:p>
    <w:p w14:paraId="3B6D24BC" w14:textId="77777777" w:rsidR="00DA529D" w:rsidRDefault="00DA529D" w:rsidP="00DA529D">
      <w:pPr>
        <w:tabs>
          <w:tab w:val="left" w:pos="525"/>
          <w:tab w:val="left" w:pos="567"/>
        </w:tabs>
        <w:spacing w:after="0" w:line="240" w:lineRule="auto"/>
        <w:ind w:firstLine="709"/>
        <w:jc w:val="both"/>
        <w:rPr>
          <w:rFonts w:ascii="Times New Roman" w:hAnsi="Times New Roman"/>
          <w:sz w:val="28"/>
          <w:szCs w:val="28"/>
        </w:rPr>
      </w:pPr>
      <w:r>
        <w:rPr>
          <w:rFonts w:ascii="Times New Roman" w:hAnsi="Times New Roman"/>
          <w:sz w:val="28"/>
          <w:szCs w:val="28"/>
        </w:rPr>
        <w:t xml:space="preserve">На основании полученных результатов сформированы следующие </w:t>
      </w:r>
      <w:r>
        <w:rPr>
          <w:rFonts w:ascii="Times New Roman" w:hAnsi="Times New Roman"/>
          <w:b/>
          <w:sz w:val="28"/>
          <w:szCs w:val="28"/>
        </w:rPr>
        <w:t>выводы:</w:t>
      </w:r>
    </w:p>
    <w:p w14:paraId="18C98D7D" w14:textId="77777777" w:rsidR="00AB0DCB" w:rsidRPr="00D11BAB" w:rsidRDefault="00AB0DCB" w:rsidP="00AB0DCB">
      <w:pPr>
        <w:tabs>
          <w:tab w:val="left" w:pos="567"/>
        </w:tabs>
        <w:spacing w:after="0" w:line="240" w:lineRule="auto"/>
        <w:ind w:firstLine="709"/>
        <w:jc w:val="both"/>
        <w:rPr>
          <w:rFonts w:ascii="Times New Roman" w:hAnsi="Times New Roman"/>
          <w:sz w:val="28"/>
          <w:szCs w:val="28"/>
        </w:rPr>
      </w:pPr>
      <w:r w:rsidRPr="00D11BAB">
        <w:rPr>
          <w:rFonts w:ascii="Times New Roman" w:hAnsi="Times New Roman"/>
          <w:sz w:val="28"/>
          <w:szCs w:val="28"/>
          <w:lang w:val="kk-KZ"/>
        </w:rPr>
        <w:t xml:space="preserve">1. На прогноз заболевания неблагоприятное влияние </w:t>
      </w:r>
      <w:r w:rsidRPr="00D11BAB">
        <w:rPr>
          <w:rFonts w:ascii="Times New Roman" w:hAnsi="Times New Roman"/>
          <w:sz w:val="28"/>
          <w:szCs w:val="28"/>
        </w:rPr>
        <w:t>оказывают как демографические факторы (</w:t>
      </w:r>
      <w:r w:rsidRPr="00D11BAB">
        <w:rPr>
          <w:rFonts w:ascii="Times New Roman" w:hAnsi="Times New Roman"/>
          <w:bCs/>
          <w:sz w:val="28"/>
          <w:szCs w:val="28"/>
        </w:rPr>
        <w:t>возраст старше 60 лет</w:t>
      </w:r>
      <w:r w:rsidRPr="00D11BAB">
        <w:rPr>
          <w:rFonts w:ascii="Times New Roman" w:hAnsi="Times New Roman"/>
          <w:sz w:val="28"/>
          <w:szCs w:val="28"/>
        </w:rPr>
        <w:t>), тумор-ассоциированные факторы (</w:t>
      </w:r>
      <w:r w:rsidRPr="00D11BAB">
        <w:rPr>
          <w:rFonts w:ascii="Times New Roman" w:hAnsi="Times New Roman"/>
          <w:bCs/>
          <w:sz w:val="28"/>
          <w:szCs w:val="28"/>
          <w:lang w:val="en-US"/>
        </w:rPr>
        <w:t>III</w:t>
      </w:r>
      <w:r w:rsidRPr="00D11BAB">
        <w:rPr>
          <w:rFonts w:ascii="Times New Roman" w:hAnsi="Times New Roman"/>
          <w:bCs/>
          <w:sz w:val="28"/>
          <w:szCs w:val="28"/>
        </w:rPr>
        <w:t xml:space="preserve"> </w:t>
      </w:r>
      <w:r w:rsidRPr="00D11BAB">
        <w:rPr>
          <w:rFonts w:ascii="Times New Roman" w:hAnsi="Times New Roman"/>
          <w:bCs/>
          <w:sz w:val="28"/>
          <w:szCs w:val="28"/>
          <w:lang w:val="kk-KZ"/>
        </w:rPr>
        <w:t>стадия рака, низкая дифференцировка опухоли</w:t>
      </w:r>
      <w:r w:rsidRPr="00D11BAB">
        <w:rPr>
          <w:rFonts w:ascii="Times New Roman" w:hAnsi="Times New Roman"/>
          <w:sz w:val="28"/>
          <w:szCs w:val="28"/>
        </w:rPr>
        <w:t xml:space="preserve">), так и наличие </w:t>
      </w:r>
      <w:r w:rsidRPr="00D11BAB">
        <w:rPr>
          <w:rFonts w:ascii="Times New Roman" w:hAnsi="Times New Roman"/>
          <w:bCs/>
          <w:sz w:val="28"/>
          <w:szCs w:val="28"/>
        </w:rPr>
        <w:t xml:space="preserve">функциональных осложнений после резекции ободочной кишки  </w:t>
      </w:r>
      <w:r w:rsidRPr="00D11BAB">
        <w:rPr>
          <w:rFonts w:ascii="Times New Roman" w:hAnsi="Times New Roman"/>
          <w:sz w:val="28"/>
          <w:szCs w:val="28"/>
        </w:rPr>
        <w:t xml:space="preserve">сокращая одногодичную </w:t>
      </w:r>
      <w:r w:rsidRPr="00D11BAB">
        <w:rPr>
          <w:rFonts w:ascii="Times New Roman" w:hAnsi="Times New Roman"/>
          <w:sz w:val="28"/>
          <w:szCs w:val="28"/>
          <w:lang w:val="kk-KZ"/>
        </w:rPr>
        <w:t>и 3-летнюю выживаемость.</w:t>
      </w:r>
    </w:p>
    <w:p w14:paraId="0745BE25" w14:textId="77777777" w:rsidR="00AB0DCB" w:rsidRPr="00D11BAB" w:rsidRDefault="00AB0DCB" w:rsidP="00AB0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rPr>
      </w:pPr>
      <w:r w:rsidRPr="00D11BAB">
        <w:rPr>
          <w:rFonts w:ascii="Times New Roman" w:hAnsi="Times New Roman"/>
          <w:sz w:val="28"/>
          <w:szCs w:val="28"/>
        </w:rPr>
        <w:t xml:space="preserve">2. Общая выживаемость больных с функциональными осложнениями составляет к 1 году 86,8% и к 3 годам 59,2%, что ниже чем у больных без функциональных осложнений.    </w:t>
      </w:r>
    </w:p>
    <w:p w14:paraId="199C3ABB" w14:textId="77777777" w:rsidR="00AB0DCB" w:rsidRPr="00D11BAB" w:rsidRDefault="00AB0DCB" w:rsidP="00AB0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rPr>
      </w:pPr>
      <w:r w:rsidRPr="00D11BAB">
        <w:rPr>
          <w:rFonts w:ascii="Times New Roman" w:hAnsi="Times New Roman"/>
          <w:sz w:val="28"/>
          <w:szCs w:val="28"/>
          <w:lang w:val="kk-KZ"/>
        </w:rPr>
        <w:t xml:space="preserve">3. Из 125 больных после хиругического лечения рака ободочной кишки в 58 случаях диагностирована функциональные осложнения в виде синдрома хронической диареи, факторами риска которого определены </w:t>
      </w:r>
      <w:r w:rsidRPr="00D11BAB">
        <w:rPr>
          <w:rFonts w:ascii="Times New Roman" w:hAnsi="Times New Roman"/>
          <w:sz w:val="28"/>
          <w:szCs w:val="28"/>
        </w:rPr>
        <w:t>удаление илеоцекального клапана (</w:t>
      </w:r>
      <w:r w:rsidRPr="00D11BAB">
        <w:rPr>
          <w:rFonts w:ascii="Times New Roman" w:hAnsi="Times New Roman"/>
          <w:bCs/>
          <w:sz w:val="28"/>
          <w:szCs w:val="28"/>
          <w:lang w:val="en-US"/>
        </w:rPr>
        <w:t>RR</w:t>
      </w:r>
      <w:r w:rsidRPr="00D11BAB">
        <w:rPr>
          <w:rFonts w:ascii="Times New Roman" w:hAnsi="Times New Roman"/>
          <w:bCs/>
          <w:sz w:val="28"/>
          <w:szCs w:val="28"/>
        </w:rPr>
        <w:t xml:space="preserve"> 1,6 ДИ 95% [1,23-2,10], р=0,006</w:t>
      </w:r>
      <w:r w:rsidRPr="00D11BAB">
        <w:rPr>
          <w:rFonts w:ascii="Times New Roman" w:hAnsi="Times New Roman"/>
          <w:sz w:val="28"/>
          <w:szCs w:val="28"/>
        </w:rPr>
        <w:t xml:space="preserve">) и формирование стомы (илео-, колостомы) </w:t>
      </w:r>
      <w:r w:rsidRPr="00D11BAB">
        <w:rPr>
          <w:rFonts w:ascii="Times New Roman" w:hAnsi="Times New Roman"/>
          <w:bCs/>
          <w:sz w:val="28"/>
          <w:szCs w:val="28"/>
        </w:rPr>
        <w:t>(</w:t>
      </w:r>
      <w:r w:rsidRPr="00D11BAB">
        <w:rPr>
          <w:rFonts w:ascii="Times New Roman" w:hAnsi="Times New Roman"/>
          <w:bCs/>
          <w:sz w:val="28"/>
          <w:szCs w:val="28"/>
          <w:lang w:val="en-US"/>
        </w:rPr>
        <w:t>RR</w:t>
      </w:r>
      <w:r w:rsidRPr="00D11BAB">
        <w:rPr>
          <w:rFonts w:ascii="Times New Roman" w:hAnsi="Times New Roman"/>
          <w:bCs/>
          <w:sz w:val="28"/>
          <w:szCs w:val="28"/>
        </w:rPr>
        <w:t xml:space="preserve"> 1</w:t>
      </w:r>
      <w:r w:rsidRPr="00D11BAB">
        <w:rPr>
          <w:rFonts w:ascii="Times New Roman" w:hAnsi="Times New Roman"/>
          <w:bCs/>
          <w:sz w:val="28"/>
          <w:szCs w:val="28"/>
          <w:lang w:val="kk-KZ"/>
        </w:rPr>
        <w:t xml:space="preserve">,4 </w:t>
      </w:r>
      <w:r w:rsidRPr="00D11BAB">
        <w:rPr>
          <w:rFonts w:ascii="Times New Roman" w:hAnsi="Times New Roman"/>
          <w:bCs/>
          <w:sz w:val="28"/>
          <w:szCs w:val="28"/>
        </w:rPr>
        <w:t>ДИ 95% [1,073-1,902], р=0,002</w:t>
      </w:r>
      <w:r w:rsidRPr="00D11BAB">
        <w:rPr>
          <w:rFonts w:ascii="Times New Roman" w:hAnsi="Times New Roman"/>
          <w:sz w:val="28"/>
          <w:szCs w:val="28"/>
        </w:rPr>
        <w:t>). Во всех случаях функциональные осложнения сопровождаются количественными и качественными изменениями микробиоты кишечника, электролитными нарушениями и нутритивной недостаточностью.</w:t>
      </w:r>
    </w:p>
    <w:p w14:paraId="1985CEA2" w14:textId="77777777" w:rsidR="00AB0DCB" w:rsidRPr="00AB0DCB" w:rsidRDefault="00AB0DCB" w:rsidP="00AB0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rPr>
      </w:pPr>
      <w:r w:rsidRPr="00D11BAB">
        <w:rPr>
          <w:rFonts w:ascii="Times New Roman" w:hAnsi="Times New Roman"/>
          <w:sz w:val="28"/>
          <w:szCs w:val="28"/>
        </w:rPr>
        <w:lastRenderedPageBreak/>
        <w:t xml:space="preserve">4. Электролитные нарушения диагностированы в 63,2% случаях и представлены </w:t>
      </w:r>
      <w:proofErr w:type="spellStart"/>
      <w:r w:rsidRPr="00D11BAB">
        <w:rPr>
          <w:rFonts w:ascii="Times New Roman" w:hAnsi="Times New Roman"/>
          <w:sz w:val="28"/>
          <w:szCs w:val="28"/>
        </w:rPr>
        <w:t>гипонатриемией</w:t>
      </w:r>
      <w:proofErr w:type="spellEnd"/>
      <w:r w:rsidRPr="00D11BAB">
        <w:rPr>
          <w:rFonts w:ascii="Times New Roman" w:hAnsi="Times New Roman"/>
          <w:sz w:val="28"/>
          <w:szCs w:val="28"/>
        </w:rPr>
        <w:t xml:space="preserve"> -32,9%, гипокалиемией-27,8%, </w:t>
      </w:r>
      <w:proofErr w:type="spellStart"/>
      <w:r w:rsidRPr="00D11BAB">
        <w:rPr>
          <w:rFonts w:ascii="Times New Roman" w:hAnsi="Times New Roman"/>
          <w:sz w:val="28"/>
          <w:szCs w:val="28"/>
        </w:rPr>
        <w:t>гипохлоремией</w:t>
      </w:r>
      <w:proofErr w:type="spellEnd"/>
      <w:r w:rsidRPr="00D11BAB">
        <w:rPr>
          <w:rFonts w:ascii="Times New Roman" w:hAnsi="Times New Roman"/>
          <w:sz w:val="28"/>
          <w:szCs w:val="28"/>
        </w:rPr>
        <w:t xml:space="preserve"> -17,7% и </w:t>
      </w:r>
      <w:proofErr w:type="spellStart"/>
      <w:r w:rsidRPr="00D11BAB">
        <w:rPr>
          <w:rFonts w:ascii="Times New Roman" w:hAnsi="Times New Roman"/>
          <w:sz w:val="28"/>
          <w:szCs w:val="28"/>
        </w:rPr>
        <w:t>гипомагниемией</w:t>
      </w:r>
      <w:proofErr w:type="spellEnd"/>
      <w:r w:rsidRPr="00D11BAB">
        <w:rPr>
          <w:rFonts w:ascii="Times New Roman" w:hAnsi="Times New Roman"/>
          <w:sz w:val="28"/>
          <w:szCs w:val="28"/>
        </w:rPr>
        <w:t xml:space="preserve"> – 8,8%. К факторам риска электролитных нарушений у данной категории больных были отнесены </w:t>
      </w:r>
      <w:r w:rsidRPr="00D11BAB">
        <w:rPr>
          <w:rFonts w:ascii="Times New Roman" w:hAnsi="Times New Roman"/>
          <w:sz w:val="28"/>
          <w:szCs w:val="28"/>
          <w:lang w:val="en-US"/>
        </w:rPr>
        <w:t>III</w:t>
      </w:r>
      <w:r w:rsidRPr="00D11BAB">
        <w:rPr>
          <w:rFonts w:ascii="Times New Roman" w:hAnsi="Times New Roman"/>
          <w:sz w:val="28"/>
          <w:szCs w:val="28"/>
        </w:rPr>
        <w:t xml:space="preserve"> стадия (</w:t>
      </w:r>
      <w:r w:rsidRPr="00D11BAB">
        <w:rPr>
          <w:rFonts w:ascii="Times New Roman" w:hAnsi="Times New Roman"/>
          <w:sz w:val="28"/>
          <w:szCs w:val="28"/>
          <w:lang w:val="en-US"/>
        </w:rPr>
        <w:t>RR</w:t>
      </w:r>
      <w:r w:rsidRPr="00D11BAB">
        <w:rPr>
          <w:rFonts w:ascii="Times New Roman" w:hAnsi="Times New Roman"/>
          <w:sz w:val="28"/>
          <w:szCs w:val="28"/>
        </w:rPr>
        <w:t xml:space="preserve"> 1,764 ДИ </w:t>
      </w:r>
      <w:r w:rsidRPr="00D11BAB">
        <w:rPr>
          <w:rFonts w:ascii="Times New Roman" w:hAnsi="Times New Roman"/>
          <w:sz w:val="28"/>
          <w:szCs w:val="28"/>
          <w:lang w:val="kk-KZ"/>
        </w:rPr>
        <w:t xml:space="preserve">95 % </w:t>
      </w:r>
      <w:r w:rsidRPr="00D11BAB">
        <w:rPr>
          <w:rFonts w:ascii="Times New Roman" w:hAnsi="Times New Roman"/>
          <w:sz w:val="28"/>
          <w:szCs w:val="28"/>
        </w:rPr>
        <w:t>[1,347-2,310]), правосторонняя гемиколэктомия (</w:t>
      </w:r>
      <w:r w:rsidRPr="00D11BAB">
        <w:rPr>
          <w:rFonts w:ascii="Times New Roman" w:hAnsi="Times New Roman"/>
          <w:sz w:val="28"/>
          <w:szCs w:val="28"/>
          <w:lang w:val="en-US"/>
        </w:rPr>
        <w:t>RR</w:t>
      </w:r>
      <w:r w:rsidRPr="00D11BAB">
        <w:rPr>
          <w:rFonts w:ascii="Times New Roman" w:hAnsi="Times New Roman"/>
          <w:sz w:val="28"/>
          <w:szCs w:val="28"/>
        </w:rPr>
        <w:t xml:space="preserve">1,611ДИ </w:t>
      </w:r>
      <w:r w:rsidRPr="00D11BAB">
        <w:rPr>
          <w:rFonts w:ascii="Times New Roman" w:hAnsi="Times New Roman"/>
          <w:sz w:val="28"/>
          <w:szCs w:val="28"/>
          <w:lang w:val="kk-KZ"/>
        </w:rPr>
        <w:t xml:space="preserve">95 % </w:t>
      </w:r>
      <w:r w:rsidRPr="00D11BAB">
        <w:rPr>
          <w:rFonts w:ascii="Times New Roman" w:hAnsi="Times New Roman"/>
          <w:sz w:val="28"/>
          <w:szCs w:val="28"/>
        </w:rPr>
        <w:t>[1,234-2,103]), резекция кишечника с формирование стомы (</w:t>
      </w:r>
      <w:r w:rsidRPr="00D11BAB">
        <w:rPr>
          <w:rFonts w:ascii="Times New Roman" w:hAnsi="Times New Roman"/>
          <w:sz w:val="28"/>
          <w:szCs w:val="28"/>
          <w:lang w:val="en-US"/>
        </w:rPr>
        <w:t>RR</w:t>
      </w:r>
      <w:r w:rsidRPr="00D11BAB">
        <w:rPr>
          <w:rFonts w:ascii="Times New Roman" w:hAnsi="Times New Roman"/>
          <w:sz w:val="28"/>
          <w:szCs w:val="28"/>
        </w:rPr>
        <w:t>1,364ДИ</w:t>
      </w:r>
      <w:r w:rsidRPr="00D11BAB">
        <w:rPr>
          <w:rFonts w:ascii="Times New Roman" w:hAnsi="Times New Roman"/>
          <w:sz w:val="28"/>
          <w:szCs w:val="28"/>
          <w:lang w:val="kk-KZ"/>
        </w:rPr>
        <w:t>95%</w:t>
      </w:r>
      <w:r w:rsidRPr="00D11BAB">
        <w:rPr>
          <w:rFonts w:ascii="Times New Roman" w:hAnsi="Times New Roman"/>
          <w:sz w:val="28"/>
          <w:szCs w:val="28"/>
        </w:rPr>
        <w:t>[1,014-1,836]), вторичный энтероколит (</w:t>
      </w:r>
      <w:r w:rsidRPr="00D11BAB">
        <w:rPr>
          <w:rFonts w:ascii="Times New Roman" w:hAnsi="Times New Roman"/>
          <w:sz w:val="28"/>
          <w:szCs w:val="28"/>
          <w:lang w:val="en-US"/>
        </w:rPr>
        <w:t>RR</w:t>
      </w:r>
      <w:r w:rsidRPr="00D11BAB">
        <w:rPr>
          <w:rFonts w:ascii="Times New Roman" w:hAnsi="Times New Roman"/>
          <w:sz w:val="28"/>
          <w:szCs w:val="28"/>
        </w:rPr>
        <w:t xml:space="preserve"> 1,832 ДИ </w:t>
      </w:r>
      <w:r w:rsidRPr="00D11BAB">
        <w:rPr>
          <w:rFonts w:ascii="Times New Roman" w:hAnsi="Times New Roman"/>
          <w:sz w:val="28"/>
          <w:szCs w:val="28"/>
          <w:lang w:val="kk-KZ"/>
        </w:rPr>
        <w:t xml:space="preserve">95 % </w:t>
      </w:r>
      <w:r w:rsidRPr="00D11BAB">
        <w:rPr>
          <w:rFonts w:ascii="Times New Roman" w:hAnsi="Times New Roman"/>
          <w:sz w:val="28"/>
          <w:szCs w:val="28"/>
        </w:rPr>
        <w:t>[1,352-2,483]), сопутствующая сердечно-сосудистая патология (</w:t>
      </w:r>
      <w:r w:rsidRPr="00D11BAB">
        <w:rPr>
          <w:rFonts w:ascii="Times New Roman" w:hAnsi="Times New Roman"/>
          <w:sz w:val="28"/>
          <w:szCs w:val="28"/>
          <w:lang w:val="en-US"/>
        </w:rPr>
        <w:t>RR</w:t>
      </w:r>
      <w:r w:rsidRPr="00D11BAB">
        <w:rPr>
          <w:rFonts w:ascii="Times New Roman" w:hAnsi="Times New Roman"/>
          <w:sz w:val="28"/>
          <w:szCs w:val="28"/>
        </w:rPr>
        <w:t xml:space="preserve"> 1,442 ДИ </w:t>
      </w:r>
      <w:r w:rsidRPr="00D11BAB">
        <w:rPr>
          <w:rFonts w:ascii="Times New Roman" w:hAnsi="Times New Roman"/>
          <w:sz w:val="28"/>
          <w:szCs w:val="28"/>
          <w:lang w:val="kk-KZ"/>
        </w:rPr>
        <w:t>95 %</w:t>
      </w:r>
      <w:r w:rsidRPr="00D11BAB">
        <w:rPr>
          <w:rFonts w:ascii="Times New Roman" w:hAnsi="Times New Roman"/>
          <w:sz w:val="28"/>
          <w:szCs w:val="28"/>
        </w:rPr>
        <w:t>[1,090-1,908]) и сахарный диабет (</w:t>
      </w:r>
      <w:r w:rsidRPr="00D11BAB">
        <w:rPr>
          <w:rFonts w:ascii="Times New Roman" w:hAnsi="Times New Roman"/>
          <w:sz w:val="28"/>
          <w:szCs w:val="28"/>
          <w:lang w:val="en-US"/>
        </w:rPr>
        <w:t>RR</w:t>
      </w:r>
      <w:r w:rsidRPr="00D11BAB">
        <w:rPr>
          <w:rFonts w:ascii="Times New Roman" w:hAnsi="Times New Roman"/>
          <w:sz w:val="28"/>
          <w:szCs w:val="28"/>
        </w:rPr>
        <w:t xml:space="preserve"> 1,588 ДИ </w:t>
      </w:r>
      <w:r w:rsidRPr="00D11BAB">
        <w:rPr>
          <w:rFonts w:ascii="Times New Roman" w:hAnsi="Times New Roman"/>
          <w:sz w:val="28"/>
          <w:szCs w:val="28"/>
          <w:lang w:val="kk-KZ"/>
        </w:rPr>
        <w:t xml:space="preserve">95 % </w:t>
      </w:r>
      <w:r w:rsidRPr="00D11BAB">
        <w:rPr>
          <w:rFonts w:ascii="Times New Roman" w:hAnsi="Times New Roman"/>
          <w:sz w:val="28"/>
          <w:szCs w:val="28"/>
        </w:rPr>
        <w:t>[1,247-2,023]). Нутритивная недостаточность определена у 40,8% случаях с преобладанием отчетливого истощения.</w:t>
      </w:r>
    </w:p>
    <w:p w14:paraId="3D54E741" w14:textId="77777777" w:rsidR="00AB0DCB" w:rsidRPr="00D11BAB" w:rsidRDefault="00AB0DCB" w:rsidP="00AB0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rPr>
      </w:pPr>
      <w:r w:rsidRPr="00D11BAB">
        <w:rPr>
          <w:rFonts w:ascii="Times New Roman" w:hAnsi="Times New Roman"/>
          <w:sz w:val="28"/>
          <w:szCs w:val="28"/>
        </w:rPr>
        <w:t xml:space="preserve">5. </w:t>
      </w:r>
      <w:r w:rsidRPr="00D11BAB">
        <w:rPr>
          <w:rFonts w:ascii="Times New Roman" w:hAnsi="Times New Roman"/>
          <w:sz w:val="28"/>
          <w:szCs w:val="28"/>
          <w:lang w:val="kk-KZ"/>
        </w:rPr>
        <w:t xml:space="preserve">В результате реабилитационных мероприятий отмечено купирование актуальных симптомов: </w:t>
      </w:r>
      <w:r w:rsidRPr="00D11BAB">
        <w:rPr>
          <w:rFonts w:ascii="Times New Roman" w:hAnsi="Times New Roman"/>
          <w:sz w:val="28"/>
          <w:szCs w:val="28"/>
        </w:rPr>
        <w:t>урежение стула (</w:t>
      </w:r>
      <w:r w:rsidRPr="00D11BAB">
        <w:rPr>
          <w:rFonts w:ascii="Times New Roman" w:hAnsi="Times New Roman"/>
          <w:bCs/>
          <w:sz w:val="28"/>
          <w:szCs w:val="28"/>
          <w:lang w:val="en-US"/>
        </w:rPr>
        <w:t>p</w:t>
      </w:r>
      <w:r w:rsidRPr="00D11BAB">
        <w:rPr>
          <w:rFonts w:ascii="Times New Roman" w:hAnsi="Times New Roman"/>
          <w:bCs/>
          <w:sz w:val="28"/>
          <w:szCs w:val="28"/>
        </w:rPr>
        <w:t>=0,001</w:t>
      </w:r>
      <w:r w:rsidRPr="00D11BAB">
        <w:rPr>
          <w:rFonts w:ascii="Times New Roman" w:hAnsi="Times New Roman"/>
          <w:sz w:val="28"/>
          <w:szCs w:val="28"/>
        </w:rPr>
        <w:t xml:space="preserve">), нормализация </w:t>
      </w:r>
      <w:r w:rsidRPr="00D11BAB">
        <w:rPr>
          <w:rFonts w:ascii="Times New Roman" w:hAnsi="Times New Roman"/>
          <w:sz w:val="28"/>
          <w:szCs w:val="28"/>
          <w:lang w:val="kk-KZ"/>
        </w:rPr>
        <w:t xml:space="preserve">консистенции стула </w:t>
      </w:r>
      <w:r w:rsidRPr="00D11BAB">
        <w:rPr>
          <w:rFonts w:ascii="Times New Roman" w:hAnsi="Times New Roman"/>
          <w:sz w:val="28"/>
          <w:szCs w:val="28"/>
          <w:lang w:val="en-US"/>
        </w:rPr>
        <w:t>BSF</w:t>
      </w:r>
      <w:r w:rsidRPr="00D11BAB">
        <w:rPr>
          <w:rFonts w:ascii="Times New Roman" w:hAnsi="Times New Roman"/>
          <w:sz w:val="28"/>
          <w:szCs w:val="28"/>
        </w:rPr>
        <w:t xml:space="preserve"> 6-7 (</w:t>
      </w:r>
      <w:r w:rsidRPr="00D11BAB">
        <w:rPr>
          <w:rFonts w:ascii="Times New Roman" w:hAnsi="Times New Roman"/>
          <w:bCs/>
          <w:sz w:val="28"/>
          <w:szCs w:val="28"/>
          <w:lang w:val="en-US"/>
        </w:rPr>
        <w:t>p</w:t>
      </w:r>
      <w:r w:rsidRPr="00D11BAB">
        <w:rPr>
          <w:rFonts w:ascii="Times New Roman" w:hAnsi="Times New Roman"/>
          <w:bCs/>
          <w:sz w:val="28"/>
          <w:szCs w:val="28"/>
        </w:rPr>
        <w:t>=0,001</w:t>
      </w:r>
      <w:r w:rsidRPr="00D11BAB">
        <w:rPr>
          <w:rFonts w:ascii="Times New Roman" w:hAnsi="Times New Roman"/>
          <w:sz w:val="28"/>
          <w:szCs w:val="28"/>
        </w:rPr>
        <w:t>), недержание кала (</w:t>
      </w:r>
      <w:r w:rsidRPr="00D11BAB">
        <w:rPr>
          <w:rFonts w:ascii="Times New Roman" w:hAnsi="Times New Roman"/>
          <w:bCs/>
          <w:sz w:val="28"/>
          <w:szCs w:val="28"/>
          <w:lang w:val="en-US"/>
        </w:rPr>
        <w:t>p</w:t>
      </w:r>
      <w:r w:rsidRPr="00D11BAB">
        <w:rPr>
          <w:rFonts w:ascii="Times New Roman" w:hAnsi="Times New Roman"/>
          <w:bCs/>
          <w:sz w:val="28"/>
          <w:szCs w:val="28"/>
        </w:rPr>
        <w:t>=0,001</w:t>
      </w:r>
      <w:r w:rsidRPr="00D11BAB">
        <w:rPr>
          <w:rFonts w:ascii="Times New Roman" w:hAnsi="Times New Roman"/>
          <w:sz w:val="28"/>
          <w:szCs w:val="28"/>
        </w:rPr>
        <w:t>), метеоризм (</w:t>
      </w:r>
      <w:r w:rsidRPr="00D11BAB">
        <w:rPr>
          <w:rFonts w:ascii="Times New Roman" w:hAnsi="Times New Roman"/>
          <w:bCs/>
          <w:sz w:val="28"/>
          <w:szCs w:val="28"/>
          <w:lang w:val="en-US"/>
        </w:rPr>
        <w:t>p</w:t>
      </w:r>
      <w:r w:rsidRPr="00D11BAB">
        <w:rPr>
          <w:rFonts w:ascii="Times New Roman" w:hAnsi="Times New Roman"/>
          <w:bCs/>
          <w:sz w:val="28"/>
          <w:szCs w:val="28"/>
        </w:rPr>
        <w:t>=0,001</w:t>
      </w:r>
      <w:r w:rsidRPr="00D11BAB">
        <w:rPr>
          <w:rFonts w:ascii="Times New Roman" w:hAnsi="Times New Roman"/>
          <w:sz w:val="28"/>
          <w:szCs w:val="28"/>
        </w:rPr>
        <w:t>), тенезмы (</w:t>
      </w:r>
      <w:r w:rsidRPr="00D11BAB">
        <w:rPr>
          <w:rFonts w:ascii="Times New Roman" w:hAnsi="Times New Roman"/>
          <w:bCs/>
          <w:sz w:val="28"/>
          <w:szCs w:val="28"/>
          <w:lang w:val="en-US"/>
        </w:rPr>
        <w:t>p</w:t>
      </w:r>
      <w:r w:rsidRPr="00D11BAB">
        <w:rPr>
          <w:rFonts w:ascii="Times New Roman" w:hAnsi="Times New Roman"/>
          <w:bCs/>
          <w:sz w:val="28"/>
          <w:szCs w:val="28"/>
        </w:rPr>
        <w:t>=0,001</w:t>
      </w:r>
      <w:r w:rsidRPr="00D11BAB">
        <w:rPr>
          <w:rFonts w:ascii="Times New Roman" w:hAnsi="Times New Roman"/>
          <w:sz w:val="28"/>
          <w:szCs w:val="28"/>
        </w:rPr>
        <w:t xml:space="preserve">). Нормализация электролитного баланса определено в </w:t>
      </w:r>
      <w:r w:rsidRPr="00D11BAB">
        <w:rPr>
          <w:rFonts w:ascii="Times New Roman" w:hAnsi="Times New Roman"/>
          <w:bCs/>
          <w:sz w:val="28"/>
          <w:szCs w:val="28"/>
        </w:rPr>
        <w:t>81%</w:t>
      </w:r>
      <w:r w:rsidRPr="00D11BAB">
        <w:rPr>
          <w:rFonts w:ascii="Times New Roman" w:hAnsi="Times New Roman"/>
          <w:sz w:val="28"/>
          <w:szCs w:val="28"/>
        </w:rPr>
        <w:t xml:space="preserve">. Отмечен прирост массы тела к 12 месяцу на </w:t>
      </w:r>
      <w:r w:rsidRPr="00D11BAB">
        <w:rPr>
          <w:rFonts w:ascii="Times New Roman" w:hAnsi="Times New Roman"/>
          <w:bCs/>
          <w:sz w:val="28"/>
          <w:szCs w:val="28"/>
        </w:rPr>
        <w:t>20,5%</w:t>
      </w:r>
      <w:r w:rsidRPr="00D11BAB">
        <w:rPr>
          <w:rFonts w:ascii="Times New Roman" w:hAnsi="Times New Roman"/>
          <w:sz w:val="28"/>
          <w:szCs w:val="28"/>
        </w:rPr>
        <w:t>. Улучшение КЖ по шкалам физическое функционирование (р=0,002), эмоциональное (р=0,001) и ролевое функционирование р=(0,041) и снижение выраженности симптоматической шкалы (р˂0,05).</w:t>
      </w:r>
    </w:p>
    <w:p w14:paraId="55662D21" w14:textId="77777777" w:rsidR="00DA529D" w:rsidRDefault="00AB0DCB" w:rsidP="00DA52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rPr>
      </w:pPr>
      <w:r w:rsidRPr="00D11BAB">
        <w:rPr>
          <w:rFonts w:ascii="Times New Roman" w:hAnsi="Times New Roman"/>
          <w:sz w:val="28"/>
          <w:szCs w:val="28"/>
        </w:rPr>
        <w:t>6. В результате реабилитационных мероприятий отмечено увеличение общей одногодичной (</w:t>
      </w:r>
      <w:r w:rsidRPr="00D11BAB">
        <w:rPr>
          <w:rFonts w:ascii="Times New Roman" w:hAnsi="Times New Roman"/>
          <w:bCs/>
          <w:sz w:val="28"/>
          <w:szCs w:val="28"/>
          <w:lang w:val="en-US"/>
        </w:rPr>
        <w:t>log</w:t>
      </w:r>
      <w:r w:rsidRPr="00D11BAB">
        <w:rPr>
          <w:rFonts w:ascii="Times New Roman" w:hAnsi="Times New Roman"/>
          <w:bCs/>
          <w:sz w:val="28"/>
          <w:szCs w:val="28"/>
        </w:rPr>
        <w:t xml:space="preserve"> </w:t>
      </w:r>
      <w:r w:rsidRPr="00D11BAB">
        <w:rPr>
          <w:rFonts w:ascii="Times New Roman" w:hAnsi="Times New Roman"/>
          <w:bCs/>
          <w:sz w:val="28"/>
          <w:szCs w:val="28"/>
          <w:lang w:val="en-US"/>
        </w:rPr>
        <w:t>runk</w:t>
      </w:r>
      <w:r w:rsidRPr="00D11BAB">
        <w:rPr>
          <w:rFonts w:ascii="Times New Roman" w:hAnsi="Times New Roman"/>
          <w:bCs/>
          <w:sz w:val="28"/>
          <w:szCs w:val="28"/>
        </w:rPr>
        <w:t xml:space="preserve"> р˂0,05</w:t>
      </w:r>
      <w:r w:rsidRPr="00D11BAB">
        <w:rPr>
          <w:rFonts w:ascii="Times New Roman" w:hAnsi="Times New Roman"/>
          <w:sz w:val="28"/>
          <w:szCs w:val="28"/>
        </w:rPr>
        <w:t>) и 3-летней выживаемости (</w:t>
      </w:r>
      <w:r w:rsidRPr="00D11BAB">
        <w:rPr>
          <w:rFonts w:ascii="Times New Roman" w:hAnsi="Times New Roman"/>
          <w:bCs/>
          <w:sz w:val="28"/>
          <w:szCs w:val="28"/>
          <w:lang w:val="en-US"/>
        </w:rPr>
        <w:t>log</w:t>
      </w:r>
      <w:r w:rsidRPr="00D11BAB">
        <w:rPr>
          <w:rFonts w:ascii="Times New Roman" w:hAnsi="Times New Roman"/>
          <w:bCs/>
          <w:sz w:val="28"/>
          <w:szCs w:val="28"/>
        </w:rPr>
        <w:t xml:space="preserve"> </w:t>
      </w:r>
      <w:r w:rsidRPr="00D11BAB">
        <w:rPr>
          <w:rFonts w:ascii="Times New Roman" w:hAnsi="Times New Roman"/>
          <w:bCs/>
          <w:sz w:val="28"/>
          <w:szCs w:val="28"/>
          <w:lang w:val="en-US"/>
        </w:rPr>
        <w:t>runk</w:t>
      </w:r>
      <w:r w:rsidRPr="00D11BAB">
        <w:rPr>
          <w:rFonts w:ascii="Times New Roman" w:hAnsi="Times New Roman"/>
          <w:bCs/>
          <w:sz w:val="28"/>
          <w:szCs w:val="28"/>
        </w:rPr>
        <w:t xml:space="preserve"> р˂0,05</w:t>
      </w:r>
      <w:r w:rsidRPr="00D11BAB">
        <w:rPr>
          <w:rFonts w:ascii="Times New Roman" w:hAnsi="Times New Roman"/>
          <w:sz w:val="28"/>
          <w:szCs w:val="28"/>
        </w:rPr>
        <w:t xml:space="preserve">). </w:t>
      </w:r>
    </w:p>
    <w:p w14:paraId="620ACB5C" w14:textId="0FD40F93" w:rsidR="00AB0DCB" w:rsidRPr="00A563F8" w:rsidRDefault="00AB0DCB" w:rsidP="00DA52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
          <w:bCs/>
          <w:iCs/>
          <w:caps/>
          <w:sz w:val="28"/>
          <w:szCs w:val="28"/>
        </w:rPr>
      </w:pPr>
      <w:r w:rsidRPr="00A563F8">
        <w:rPr>
          <w:rFonts w:ascii="Times New Roman" w:hAnsi="Times New Roman"/>
          <w:b/>
          <w:bCs/>
          <w:iCs/>
          <w:caps/>
          <w:sz w:val="28"/>
          <w:szCs w:val="28"/>
        </w:rPr>
        <w:t>Практические рекомендации:</w:t>
      </w:r>
    </w:p>
    <w:p w14:paraId="53287E22" w14:textId="77777777" w:rsidR="00AB0DCB" w:rsidRPr="00D11BAB" w:rsidRDefault="00AB0DCB" w:rsidP="00AB0DCB">
      <w:pPr>
        <w:pStyle w:val="a6"/>
        <w:numPr>
          <w:ilvl w:val="0"/>
          <w:numId w:val="5"/>
        </w:numPr>
        <w:tabs>
          <w:tab w:val="left" w:pos="916"/>
          <w:tab w:val="left" w:pos="1134"/>
          <w:tab w:val="left" w:pos="127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jc w:val="both"/>
        <w:rPr>
          <w:rFonts w:ascii="Times New Roman" w:hAnsi="Times New Roman"/>
          <w:sz w:val="28"/>
          <w:szCs w:val="28"/>
        </w:rPr>
      </w:pPr>
      <w:r w:rsidRPr="00D11BAB">
        <w:rPr>
          <w:rFonts w:ascii="Times New Roman" w:hAnsi="Times New Roman"/>
          <w:sz w:val="28"/>
          <w:szCs w:val="28"/>
        </w:rPr>
        <w:t xml:space="preserve">Рекомендовано наблюдение и реабилитация больных после хирургического лечения рака ободочной кишки, в частности больных после правосторонней гемиколэктомии с удалением илеоцекального угла и формирования стомы </w:t>
      </w:r>
      <w:r w:rsidRPr="00D11BAB">
        <w:rPr>
          <w:rFonts w:ascii="Times New Roman" w:hAnsi="Times New Roman"/>
          <w:bCs/>
          <w:sz w:val="28"/>
          <w:szCs w:val="28"/>
        </w:rPr>
        <w:t>между 3-и 6 месяцами</w:t>
      </w:r>
      <w:r w:rsidRPr="00D11BAB">
        <w:rPr>
          <w:rFonts w:ascii="Times New Roman" w:hAnsi="Times New Roman"/>
          <w:b/>
          <w:bCs/>
          <w:sz w:val="28"/>
          <w:szCs w:val="28"/>
        </w:rPr>
        <w:t xml:space="preserve"> </w:t>
      </w:r>
      <w:r w:rsidRPr="00D11BAB">
        <w:rPr>
          <w:rFonts w:ascii="Times New Roman" w:hAnsi="Times New Roman"/>
          <w:sz w:val="28"/>
          <w:szCs w:val="28"/>
        </w:rPr>
        <w:t xml:space="preserve">после хирургического лечения. </w:t>
      </w:r>
    </w:p>
    <w:p w14:paraId="537BC5E7" w14:textId="77777777" w:rsidR="00AB0DCB" w:rsidRPr="00D11BAB" w:rsidRDefault="00AB0DCB" w:rsidP="00AB0DCB">
      <w:pPr>
        <w:pStyle w:val="a6"/>
        <w:numPr>
          <w:ilvl w:val="0"/>
          <w:numId w:val="5"/>
        </w:numPr>
        <w:tabs>
          <w:tab w:val="left" w:pos="916"/>
          <w:tab w:val="left" w:pos="1134"/>
          <w:tab w:val="left" w:pos="127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hAnsi="Times New Roman"/>
          <w:sz w:val="28"/>
          <w:szCs w:val="28"/>
        </w:rPr>
      </w:pPr>
      <w:r w:rsidRPr="00D11BAB">
        <w:rPr>
          <w:rFonts w:ascii="Times New Roman" w:hAnsi="Times New Roman"/>
          <w:sz w:val="28"/>
          <w:szCs w:val="28"/>
        </w:rPr>
        <w:t xml:space="preserve">При наблюдении больных рекомендован мониторинг частоты и консистенции стула по шкале </w:t>
      </w:r>
      <w:r w:rsidRPr="00D11BAB">
        <w:rPr>
          <w:rFonts w:ascii="Times New Roman" w:hAnsi="Times New Roman"/>
          <w:sz w:val="28"/>
          <w:szCs w:val="28"/>
          <w:lang w:val="en-US"/>
        </w:rPr>
        <w:t>BSF</w:t>
      </w:r>
      <w:r w:rsidRPr="00D11BAB">
        <w:rPr>
          <w:rFonts w:ascii="Times New Roman" w:hAnsi="Times New Roman"/>
          <w:sz w:val="28"/>
          <w:szCs w:val="28"/>
        </w:rPr>
        <w:t xml:space="preserve">, микробиологический анализ кала, ИМТ, % снижения массы тела, белковой фракции сыворотки крови, электролитов крови.  </w:t>
      </w:r>
    </w:p>
    <w:p w14:paraId="4E6409CE" w14:textId="77777777" w:rsidR="00AB0DCB" w:rsidRPr="00D11BAB" w:rsidRDefault="00AB0DCB" w:rsidP="00AB0DCB">
      <w:pPr>
        <w:pStyle w:val="a6"/>
        <w:numPr>
          <w:ilvl w:val="0"/>
          <w:numId w:val="5"/>
        </w:numPr>
        <w:tabs>
          <w:tab w:val="left" w:pos="916"/>
          <w:tab w:val="left" w:pos="1134"/>
          <w:tab w:val="left" w:pos="127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hAnsi="Times New Roman"/>
          <w:sz w:val="28"/>
          <w:szCs w:val="28"/>
        </w:rPr>
      </w:pPr>
      <w:r w:rsidRPr="00D11BAB">
        <w:rPr>
          <w:rFonts w:ascii="Times New Roman" w:hAnsi="Times New Roman"/>
          <w:sz w:val="28"/>
          <w:szCs w:val="28"/>
        </w:rPr>
        <w:t xml:space="preserve">Рекомендовано в составе комплексной реабилитации применять диету с низким содержанием </w:t>
      </w:r>
      <w:r w:rsidRPr="00D11BAB">
        <w:rPr>
          <w:rFonts w:ascii="Times New Roman" w:hAnsi="Times New Roman"/>
          <w:sz w:val="28"/>
          <w:szCs w:val="28"/>
          <w:lang w:val="en-US"/>
        </w:rPr>
        <w:t>FODMAP</w:t>
      </w:r>
      <w:r w:rsidRPr="00D11BAB">
        <w:rPr>
          <w:rFonts w:ascii="Times New Roman" w:hAnsi="Times New Roman"/>
          <w:sz w:val="28"/>
          <w:szCs w:val="28"/>
        </w:rPr>
        <w:t xml:space="preserve"> сроком на 6-8 недель с постепенным расширением применяемых продуктов с умеренным и высоким содержанием </w:t>
      </w:r>
      <w:r w:rsidRPr="00D11BAB">
        <w:rPr>
          <w:rFonts w:ascii="Times New Roman" w:hAnsi="Times New Roman"/>
          <w:sz w:val="28"/>
          <w:szCs w:val="28"/>
          <w:lang w:val="en-US"/>
        </w:rPr>
        <w:t>FODMAP</w:t>
      </w:r>
      <w:r w:rsidRPr="00D11BAB">
        <w:rPr>
          <w:rFonts w:ascii="Times New Roman" w:hAnsi="Times New Roman"/>
          <w:sz w:val="28"/>
          <w:szCs w:val="28"/>
        </w:rPr>
        <w:t>.</w:t>
      </w:r>
    </w:p>
    <w:p w14:paraId="6ED90A56" w14:textId="77777777" w:rsidR="00AB0DCB" w:rsidRPr="00D11BAB" w:rsidRDefault="00AB0DCB" w:rsidP="00AB0DCB">
      <w:pPr>
        <w:pStyle w:val="a6"/>
        <w:numPr>
          <w:ilvl w:val="0"/>
          <w:numId w:val="5"/>
        </w:numPr>
        <w:tabs>
          <w:tab w:val="left" w:pos="916"/>
          <w:tab w:val="left" w:pos="1134"/>
          <w:tab w:val="left" w:pos="127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hAnsi="Times New Roman"/>
          <w:sz w:val="28"/>
          <w:szCs w:val="28"/>
        </w:rPr>
      </w:pPr>
      <w:r w:rsidRPr="00D11BAB">
        <w:rPr>
          <w:rFonts w:ascii="Times New Roman" w:hAnsi="Times New Roman"/>
          <w:sz w:val="28"/>
          <w:szCs w:val="28"/>
        </w:rPr>
        <w:t>Рекомендовано проводить коррекцию микробиоценоза кишечника у больных с функциональными осложнения после хирургического лечения рака ободочной кишки.</w:t>
      </w:r>
    </w:p>
    <w:p w14:paraId="176E71AB" w14:textId="77777777" w:rsidR="00AB0DCB" w:rsidRPr="00D11BAB" w:rsidRDefault="00AB0DCB" w:rsidP="00AB0DCB">
      <w:pPr>
        <w:pStyle w:val="a6"/>
        <w:numPr>
          <w:ilvl w:val="0"/>
          <w:numId w:val="5"/>
        </w:numPr>
        <w:tabs>
          <w:tab w:val="left" w:pos="916"/>
          <w:tab w:val="left" w:pos="1134"/>
          <w:tab w:val="left" w:pos="127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hAnsi="Times New Roman"/>
          <w:sz w:val="28"/>
          <w:szCs w:val="28"/>
        </w:rPr>
      </w:pPr>
      <w:r w:rsidRPr="00D11BAB">
        <w:rPr>
          <w:rFonts w:ascii="Times New Roman" w:hAnsi="Times New Roman"/>
          <w:sz w:val="28"/>
          <w:szCs w:val="28"/>
        </w:rPr>
        <w:t xml:space="preserve">Рекомендовано проводить нутритивную поддержку </w:t>
      </w:r>
      <w:proofErr w:type="spellStart"/>
      <w:r w:rsidRPr="00D11BAB">
        <w:rPr>
          <w:rFonts w:ascii="Times New Roman" w:hAnsi="Times New Roman"/>
          <w:sz w:val="28"/>
          <w:szCs w:val="28"/>
        </w:rPr>
        <w:t>энтеральными</w:t>
      </w:r>
      <w:proofErr w:type="spellEnd"/>
      <w:r w:rsidRPr="00D11BAB">
        <w:rPr>
          <w:rFonts w:ascii="Times New Roman" w:hAnsi="Times New Roman"/>
          <w:sz w:val="28"/>
          <w:szCs w:val="28"/>
        </w:rPr>
        <w:t xml:space="preserve"> и парентеральными смесями при функциональных осложнениях после хирургического лечения рака ободочной кишки.</w:t>
      </w:r>
    </w:p>
    <w:p w14:paraId="030B5A4F" w14:textId="77777777" w:rsidR="00AB0DCB" w:rsidRPr="00D11BAB" w:rsidRDefault="00AB0DCB" w:rsidP="00AB0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8"/>
          <w:szCs w:val="28"/>
        </w:rPr>
      </w:pPr>
    </w:p>
    <w:p w14:paraId="33DDA974" w14:textId="71A8D927" w:rsidR="00BB318A" w:rsidRDefault="00BB318A">
      <w:pPr>
        <w:spacing w:after="160" w:line="259" w:lineRule="auto"/>
      </w:pPr>
      <w:r>
        <w:br w:type="page"/>
      </w:r>
    </w:p>
    <w:p w14:paraId="0AD91B1B" w14:textId="77777777" w:rsidR="00BB318A" w:rsidRPr="00CD3812" w:rsidRDefault="00BB318A" w:rsidP="00BB31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8"/>
          <w:szCs w:val="28"/>
        </w:rPr>
      </w:pPr>
      <w:r w:rsidRPr="00CD3812">
        <w:rPr>
          <w:rFonts w:ascii="Times New Roman" w:hAnsi="Times New Roman"/>
          <w:b/>
          <w:sz w:val="28"/>
          <w:szCs w:val="28"/>
        </w:rPr>
        <w:lastRenderedPageBreak/>
        <w:t>СПИСОК ИСПОЛЬЗОВАННЫХ ИСТОЧНИКОВ</w:t>
      </w:r>
    </w:p>
    <w:p w14:paraId="45F19122" w14:textId="77777777" w:rsidR="00BB318A" w:rsidRPr="00CD3812" w:rsidRDefault="00BB318A" w:rsidP="00BB318A">
      <w:pPr>
        <w:pStyle w:val="a7"/>
        <w:ind w:left="0" w:firstLine="709"/>
        <w:jc w:val="both"/>
        <w:rPr>
          <w:rFonts w:ascii="Times New Roman" w:hAnsi="Times New Roman"/>
          <w:sz w:val="28"/>
          <w:szCs w:val="28"/>
        </w:rPr>
      </w:pPr>
    </w:p>
    <w:p w14:paraId="5F599347" w14:textId="77777777" w:rsidR="00BB318A" w:rsidRPr="00161E42"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rPr>
        <w:fldChar w:fldCharType="begin"/>
      </w:r>
      <w:r w:rsidRPr="00EA4BC3">
        <w:rPr>
          <w:rFonts w:ascii="Times New Roman" w:hAnsi="Times New Roman"/>
          <w:sz w:val="28"/>
          <w:szCs w:val="28"/>
        </w:rPr>
        <w:instrText xml:space="preserve"> </w:instrText>
      </w:r>
      <w:r w:rsidRPr="0060528F">
        <w:rPr>
          <w:rFonts w:ascii="Times New Roman" w:hAnsi="Times New Roman"/>
          <w:sz w:val="28"/>
          <w:szCs w:val="28"/>
          <w:lang w:val="en-US"/>
        </w:rPr>
        <w:instrText>ADDIN</w:instrText>
      </w:r>
      <w:r w:rsidRPr="00EA4BC3">
        <w:rPr>
          <w:rFonts w:ascii="Times New Roman" w:hAnsi="Times New Roman"/>
          <w:sz w:val="28"/>
          <w:szCs w:val="28"/>
        </w:rPr>
        <w:instrText xml:space="preserve"> </w:instrText>
      </w:r>
      <w:r w:rsidRPr="0060528F">
        <w:rPr>
          <w:rFonts w:ascii="Times New Roman" w:hAnsi="Times New Roman"/>
          <w:sz w:val="28"/>
          <w:szCs w:val="28"/>
          <w:lang w:val="en-US"/>
        </w:rPr>
        <w:instrText>ZOTERO</w:instrText>
      </w:r>
      <w:r w:rsidRPr="00EA4BC3">
        <w:rPr>
          <w:rFonts w:ascii="Times New Roman" w:hAnsi="Times New Roman"/>
          <w:sz w:val="28"/>
          <w:szCs w:val="28"/>
        </w:rPr>
        <w:instrText>_</w:instrText>
      </w:r>
      <w:r w:rsidRPr="0060528F">
        <w:rPr>
          <w:rFonts w:ascii="Times New Roman" w:hAnsi="Times New Roman"/>
          <w:sz w:val="28"/>
          <w:szCs w:val="28"/>
          <w:lang w:val="en-US"/>
        </w:rPr>
        <w:instrText>BIBL</w:instrText>
      </w:r>
      <w:r w:rsidRPr="00EA4BC3">
        <w:rPr>
          <w:rFonts w:ascii="Times New Roman" w:hAnsi="Times New Roman"/>
          <w:sz w:val="28"/>
          <w:szCs w:val="28"/>
        </w:rPr>
        <w:instrText xml:space="preserve"> {"</w:instrText>
      </w:r>
      <w:r w:rsidRPr="0060528F">
        <w:rPr>
          <w:rFonts w:ascii="Times New Roman" w:hAnsi="Times New Roman"/>
          <w:sz w:val="28"/>
          <w:szCs w:val="28"/>
          <w:lang w:val="en-US"/>
        </w:rPr>
        <w:instrText>uncited</w:instrText>
      </w:r>
      <w:r w:rsidRPr="00EA4BC3">
        <w:rPr>
          <w:rFonts w:ascii="Times New Roman" w:hAnsi="Times New Roman"/>
          <w:sz w:val="28"/>
          <w:szCs w:val="28"/>
        </w:rPr>
        <w:instrText>":[],"</w:instrText>
      </w:r>
      <w:r w:rsidRPr="0060528F">
        <w:rPr>
          <w:rFonts w:ascii="Times New Roman" w:hAnsi="Times New Roman"/>
          <w:sz w:val="28"/>
          <w:szCs w:val="28"/>
          <w:lang w:val="en-US"/>
        </w:rPr>
        <w:instrText>omitted</w:instrText>
      </w:r>
      <w:r w:rsidRPr="00EA4BC3">
        <w:rPr>
          <w:rFonts w:ascii="Times New Roman" w:hAnsi="Times New Roman"/>
          <w:sz w:val="28"/>
          <w:szCs w:val="28"/>
        </w:rPr>
        <w:instrText>":[],"</w:instrText>
      </w:r>
      <w:r w:rsidRPr="0060528F">
        <w:rPr>
          <w:rFonts w:ascii="Times New Roman" w:hAnsi="Times New Roman"/>
          <w:sz w:val="28"/>
          <w:szCs w:val="28"/>
          <w:lang w:val="en-US"/>
        </w:rPr>
        <w:instrText>custom</w:instrText>
      </w:r>
      <w:r w:rsidRPr="00EA4BC3">
        <w:rPr>
          <w:rFonts w:ascii="Times New Roman" w:hAnsi="Times New Roman"/>
          <w:sz w:val="28"/>
          <w:szCs w:val="28"/>
        </w:rPr>
        <w:instrText xml:space="preserve">":[]} </w:instrText>
      </w:r>
      <w:r w:rsidRPr="0060528F">
        <w:rPr>
          <w:rFonts w:ascii="Times New Roman" w:hAnsi="Times New Roman"/>
          <w:sz w:val="28"/>
          <w:szCs w:val="28"/>
          <w:lang w:val="en-US"/>
        </w:rPr>
        <w:instrText>CSL</w:instrText>
      </w:r>
      <w:r w:rsidRPr="00EA4BC3">
        <w:rPr>
          <w:rFonts w:ascii="Times New Roman" w:hAnsi="Times New Roman"/>
          <w:sz w:val="28"/>
          <w:szCs w:val="28"/>
        </w:rPr>
        <w:instrText>_</w:instrText>
      </w:r>
      <w:r w:rsidRPr="0060528F">
        <w:rPr>
          <w:rFonts w:ascii="Times New Roman" w:hAnsi="Times New Roman"/>
          <w:sz w:val="28"/>
          <w:szCs w:val="28"/>
          <w:lang w:val="en-US"/>
        </w:rPr>
        <w:instrText>BIBLIOGRAPHY</w:instrText>
      </w:r>
      <w:r w:rsidRPr="00EA4BC3">
        <w:rPr>
          <w:rFonts w:ascii="Times New Roman" w:hAnsi="Times New Roman"/>
          <w:sz w:val="28"/>
          <w:szCs w:val="28"/>
        </w:rPr>
        <w:instrText xml:space="preserve"> </w:instrText>
      </w:r>
      <w:r w:rsidRPr="0060528F">
        <w:rPr>
          <w:rFonts w:ascii="Times New Roman" w:hAnsi="Times New Roman"/>
          <w:sz w:val="28"/>
          <w:szCs w:val="28"/>
        </w:rPr>
        <w:fldChar w:fldCharType="separate"/>
      </w:r>
      <w:r w:rsidRPr="00EA4BC3">
        <w:rPr>
          <w:rFonts w:ascii="Times New Roman" w:hAnsi="Times New Roman"/>
          <w:sz w:val="28"/>
          <w:szCs w:val="28"/>
        </w:rPr>
        <w:t xml:space="preserve">1 </w:t>
      </w:r>
      <w:r w:rsidRPr="009320F6">
        <w:rPr>
          <w:rFonts w:ascii="Times New Roman" w:hAnsi="Times New Roman"/>
          <w:sz w:val="28"/>
          <w:szCs w:val="28"/>
          <w:lang w:val="en-US"/>
        </w:rPr>
        <w:t>Ferlay</w:t>
      </w:r>
      <w:r w:rsidRPr="00EA4BC3">
        <w:rPr>
          <w:rFonts w:ascii="Times New Roman" w:hAnsi="Times New Roman"/>
          <w:sz w:val="28"/>
          <w:szCs w:val="28"/>
        </w:rPr>
        <w:t xml:space="preserve"> </w:t>
      </w:r>
      <w:r w:rsidRPr="009320F6">
        <w:rPr>
          <w:rFonts w:ascii="Times New Roman" w:hAnsi="Times New Roman"/>
          <w:sz w:val="28"/>
          <w:szCs w:val="28"/>
          <w:lang w:val="en-US"/>
        </w:rPr>
        <w:t>J</w:t>
      </w:r>
      <w:r w:rsidRPr="00EA4BC3">
        <w:rPr>
          <w:rFonts w:ascii="Times New Roman" w:hAnsi="Times New Roman"/>
          <w:sz w:val="28"/>
          <w:szCs w:val="28"/>
        </w:rPr>
        <w:t xml:space="preserve">., </w:t>
      </w:r>
      <w:r w:rsidRPr="009320F6">
        <w:rPr>
          <w:rFonts w:ascii="Times New Roman" w:hAnsi="Times New Roman"/>
          <w:sz w:val="28"/>
          <w:szCs w:val="28"/>
          <w:lang w:val="en-US"/>
        </w:rPr>
        <w:t>Ervik</w:t>
      </w:r>
      <w:r w:rsidRPr="00EA4BC3">
        <w:rPr>
          <w:rFonts w:ascii="Times New Roman" w:hAnsi="Times New Roman"/>
          <w:sz w:val="28"/>
          <w:szCs w:val="28"/>
        </w:rPr>
        <w:t xml:space="preserve"> </w:t>
      </w:r>
      <w:r w:rsidRPr="009320F6">
        <w:rPr>
          <w:rFonts w:ascii="Times New Roman" w:hAnsi="Times New Roman"/>
          <w:sz w:val="28"/>
          <w:szCs w:val="28"/>
          <w:lang w:val="en-US"/>
        </w:rPr>
        <w:t>M</w:t>
      </w:r>
      <w:r w:rsidRPr="00EA4BC3">
        <w:rPr>
          <w:rFonts w:ascii="Times New Roman" w:hAnsi="Times New Roman"/>
          <w:sz w:val="28"/>
          <w:szCs w:val="28"/>
        </w:rPr>
        <w:t xml:space="preserve">., </w:t>
      </w:r>
      <w:r w:rsidRPr="009320F6">
        <w:rPr>
          <w:rFonts w:ascii="Times New Roman" w:hAnsi="Times New Roman"/>
          <w:sz w:val="28"/>
          <w:szCs w:val="28"/>
          <w:lang w:val="en-US"/>
        </w:rPr>
        <w:t>Lam</w:t>
      </w:r>
      <w:r w:rsidRPr="00EA4BC3">
        <w:rPr>
          <w:rFonts w:ascii="Times New Roman" w:hAnsi="Times New Roman"/>
          <w:sz w:val="28"/>
          <w:szCs w:val="28"/>
        </w:rPr>
        <w:t xml:space="preserve"> </w:t>
      </w:r>
      <w:r w:rsidRPr="009320F6">
        <w:rPr>
          <w:rFonts w:ascii="Times New Roman" w:hAnsi="Times New Roman"/>
          <w:sz w:val="28"/>
          <w:szCs w:val="28"/>
          <w:lang w:val="en-US"/>
        </w:rPr>
        <w:t>F</w:t>
      </w:r>
      <w:r w:rsidRPr="00EA4BC3">
        <w:rPr>
          <w:rFonts w:ascii="Times New Roman" w:hAnsi="Times New Roman"/>
          <w:sz w:val="28"/>
          <w:szCs w:val="28"/>
        </w:rPr>
        <w:t xml:space="preserve">., </w:t>
      </w:r>
      <w:r w:rsidRPr="009320F6">
        <w:rPr>
          <w:rFonts w:ascii="Times New Roman" w:hAnsi="Times New Roman"/>
          <w:sz w:val="28"/>
          <w:szCs w:val="28"/>
          <w:lang w:val="en-US"/>
        </w:rPr>
        <w:t>et</w:t>
      </w:r>
      <w:r w:rsidRPr="00EA4BC3">
        <w:rPr>
          <w:rFonts w:ascii="Times New Roman" w:hAnsi="Times New Roman"/>
          <w:sz w:val="28"/>
          <w:szCs w:val="28"/>
        </w:rPr>
        <w:t xml:space="preserve"> </w:t>
      </w:r>
      <w:r w:rsidRPr="009320F6">
        <w:rPr>
          <w:rFonts w:ascii="Times New Roman" w:hAnsi="Times New Roman"/>
          <w:sz w:val="28"/>
          <w:szCs w:val="28"/>
          <w:lang w:val="en-US"/>
        </w:rPr>
        <w:t>al</w:t>
      </w:r>
      <w:r w:rsidRPr="00EA4BC3">
        <w:rPr>
          <w:rFonts w:ascii="Times New Roman" w:hAnsi="Times New Roman"/>
          <w:sz w:val="28"/>
          <w:szCs w:val="28"/>
        </w:rPr>
        <w:t xml:space="preserve">. </w:t>
      </w:r>
      <w:r w:rsidRPr="00C954CB">
        <w:rPr>
          <w:rFonts w:ascii="Times New Roman" w:hAnsi="Times New Roman"/>
          <w:sz w:val="28"/>
          <w:szCs w:val="28"/>
          <w:lang w:val="en-US"/>
        </w:rPr>
        <w:t>Global Cancer Observatory: Cancer Today. // Lyon, France: International Agency for Research on Cancer, 2020. URL</w:t>
      </w:r>
      <w:r w:rsidRPr="00161E42">
        <w:rPr>
          <w:rFonts w:ascii="Times New Roman" w:hAnsi="Times New Roman"/>
          <w:sz w:val="28"/>
          <w:szCs w:val="28"/>
          <w:lang w:val="en-US"/>
        </w:rPr>
        <w:t xml:space="preserve">: </w:t>
      </w:r>
      <w:r w:rsidRPr="00C954CB">
        <w:rPr>
          <w:rFonts w:ascii="Times New Roman" w:hAnsi="Times New Roman"/>
          <w:sz w:val="28"/>
          <w:szCs w:val="28"/>
          <w:lang w:val="en-US"/>
        </w:rPr>
        <w:t>https</w:t>
      </w:r>
      <w:r w:rsidRPr="00161E42">
        <w:rPr>
          <w:rFonts w:ascii="Times New Roman" w:hAnsi="Times New Roman"/>
          <w:sz w:val="28"/>
          <w:szCs w:val="28"/>
          <w:lang w:val="en-US"/>
        </w:rPr>
        <w:t>://</w:t>
      </w:r>
      <w:r w:rsidRPr="00C954CB">
        <w:rPr>
          <w:rFonts w:ascii="Times New Roman" w:hAnsi="Times New Roman"/>
          <w:sz w:val="28"/>
          <w:szCs w:val="28"/>
          <w:lang w:val="en-US"/>
        </w:rPr>
        <w:t>gco</w:t>
      </w:r>
      <w:r w:rsidRPr="00161E42">
        <w:rPr>
          <w:rFonts w:ascii="Times New Roman" w:hAnsi="Times New Roman"/>
          <w:sz w:val="28"/>
          <w:szCs w:val="28"/>
          <w:lang w:val="en-US"/>
        </w:rPr>
        <w:t>.</w:t>
      </w:r>
      <w:r w:rsidRPr="00C954CB">
        <w:rPr>
          <w:rFonts w:ascii="Times New Roman" w:hAnsi="Times New Roman"/>
          <w:sz w:val="28"/>
          <w:szCs w:val="28"/>
          <w:lang w:val="en-US"/>
        </w:rPr>
        <w:t>iarc</w:t>
      </w:r>
      <w:r w:rsidRPr="00161E42">
        <w:rPr>
          <w:rFonts w:ascii="Times New Roman" w:hAnsi="Times New Roman"/>
          <w:sz w:val="28"/>
          <w:szCs w:val="28"/>
          <w:lang w:val="en-US"/>
        </w:rPr>
        <w:t>.</w:t>
      </w:r>
      <w:r w:rsidRPr="00C954CB">
        <w:rPr>
          <w:rFonts w:ascii="Times New Roman" w:hAnsi="Times New Roman"/>
          <w:sz w:val="28"/>
          <w:szCs w:val="28"/>
          <w:lang w:val="en-US"/>
        </w:rPr>
        <w:t>fr</w:t>
      </w:r>
      <w:r w:rsidRPr="00161E42">
        <w:rPr>
          <w:rFonts w:ascii="Times New Roman" w:hAnsi="Times New Roman"/>
          <w:sz w:val="28"/>
          <w:szCs w:val="28"/>
          <w:lang w:val="en-US"/>
        </w:rPr>
        <w:t>/</w:t>
      </w:r>
      <w:r w:rsidRPr="00C954CB">
        <w:rPr>
          <w:rFonts w:ascii="Times New Roman" w:hAnsi="Times New Roman"/>
          <w:sz w:val="28"/>
          <w:szCs w:val="28"/>
          <w:lang w:val="en-US"/>
        </w:rPr>
        <w:t>today</w:t>
      </w:r>
      <w:r w:rsidRPr="00161E42">
        <w:rPr>
          <w:rFonts w:ascii="Times New Roman" w:hAnsi="Times New Roman"/>
          <w:sz w:val="28"/>
          <w:szCs w:val="28"/>
          <w:lang w:val="en-US"/>
        </w:rPr>
        <w:t>. (</w:t>
      </w:r>
      <w:r w:rsidRPr="004F2438">
        <w:rPr>
          <w:rFonts w:ascii="Times New Roman" w:hAnsi="Times New Roman"/>
          <w:sz w:val="28"/>
          <w:szCs w:val="28"/>
        </w:rPr>
        <w:t>дата</w:t>
      </w:r>
      <w:r w:rsidRPr="00161E42">
        <w:rPr>
          <w:rFonts w:ascii="Times New Roman" w:hAnsi="Times New Roman"/>
          <w:sz w:val="28"/>
          <w:szCs w:val="28"/>
          <w:lang w:val="en-US"/>
        </w:rPr>
        <w:t xml:space="preserve"> </w:t>
      </w:r>
      <w:r w:rsidRPr="004F2438">
        <w:rPr>
          <w:rFonts w:ascii="Times New Roman" w:hAnsi="Times New Roman"/>
          <w:sz w:val="28"/>
          <w:szCs w:val="28"/>
        </w:rPr>
        <w:t>обращения</w:t>
      </w:r>
      <w:r w:rsidRPr="00161E42">
        <w:rPr>
          <w:rFonts w:ascii="Times New Roman" w:hAnsi="Times New Roman"/>
          <w:sz w:val="28"/>
          <w:szCs w:val="28"/>
          <w:lang w:val="en-US"/>
        </w:rPr>
        <w:t>: 01.03.2022).</w:t>
      </w:r>
    </w:p>
    <w:p w14:paraId="0A73E10A" w14:textId="77777777" w:rsidR="00BB318A" w:rsidRPr="00FF47F3" w:rsidRDefault="00BB318A" w:rsidP="00BB318A">
      <w:pPr>
        <w:pStyle w:val="a7"/>
        <w:ind w:left="0" w:firstLine="567"/>
        <w:jc w:val="both"/>
        <w:rPr>
          <w:rFonts w:ascii="Times New Roman" w:hAnsi="Times New Roman"/>
          <w:sz w:val="28"/>
          <w:szCs w:val="28"/>
          <w:lang w:val="en-US"/>
        </w:rPr>
      </w:pPr>
      <w:r w:rsidRPr="00FF47F3">
        <w:rPr>
          <w:rFonts w:ascii="Times New Roman" w:hAnsi="Times New Roman"/>
          <w:sz w:val="28"/>
          <w:szCs w:val="28"/>
          <w:lang w:val="en-US"/>
        </w:rPr>
        <w:t xml:space="preserve">2 </w:t>
      </w:r>
      <w:r w:rsidRPr="00837206">
        <w:rPr>
          <w:rFonts w:ascii="Times New Roman" w:hAnsi="Times New Roman"/>
          <w:sz w:val="28"/>
          <w:szCs w:val="28"/>
          <w:lang w:val="en-US"/>
        </w:rPr>
        <w:t>Bekisheva</w:t>
      </w:r>
      <w:r w:rsidRPr="00FF47F3">
        <w:rPr>
          <w:rFonts w:ascii="Times New Roman" w:hAnsi="Times New Roman"/>
          <w:sz w:val="28"/>
          <w:szCs w:val="28"/>
          <w:lang w:val="en-US"/>
        </w:rPr>
        <w:t xml:space="preserve"> </w:t>
      </w:r>
      <w:r w:rsidRPr="00837206">
        <w:rPr>
          <w:rFonts w:ascii="Times New Roman" w:hAnsi="Times New Roman"/>
          <w:sz w:val="28"/>
          <w:szCs w:val="28"/>
          <w:lang w:val="en-US"/>
        </w:rPr>
        <w:t>A</w:t>
      </w:r>
      <w:r w:rsidRPr="00FF47F3">
        <w:rPr>
          <w:rFonts w:ascii="Times New Roman" w:hAnsi="Times New Roman"/>
          <w:sz w:val="28"/>
          <w:szCs w:val="28"/>
          <w:lang w:val="en-US"/>
        </w:rPr>
        <w:t xml:space="preserve">., </w:t>
      </w:r>
      <w:r w:rsidRPr="00837206">
        <w:rPr>
          <w:rFonts w:ascii="Times New Roman" w:hAnsi="Times New Roman"/>
          <w:sz w:val="28"/>
          <w:szCs w:val="28"/>
          <w:lang w:val="en-US"/>
        </w:rPr>
        <w:t>Makishev</w:t>
      </w:r>
      <w:r w:rsidRPr="00FF47F3">
        <w:rPr>
          <w:rFonts w:ascii="Times New Roman" w:hAnsi="Times New Roman"/>
          <w:sz w:val="28"/>
          <w:szCs w:val="28"/>
          <w:lang w:val="en-US"/>
        </w:rPr>
        <w:t xml:space="preserve"> </w:t>
      </w:r>
      <w:r w:rsidRPr="00837206">
        <w:rPr>
          <w:rFonts w:ascii="Times New Roman" w:hAnsi="Times New Roman"/>
          <w:sz w:val="28"/>
          <w:szCs w:val="28"/>
          <w:lang w:val="en-US"/>
        </w:rPr>
        <w:t>A</w:t>
      </w:r>
      <w:r w:rsidRPr="00FF47F3">
        <w:rPr>
          <w:rFonts w:ascii="Times New Roman" w:hAnsi="Times New Roman"/>
          <w:sz w:val="28"/>
          <w:szCs w:val="28"/>
          <w:lang w:val="en-US"/>
        </w:rPr>
        <w:t xml:space="preserve">., </w:t>
      </w:r>
      <w:r w:rsidRPr="00837206">
        <w:rPr>
          <w:rFonts w:ascii="Times New Roman" w:hAnsi="Times New Roman"/>
          <w:sz w:val="28"/>
          <w:szCs w:val="28"/>
          <w:lang w:val="en-US"/>
        </w:rPr>
        <w:t>Dauletyarova</w:t>
      </w:r>
      <w:r w:rsidRPr="00FF47F3">
        <w:rPr>
          <w:rFonts w:ascii="Times New Roman" w:hAnsi="Times New Roman"/>
          <w:sz w:val="28"/>
          <w:szCs w:val="28"/>
          <w:lang w:val="en-US"/>
        </w:rPr>
        <w:t xml:space="preserve"> </w:t>
      </w:r>
      <w:r w:rsidRPr="00837206">
        <w:rPr>
          <w:rFonts w:ascii="Times New Roman" w:hAnsi="Times New Roman"/>
          <w:sz w:val="28"/>
          <w:szCs w:val="28"/>
          <w:lang w:val="en-US"/>
        </w:rPr>
        <w:t>M</w:t>
      </w:r>
      <w:r w:rsidRPr="00FF47F3">
        <w:rPr>
          <w:rFonts w:ascii="Times New Roman" w:hAnsi="Times New Roman"/>
          <w:sz w:val="28"/>
          <w:szCs w:val="28"/>
          <w:lang w:val="en-US"/>
        </w:rPr>
        <w:t xml:space="preserve">., </w:t>
      </w:r>
      <w:r w:rsidRPr="00837206">
        <w:rPr>
          <w:rFonts w:ascii="Times New Roman" w:hAnsi="Times New Roman"/>
          <w:sz w:val="28"/>
          <w:szCs w:val="28"/>
          <w:lang w:val="en-US"/>
        </w:rPr>
        <w:t>Semenova</w:t>
      </w:r>
      <w:r w:rsidRPr="00FF47F3">
        <w:rPr>
          <w:rFonts w:ascii="Times New Roman" w:hAnsi="Times New Roman"/>
          <w:sz w:val="28"/>
          <w:szCs w:val="28"/>
          <w:lang w:val="en-US"/>
        </w:rPr>
        <w:t xml:space="preserve"> </w:t>
      </w:r>
      <w:r w:rsidRPr="00837206">
        <w:rPr>
          <w:rFonts w:ascii="Times New Roman" w:hAnsi="Times New Roman"/>
          <w:sz w:val="28"/>
          <w:szCs w:val="28"/>
          <w:lang w:val="en-US"/>
        </w:rPr>
        <w:t>U</w:t>
      </w:r>
      <w:r w:rsidRPr="00FF47F3">
        <w:rPr>
          <w:rFonts w:ascii="Times New Roman" w:hAnsi="Times New Roman"/>
          <w:sz w:val="28"/>
          <w:szCs w:val="28"/>
          <w:lang w:val="en-US"/>
        </w:rPr>
        <w:t>. [</w:t>
      </w:r>
      <w:r>
        <w:rPr>
          <w:rFonts w:ascii="Times New Roman" w:hAnsi="Times New Roman"/>
          <w:sz w:val="28"/>
          <w:szCs w:val="28"/>
          <w:lang w:val="en-US"/>
        </w:rPr>
        <w:t>M</w:t>
      </w:r>
      <w:r w:rsidRPr="00FF47F3">
        <w:rPr>
          <w:rFonts w:ascii="Times New Roman" w:hAnsi="Times New Roman"/>
          <w:sz w:val="28"/>
          <w:szCs w:val="28"/>
          <w:lang w:val="en-US"/>
        </w:rPr>
        <w:t xml:space="preserve">ortality and morbidity from colon cancer in the republic of Kazakhstan] // Georgian medical news. – 2020. – Vol. 4, № 301. – </w:t>
      </w:r>
      <w:r w:rsidRPr="0060528F">
        <w:rPr>
          <w:rFonts w:ascii="Times New Roman" w:hAnsi="Times New Roman"/>
          <w:sz w:val="28"/>
          <w:szCs w:val="28"/>
        </w:rPr>
        <w:t>Р</w:t>
      </w:r>
      <w:r w:rsidRPr="00FF47F3">
        <w:rPr>
          <w:rFonts w:ascii="Times New Roman" w:hAnsi="Times New Roman"/>
          <w:sz w:val="28"/>
          <w:szCs w:val="28"/>
          <w:lang w:val="en-US"/>
        </w:rPr>
        <w:t>. 54-59.</w:t>
      </w:r>
    </w:p>
    <w:p w14:paraId="1A8CF2BC"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3 Schmoll H., Van Cutsem E., Stein A.</w:t>
      </w:r>
      <w:r>
        <w:rPr>
          <w:rFonts w:ascii="Times New Roman" w:hAnsi="Times New Roman"/>
          <w:sz w:val="28"/>
          <w:szCs w:val="28"/>
          <w:lang w:val="en-US"/>
        </w:rPr>
        <w:t>,</w:t>
      </w:r>
      <w:r w:rsidRPr="0060528F">
        <w:rPr>
          <w:rFonts w:ascii="Times New Roman" w:hAnsi="Times New Roman"/>
          <w:sz w:val="28"/>
          <w:szCs w:val="28"/>
          <w:lang w:val="en-US"/>
        </w:rPr>
        <w:t xml:space="preserve"> et al. ESMO consensus guidelines for management of patients with colon and rectal cancer. A personalized approach to clinical decision making // </w:t>
      </w:r>
      <w:r w:rsidRPr="00B207A9">
        <w:rPr>
          <w:rFonts w:ascii="Times New Roman" w:hAnsi="Times New Roman"/>
          <w:sz w:val="28"/>
          <w:szCs w:val="28"/>
          <w:lang w:val="en-US"/>
        </w:rPr>
        <w:t>Annals of oncology: official journal of the European Society for Medical Oncology</w:t>
      </w:r>
      <w:r w:rsidRPr="0060528F">
        <w:rPr>
          <w:rFonts w:ascii="Times New Roman" w:hAnsi="Times New Roman"/>
          <w:sz w:val="28"/>
          <w:szCs w:val="28"/>
          <w:lang w:val="en-US"/>
        </w:rPr>
        <w:t>. – 2012. – Vol. 23</w:t>
      </w:r>
      <w:r w:rsidRPr="00837206">
        <w:rPr>
          <w:rFonts w:ascii="Times New Roman" w:hAnsi="Times New Roman"/>
          <w:sz w:val="28"/>
          <w:szCs w:val="28"/>
          <w:lang w:val="en-US"/>
        </w:rPr>
        <w:t>, №</w:t>
      </w:r>
      <w:r>
        <w:rPr>
          <w:rFonts w:ascii="Times New Roman" w:hAnsi="Times New Roman"/>
          <w:sz w:val="28"/>
          <w:szCs w:val="28"/>
          <w:lang w:val="en-US"/>
        </w:rPr>
        <w:t xml:space="preserve"> 10</w:t>
      </w:r>
      <w:r w:rsidRPr="0060528F">
        <w:rPr>
          <w:rFonts w:ascii="Times New Roman" w:hAnsi="Times New Roman"/>
          <w:sz w:val="28"/>
          <w:szCs w:val="28"/>
          <w:lang w:val="en-US"/>
        </w:rPr>
        <w:t>. – P. 2479-2516.</w:t>
      </w:r>
    </w:p>
    <w:p w14:paraId="2C48CF52"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4 Abraham J., Gulley J.L., Allegra C.J. The Bethesda Handbook of Clinical Oncology. – </w:t>
      </w:r>
      <w:r w:rsidRPr="0060528F">
        <w:rPr>
          <w:rFonts w:ascii="Times New Roman" w:eastAsia="Arial Unicode MS" w:hAnsi="Times New Roman"/>
          <w:sz w:val="28"/>
          <w:szCs w:val="28"/>
          <w:shd w:val="clear" w:color="auto" w:fill="FFFFFF"/>
          <w:lang w:val="en-US"/>
        </w:rPr>
        <w:t>Philadelphia</w:t>
      </w:r>
      <w:r w:rsidRPr="0060528F">
        <w:rPr>
          <w:rFonts w:ascii="Times New Roman" w:hAnsi="Times New Roman"/>
          <w:sz w:val="28"/>
          <w:szCs w:val="28"/>
          <w:lang w:val="en-US"/>
        </w:rPr>
        <w:t>: Lippincott Williams &amp; Wilkins, 2012. – 688 p.</w:t>
      </w:r>
    </w:p>
    <w:p w14:paraId="00463909"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5 Van Cutsem E., Cervantes A., Nordlinge B.</w:t>
      </w:r>
      <w:r>
        <w:rPr>
          <w:rFonts w:ascii="Times New Roman" w:hAnsi="Times New Roman"/>
          <w:sz w:val="28"/>
          <w:szCs w:val="28"/>
          <w:lang w:val="en-US"/>
        </w:rPr>
        <w:t>,</w:t>
      </w:r>
      <w:r w:rsidRPr="0060528F">
        <w:rPr>
          <w:rFonts w:ascii="Times New Roman" w:hAnsi="Times New Roman"/>
          <w:sz w:val="28"/>
          <w:szCs w:val="28"/>
          <w:lang w:val="en-US"/>
        </w:rPr>
        <w:t xml:space="preserve"> et al. Metastatic colorectal cancer: ESMO Clinical Practice Guidelines for diagnosis, treatment and follow-up // Annals of Oncology. – 2014. – Vol. 25, №</w:t>
      </w:r>
      <w:r>
        <w:rPr>
          <w:rFonts w:ascii="Times New Roman" w:hAnsi="Times New Roman"/>
          <w:sz w:val="28"/>
          <w:szCs w:val="28"/>
          <w:lang w:val="en-US"/>
        </w:rPr>
        <w:t xml:space="preserve"> </w:t>
      </w:r>
      <w:r w:rsidRPr="0060528F">
        <w:rPr>
          <w:rFonts w:ascii="Times New Roman" w:hAnsi="Times New Roman"/>
          <w:sz w:val="28"/>
          <w:szCs w:val="28"/>
          <w:lang w:val="en-US"/>
        </w:rPr>
        <w:t xml:space="preserve">3. – </w:t>
      </w:r>
      <w:r w:rsidRPr="0060528F">
        <w:rPr>
          <w:rFonts w:ascii="Times New Roman" w:hAnsi="Times New Roman"/>
          <w:sz w:val="28"/>
          <w:szCs w:val="28"/>
        </w:rPr>
        <w:t>Р</w:t>
      </w:r>
      <w:r w:rsidRPr="0060528F">
        <w:rPr>
          <w:rFonts w:ascii="Times New Roman" w:hAnsi="Times New Roman"/>
          <w:sz w:val="28"/>
          <w:szCs w:val="28"/>
          <w:lang w:val="en-US"/>
        </w:rPr>
        <w:t>. 1-9.</w:t>
      </w:r>
    </w:p>
    <w:p w14:paraId="2106C33F"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6 Benson B., Alan P., Mahmoud M.</w:t>
      </w:r>
      <w:r>
        <w:rPr>
          <w:rFonts w:ascii="Times New Roman" w:hAnsi="Times New Roman"/>
          <w:sz w:val="28"/>
          <w:szCs w:val="28"/>
          <w:lang w:val="en-US"/>
        </w:rPr>
        <w:t>,</w:t>
      </w:r>
      <w:r w:rsidRPr="0060528F">
        <w:rPr>
          <w:rFonts w:ascii="Times New Roman" w:hAnsi="Times New Roman"/>
          <w:sz w:val="28"/>
          <w:szCs w:val="28"/>
          <w:lang w:val="en-US"/>
        </w:rPr>
        <w:t xml:space="preserve"> et al. NCCN Clinical Practice Guidelines in Oncology. Colon Cancer // National Comprehensive cancer network. – 2021. – Vol.</w:t>
      </w:r>
      <w:r w:rsidRPr="00713F2E">
        <w:rPr>
          <w:rFonts w:ascii="Times New Roman" w:hAnsi="Times New Roman"/>
          <w:sz w:val="28"/>
          <w:szCs w:val="28"/>
          <w:lang w:val="en-US"/>
        </w:rPr>
        <w:t xml:space="preserve"> </w:t>
      </w:r>
      <w:r w:rsidRPr="0060528F">
        <w:rPr>
          <w:rFonts w:ascii="Times New Roman" w:hAnsi="Times New Roman"/>
          <w:sz w:val="28"/>
          <w:szCs w:val="28"/>
          <w:lang w:val="en-US"/>
        </w:rPr>
        <w:t xml:space="preserve"> 19, </w:t>
      </w:r>
      <w:r w:rsidRPr="0060528F">
        <w:rPr>
          <w:rFonts w:ascii="Times New Roman" w:hAnsi="Times New Roman"/>
          <w:sz w:val="28"/>
          <w:szCs w:val="28"/>
          <w:lang w:val="kk-KZ"/>
        </w:rPr>
        <w:t>№3.</w:t>
      </w:r>
      <w:r w:rsidRPr="0060528F">
        <w:rPr>
          <w:rFonts w:ascii="Times New Roman" w:hAnsi="Times New Roman"/>
          <w:sz w:val="28"/>
          <w:szCs w:val="28"/>
          <w:lang w:val="en-US"/>
        </w:rPr>
        <w:t xml:space="preserve"> – P. 329-359.</w:t>
      </w:r>
    </w:p>
    <w:p w14:paraId="1B7D0B7A"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7 </w:t>
      </w:r>
      <w:r w:rsidRPr="00B471C3">
        <w:rPr>
          <w:rFonts w:ascii="Times New Roman" w:hAnsi="Times New Roman"/>
          <w:sz w:val="28"/>
          <w:szCs w:val="28"/>
          <w:lang w:val="en-US"/>
        </w:rPr>
        <w:t>Liang J., Fazio V., Lavery I.,</w:t>
      </w:r>
      <w:r w:rsidRPr="0060528F">
        <w:rPr>
          <w:rFonts w:ascii="Times New Roman" w:hAnsi="Times New Roman"/>
          <w:sz w:val="28"/>
          <w:szCs w:val="28"/>
          <w:lang w:val="en-US"/>
        </w:rPr>
        <w:t xml:space="preserve"> et al. Primacy of surgery for colorectal cancer // </w:t>
      </w:r>
      <w:r w:rsidRPr="006E4EDE">
        <w:rPr>
          <w:rFonts w:ascii="Times New Roman" w:hAnsi="Times New Roman"/>
          <w:sz w:val="28"/>
          <w:szCs w:val="28"/>
          <w:lang w:val="en-US"/>
        </w:rPr>
        <w:t>The British journal of surgery</w:t>
      </w:r>
      <w:r w:rsidRPr="0060528F">
        <w:rPr>
          <w:rFonts w:ascii="Times New Roman" w:hAnsi="Times New Roman"/>
          <w:sz w:val="28"/>
          <w:szCs w:val="28"/>
          <w:lang w:val="en-US"/>
        </w:rPr>
        <w:t>. – 2015. –Vol. 102, №</w:t>
      </w:r>
      <w:r>
        <w:rPr>
          <w:rFonts w:ascii="Times New Roman" w:hAnsi="Times New Roman"/>
          <w:sz w:val="28"/>
          <w:szCs w:val="28"/>
          <w:lang w:val="en-US"/>
        </w:rPr>
        <w:t xml:space="preserve"> </w:t>
      </w:r>
      <w:r w:rsidRPr="0060528F">
        <w:rPr>
          <w:rFonts w:ascii="Times New Roman" w:hAnsi="Times New Roman"/>
          <w:sz w:val="28"/>
          <w:szCs w:val="28"/>
          <w:lang w:val="en-US"/>
        </w:rPr>
        <w:t>7. – P. 847-852.</w:t>
      </w:r>
    </w:p>
    <w:p w14:paraId="272E030A"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8 </w:t>
      </w:r>
      <w:r w:rsidRPr="00B471C3">
        <w:rPr>
          <w:rFonts w:ascii="Times New Roman" w:hAnsi="Times New Roman"/>
          <w:sz w:val="28"/>
          <w:szCs w:val="28"/>
          <w:lang w:val="en-US"/>
        </w:rPr>
        <w:t>Van Leersum N.J., Snijders H.S., Henneman D.,</w:t>
      </w:r>
      <w:r w:rsidRPr="0060528F">
        <w:rPr>
          <w:rFonts w:ascii="Times New Roman" w:hAnsi="Times New Roman"/>
          <w:sz w:val="28"/>
          <w:szCs w:val="28"/>
          <w:lang w:val="en-US"/>
        </w:rPr>
        <w:t xml:space="preserve"> et al. The Dutch Surgical Colorectal Audit // </w:t>
      </w:r>
      <w:r w:rsidRPr="00B471C3">
        <w:rPr>
          <w:rFonts w:ascii="Times New Roman" w:hAnsi="Times New Roman"/>
          <w:sz w:val="28"/>
          <w:szCs w:val="28"/>
          <w:lang w:val="en-US"/>
        </w:rPr>
        <w:t>European journal of surgical oncology : the journal of the European Society of Surgical Oncology and the British Association of Surgical Oncology</w:t>
      </w:r>
      <w:r w:rsidRPr="0060528F">
        <w:rPr>
          <w:rFonts w:ascii="Times New Roman" w:hAnsi="Times New Roman"/>
          <w:sz w:val="28"/>
          <w:szCs w:val="28"/>
          <w:lang w:val="en-US"/>
        </w:rPr>
        <w:t>. – 2013. – Vol. 39, №</w:t>
      </w:r>
      <w:r>
        <w:rPr>
          <w:rFonts w:ascii="Times New Roman" w:hAnsi="Times New Roman"/>
          <w:sz w:val="28"/>
          <w:szCs w:val="28"/>
          <w:lang w:val="en-US"/>
        </w:rPr>
        <w:t xml:space="preserve"> </w:t>
      </w:r>
      <w:r w:rsidRPr="0060528F">
        <w:rPr>
          <w:rFonts w:ascii="Times New Roman" w:hAnsi="Times New Roman"/>
          <w:sz w:val="28"/>
          <w:szCs w:val="28"/>
          <w:lang w:val="en-US"/>
        </w:rPr>
        <w:t>10. – P. 1063-1070.</w:t>
      </w:r>
    </w:p>
    <w:p w14:paraId="2B37678F"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9 </w:t>
      </w:r>
      <w:r w:rsidRPr="00727F7A">
        <w:rPr>
          <w:rFonts w:ascii="Times New Roman" w:hAnsi="Times New Roman"/>
          <w:sz w:val="28"/>
          <w:szCs w:val="28"/>
          <w:lang w:val="en-US"/>
        </w:rPr>
        <w:t>van der Geest L.G., Portielje J.E., Wouters M.W.,</w:t>
      </w:r>
      <w:r w:rsidRPr="0060528F">
        <w:rPr>
          <w:rFonts w:ascii="Times New Roman" w:hAnsi="Times New Roman"/>
          <w:sz w:val="28"/>
          <w:szCs w:val="28"/>
          <w:lang w:val="en-US"/>
        </w:rPr>
        <w:t xml:space="preserve"> et al. Complicated postoperative recovery increases omission, delay and discontinuation of adjuvant chemotherapy in patients with Stage III colon cancer // </w:t>
      </w:r>
      <w:r w:rsidRPr="00B207A9">
        <w:rPr>
          <w:rFonts w:ascii="Times New Roman" w:hAnsi="Times New Roman"/>
          <w:sz w:val="28"/>
          <w:szCs w:val="28"/>
          <w:lang w:val="en-US"/>
        </w:rPr>
        <w:t>Colorectal disease: the official journal of the Association of Coloproctology of Great Britain and Ireland</w:t>
      </w:r>
      <w:r w:rsidRPr="0060528F">
        <w:rPr>
          <w:rFonts w:ascii="Times New Roman" w:hAnsi="Times New Roman"/>
          <w:sz w:val="28"/>
          <w:szCs w:val="28"/>
          <w:lang w:val="en-US"/>
        </w:rPr>
        <w:t>. – 2013. – Vol. 15, №</w:t>
      </w:r>
      <w:r>
        <w:rPr>
          <w:rFonts w:ascii="Times New Roman" w:hAnsi="Times New Roman"/>
          <w:sz w:val="28"/>
          <w:szCs w:val="28"/>
          <w:lang w:val="en-US"/>
        </w:rPr>
        <w:t xml:space="preserve"> </w:t>
      </w:r>
      <w:r w:rsidRPr="0060528F">
        <w:rPr>
          <w:rFonts w:ascii="Times New Roman" w:hAnsi="Times New Roman"/>
          <w:sz w:val="28"/>
          <w:szCs w:val="28"/>
          <w:lang w:val="en-US"/>
        </w:rPr>
        <w:t>10. – P. e582-e591.</w:t>
      </w:r>
    </w:p>
    <w:p w14:paraId="078C9306"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10 </w:t>
      </w:r>
      <w:r w:rsidRPr="00727F7A">
        <w:rPr>
          <w:rFonts w:ascii="Times New Roman" w:hAnsi="Times New Roman"/>
          <w:sz w:val="28"/>
          <w:szCs w:val="28"/>
          <w:lang w:val="en-US"/>
        </w:rPr>
        <w:t>Bakker N., Cakir H., Doodeman H.J., Houdijk A.P.</w:t>
      </w:r>
      <w:r w:rsidRPr="0060528F">
        <w:rPr>
          <w:rFonts w:ascii="Times New Roman" w:hAnsi="Times New Roman"/>
          <w:sz w:val="28"/>
          <w:szCs w:val="28"/>
          <w:lang w:val="en-US"/>
        </w:rPr>
        <w:t xml:space="preserve"> Eight years of experience with Enhanced Recovery After Surgery in patients with colon cancer: Impact of measures to improve adherence // Surgery. – 2015. – Vol. 157, №6. – P. 1130-1136.</w:t>
      </w:r>
    </w:p>
    <w:p w14:paraId="36F0F7E4"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11 </w:t>
      </w:r>
      <w:r w:rsidRPr="00727F7A">
        <w:rPr>
          <w:rFonts w:ascii="Times New Roman" w:hAnsi="Times New Roman"/>
          <w:sz w:val="28"/>
          <w:szCs w:val="28"/>
          <w:lang w:val="en-US"/>
        </w:rPr>
        <w:t>Kornmann V., van Vugt J., Smits A. B., van Ramshorst B., Boerma D</w:t>
      </w:r>
      <w:r w:rsidRPr="0060528F">
        <w:rPr>
          <w:rFonts w:ascii="Times New Roman" w:hAnsi="Times New Roman"/>
          <w:sz w:val="28"/>
          <w:szCs w:val="28"/>
          <w:lang w:val="en-US"/>
        </w:rPr>
        <w:t xml:space="preserve">. The first year after colorectal surgery in the elderly // </w:t>
      </w:r>
      <w:r w:rsidRPr="00B207A9">
        <w:rPr>
          <w:rFonts w:ascii="Times New Roman" w:hAnsi="Times New Roman"/>
          <w:sz w:val="28"/>
          <w:szCs w:val="28"/>
          <w:lang w:val="en-US"/>
        </w:rPr>
        <w:t>Annals of coloproctology</w:t>
      </w:r>
      <w:r w:rsidRPr="0060528F">
        <w:rPr>
          <w:rFonts w:ascii="Times New Roman" w:hAnsi="Times New Roman"/>
          <w:sz w:val="28"/>
          <w:szCs w:val="28"/>
          <w:lang w:val="en-US"/>
        </w:rPr>
        <w:t>. – 2017. – Vol. 33, №4. – P. 134-138.</w:t>
      </w:r>
    </w:p>
    <w:p w14:paraId="5562ADD5"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12 </w:t>
      </w:r>
      <w:r w:rsidRPr="00DD4645">
        <w:rPr>
          <w:rFonts w:ascii="Times New Roman" w:hAnsi="Times New Roman"/>
          <w:sz w:val="28"/>
          <w:szCs w:val="28"/>
          <w:lang w:val="en-US"/>
        </w:rPr>
        <w:t>Mualla N</w:t>
      </w:r>
      <w:r w:rsidRPr="00921BB9">
        <w:rPr>
          <w:rFonts w:ascii="Times New Roman" w:hAnsi="Times New Roman"/>
          <w:sz w:val="28"/>
          <w:szCs w:val="28"/>
          <w:lang w:val="en-US"/>
        </w:rPr>
        <w:t>.</w:t>
      </w:r>
      <w:r w:rsidRPr="00DD4645">
        <w:rPr>
          <w:rFonts w:ascii="Times New Roman" w:hAnsi="Times New Roman"/>
          <w:sz w:val="28"/>
          <w:szCs w:val="28"/>
          <w:lang w:val="en-US"/>
        </w:rPr>
        <w:t>M</w:t>
      </w:r>
      <w:r w:rsidRPr="00921BB9">
        <w:rPr>
          <w:rFonts w:ascii="Times New Roman" w:hAnsi="Times New Roman"/>
          <w:sz w:val="28"/>
          <w:szCs w:val="28"/>
          <w:lang w:val="en-US"/>
        </w:rPr>
        <w:t>.</w:t>
      </w:r>
      <w:r w:rsidRPr="00DD4645">
        <w:rPr>
          <w:rFonts w:ascii="Times New Roman" w:hAnsi="Times New Roman"/>
          <w:sz w:val="28"/>
          <w:szCs w:val="28"/>
          <w:lang w:val="en-US"/>
        </w:rPr>
        <w:t>, Hussain M</w:t>
      </w:r>
      <w:r w:rsidRPr="00921BB9">
        <w:rPr>
          <w:rFonts w:ascii="Times New Roman" w:hAnsi="Times New Roman"/>
          <w:sz w:val="28"/>
          <w:szCs w:val="28"/>
          <w:lang w:val="en-US"/>
        </w:rPr>
        <w:t>.</w:t>
      </w:r>
      <w:r w:rsidRPr="00DD4645">
        <w:rPr>
          <w:rFonts w:ascii="Times New Roman" w:hAnsi="Times New Roman"/>
          <w:sz w:val="28"/>
          <w:szCs w:val="28"/>
          <w:lang w:val="en-US"/>
        </w:rPr>
        <w:t>R</w:t>
      </w:r>
      <w:r w:rsidRPr="00921BB9">
        <w:rPr>
          <w:rFonts w:ascii="Times New Roman" w:hAnsi="Times New Roman"/>
          <w:sz w:val="28"/>
          <w:szCs w:val="28"/>
          <w:lang w:val="en-US"/>
        </w:rPr>
        <w:t>.</w:t>
      </w:r>
      <w:r w:rsidRPr="00DD4645">
        <w:rPr>
          <w:rFonts w:ascii="Times New Roman" w:hAnsi="Times New Roman"/>
          <w:sz w:val="28"/>
          <w:szCs w:val="28"/>
          <w:lang w:val="en-US"/>
        </w:rPr>
        <w:t>, Akrmah M,</w:t>
      </w:r>
      <w:r w:rsidRPr="00921BB9">
        <w:rPr>
          <w:rFonts w:ascii="Times New Roman" w:hAnsi="Times New Roman"/>
          <w:sz w:val="28"/>
          <w:szCs w:val="28"/>
          <w:lang w:val="en-US"/>
        </w:rPr>
        <w:t xml:space="preserve"> </w:t>
      </w:r>
      <w:r>
        <w:rPr>
          <w:rFonts w:ascii="Times New Roman" w:hAnsi="Times New Roman"/>
          <w:sz w:val="28"/>
          <w:szCs w:val="28"/>
          <w:lang w:val="en-US"/>
        </w:rPr>
        <w:t>et al</w:t>
      </w:r>
      <w:r w:rsidRPr="00DD4645">
        <w:rPr>
          <w:rFonts w:ascii="Times New Roman" w:hAnsi="Times New Roman"/>
          <w:sz w:val="28"/>
          <w:szCs w:val="28"/>
          <w:lang w:val="en-US"/>
        </w:rPr>
        <w:t>. The Impact of Postoperative Complications on Long-Term Oncological Outcomes Following Curative Resection of Colorectal Cancer (Stage I-III): A Systematic Review and Meta-Analysis</w:t>
      </w:r>
      <w:r w:rsidRPr="0060528F">
        <w:rPr>
          <w:rFonts w:ascii="Times New Roman" w:hAnsi="Times New Roman"/>
          <w:sz w:val="28"/>
          <w:szCs w:val="28"/>
          <w:lang w:val="en-US"/>
        </w:rPr>
        <w:t xml:space="preserve"> // </w:t>
      </w:r>
      <w:r w:rsidRPr="00DD4645">
        <w:rPr>
          <w:rFonts w:ascii="Times New Roman" w:hAnsi="Times New Roman"/>
          <w:sz w:val="28"/>
          <w:szCs w:val="28"/>
          <w:lang w:val="en-US"/>
        </w:rPr>
        <w:t xml:space="preserve">Cureus. </w:t>
      </w:r>
      <w:r w:rsidRPr="0060528F">
        <w:rPr>
          <w:rFonts w:ascii="Times New Roman" w:hAnsi="Times New Roman"/>
          <w:sz w:val="28"/>
          <w:szCs w:val="28"/>
          <w:lang w:val="en-US"/>
        </w:rPr>
        <w:t xml:space="preserve">– </w:t>
      </w:r>
      <w:r w:rsidRPr="00DD4645">
        <w:rPr>
          <w:rFonts w:ascii="Times New Roman" w:hAnsi="Times New Roman"/>
          <w:sz w:val="28"/>
          <w:szCs w:val="28"/>
          <w:lang w:val="en-US"/>
        </w:rPr>
        <w:t>202</w:t>
      </w:r>
      <w:r>
        <w:rPr>
          <w:rFonts w:ascii="Times New Roman" w:hAnsi="Times New Roman"/>
          <w:sz w:val="28"/>
          <w:szCs w:val="28"/>
          <w:lang w:val="en-US"/>
        </w:rPr>
        <w:t>1.</w:t>
      </w:r>
      <w:r w:rsidRPr="0060528F">
        <w:rPr>
          <w:rFonts w:ascii="Times New Roman" w:hAnsi="Times New Roman"/>
          <w:sz w:val="28"/>
          <w:szCs w:val="28"/>
          <w:lang w:val="en-US"/>
        </w:rPr>
        <w:t xml:space="preserve"> – Vol.</w:t>
      </w:r>
      <w:r w:rsidRPr="00DD4645">
        <w:rPr>
          <w:rFonts w:ascii="Times New Roman" w:hAnsi="Times New Roman"/>
          <w:sz w:val="28"/>
          <w:szCs w:val="28"/>
          <w:lang w:val="en-US"/>
        </w:rPr>
        <w:t>13</w:t>
      </w:r>
      <w:r>
        <w:rPr>
          <w:rFonts w:ascii="Times New Roman" w:hAnsi="Times New Roman"/>
          <w:sz w:val="28"/>
          <w:szCs w:val="28"/>
          <w:lang w:val="en-US"/>
        </w:rPr>
        <w:t xml:space="preserve">, </w:t>
      </w:r>
      <w:r w:rsidRPr="0060528F">
        <w:rPr>
          <w:rFonts w:ascii="Times New Roman" w:hAnsi="Times New Roman"/>
          <w:sz w:val="28"/>
          <w:szCs w:val="28"/>
          <w:lang w:val="en-US"/>
        </w:rPr>
        <w:t>№</w:t>
      </w:r>
      <w:r w:rsidRPr="00DD4645">
        <w:rPr>
          <w:rFonts w:ascii="Times New Roman" w:hAnsi="Times New Roman"/>
          <w:sz w:val="28"/>
          <w:szCs w:val="28"/>
          <w:lang w:val="en-US"/>
        </w:rPr>
        <w:t>1</w:t>
      </w:r>
      <w:r>
        <w:rPr>
          <w:rFonts w:ascii="Times New Roman" w:hAnsi="Times New Roman"/>
          <w:sz w:val="28"/>
          <w:szCs w:val="28"/>
          <w:lang w:val="en-US"/>
        </w:rPr>
        <w:t>.</w:t>
      </w:r>
      <w:r w:rsidRPr="0060528F">
        <w:rPr>
          <w:rFonts w:ascii="Times New Roman" w:hAnsi="Times New Roman"/>
          <w:sz w:val="28"/>
          <w:szCs w:val="28"/>
          <w:lang w:val="en-US"/>
        </w:rPr>
        <w:t xml:space="preserve"> – P.</w:t>
      </w:r>
      <w:r>
        <w:rPr>
          <w:rFonts w:ascii="Times New Roman" w:hAnsi="Times New Roman"/>
          <w:sz w:val="28"/>
          <w:szCs w:val="28"/>
          <w:lang w:val="en-US"/>
        </w:rPr>
        <w:t xml:space="preserve"> </w:t>
      </w:r>
      <w:r w:rsidRPr="00DD4645">
        <w:rPr>
          <w:rFonts w:ascii="Times New Roman" w:hAnsi="Times New Roman"/>
          <w:sz w:val="28"/>
          <w:szCs w:val="28"/>
          <w:lang w:val="en-US"/>
        </w:rPr>
        <w:t>e128</w:t>
      </w:r>
      <w:r>
        <w:rPr>
          <w:rFonts w:ascii="Times New Roman" w:hAnsi="Times New Roman"/>
          <w:sz w:val="28"/>
          <w:szCs w:val="28"/>
          <w:lang w:val="en-US"/>
        </w:rPr>
        <w:t>-</w:t>
      </w:r>
      <w:r w:rsidRPr="00DD4645">
        <w:rPr>
          <w:rFonts w:ascii="Times New Roman" w:hAnsi="Times New Roman"/>
          <w:sz w:val="28"/>
          <w:szCs w:val="28"/>
          <w:lang w:val="en-US"/>
        </w:rPr>
        <w:t>37.</w:t>
      </w:r>
    </w:p>
    <w:p w14:paraId="45B3B393"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13 </w:t>
      </w:r>
      <w:r w:rsidRPr="008613BD">
        <w:rPr>
          <w:rFonts w:ascii="Times New Roman" w:hAnsi="Times New Roman"/>
          <w:sz w:val="28"/>
          <w:szCs w:val="28"/>
          <w:lang w:val="en-US"/>
        </w:rPr>
        <w:t>Odermatt M., Miskovic D., Flashman K.,</w:t>
      </w:r>
      <w:r w:rsidRPr="0060528F">
        <w:rPr>
          <w:rFonts w:ascii="Times New Roman" w:hAnsi="Times New Roman"/>
          <w:sz w:val="28"/>
          <w:szCs w:val="28"/>
          <w:lang w:val="en-US"/>
        </w:rPr>
        <w:t xml:space="preserve"> et al. Major postoperative complications following elective resection for colorectal cancer decrease long-term survival but not the time to recurrence // </w:t>
      </w:r>
      <w:r w:rsidRPr="00B207A9">
        <w:rPr>
          <w:rFonts w:ascii="Times New Roman" w:hAnsi="Times New Roman"/>
          <w:sz w:val="28"/>
          <w:szCs w:val="28"/>
          <w:lang w:val="en-US"/>
        </w:rPr>
        <w:t xml:space="preserve">Colorectal disease : the official journal of the </w:t>
      </w:r>
      <w:r w:rsidRPr="00B207A9">
        <w:rPr>
          <w:rFonts w:ascii="Times New Roman" w:hAnsi="Times New Roman"/>
          <w:sz w:val="28"/>
          <w:szCs w:val="28"/>
          <w:lang w:val="en-US"/>
        </w:rPr>
        <w:lastRenderedPageBreak/>
        <w:t>Association of Coloproctology of Great Britain and Ireland</w:t>
      </w:r>
      <w:r w:rsidRPr="0060528F">
        <w:rPr>
          <w:rFonts w:ascii="Times New Roman" w:hAnsi="Times New Roman"/>
          <w:sz w:val="28"/>
          <w:szCs w:val="28"/>
          <w:lang w:val="en-US"/>
        </w:rPr>
        <w:t>. – 2015. – Vol. 17, №2. – P. 141-149.</w:t>
      </w:r>
    </w:p>
    <w:p w14:paraId="19FCD729"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14 </w:t>
      </w:r>
      <w:r w:rsidRPr="00DD4645">
        <w:rPr>
          <w:rFonts w:ascii="Times New Roman" w:hAnsi="Times New Roman"/>
          <w:sz w:val="28"/>
          <w:szCs w:val="28"/>
          <w:lang w:val="en-US"/>
        </w:rPr>
        <w:t xml:space="preserve">Hashimoto S., Hamada K., Sumida Y., </w:t>
      </w:r>
      <w:r>
        <w:rPr>
          <w:rFonts w:ascii="Times New Roman" w:hAnsi="Times New Roman"/>
          <w:sz w:val="28"/>
          <w:szCs w:val="28"/>
          <w:lang w:val="en-US"/>
        </w:rPr>
        <w:t>et al</w:t>
      </w:r>
      <w:r w:rsidRPr="00DD4645">
        <w:rPr>
          <w:rFonts w:ascii="Times New Roman" w:hAnsi="Times New Roman"/>
          <w:sz w:val="28"/>
          <w:szCs w:val="28"/>
          <w:lang w:val="en-US"/>
        </w:rPr>
        <w:t>. Postoperative Complications Predict Long-term Outcome After Curative Resection for Perforated Colorectal Cancer.</w:t>
      </w:r>
      <w:r w:rsidRPr="0060528F">
        <w:rPr>
          <w:rFonts w:ascii="Times New Roman" w:hAnsi="Times New Roman"/>
          <w:sz w:val="28"/>
          <w:szCs w:val="28"/>
          <w:lang w:val="en-US"/>
        </w:rPr>
        <w:t xml:space="preserve"> // </w:t>
      </w:r>
      <w:r w:rsidRPr="00DD4645">
        <w:rPr>
          <w:rFonts w:ascii="Times New Roman" w:hAnsi="Times New Roman"/>
          <w:sz w:val="28"/>
          <w:szCs w:val="28"/>
          <w:lang w:val="en-US"/>
        </w:rPr>
        <w:t xml:space="preserve">In vivo (Athens, Greece) </w:t>
      </w:r>
      <w:r w:rsidRPr="0060528F">
        <w:rPr>
          <w:rFonts w:ascii="Times New Roman" w:hAnsi="Times New Roman"/>
          <w:sz w:val="28"/>
          <w:szCs w:val="28"/>
          <w:lang w:val="en-US"/>
        </w:rPr>
        <w:t xml:space="preserve">– </w:t>
      </w:r>
      <w:r w:rsidRPr="00DD4645">
        <w:rPr>
          <w:rFonts w:ascii="Times New Roman" w:hAnsi="Times New Roman"/>
          <w:sz w:val="28"/>
          <w:szCs w:val="28"/>
          <w:lang w:val="en-US"/>
        </w:rPr>
        <w:t>202</w:t>
      </w:r>
      <w:r>
        <w:rPr>
          <w:rFonts w:ascii="Times New Roman" w:hAnsi="Times New Roman"/>
          <w:sz w:val="28"/>
          <w:szCs w:val="28"/>
          <w:lang w:val="en-US"/>
        </w:rPr>
        <w:t>1.</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DD4645">
        <w:rPr>
          <w:rFonts w:ascii="Times New Roman" w:hAnsi="Times New Roman"/>
          <w:sz w:val="28"/>
          <w:szCs w:val="28"/>
          <w:lang w:val="en-US"/>
        </w:rPr>
        <w:t>35</w:t>
      </w:r>
      <w:r>
        <w:rPr>
          <w:rFonts w:ascii="Times New Roman" w:hAnsi="Times New Roman"/>
          <w:sz w:val="28"/>
          <w:szCs w:val="28"/>
          <w:lang w:val="en-US"/>
        </w:rPr>
        <w:t xml:space="preserve">, </w:t>
      </w:r>
      <w:r w:rsidRPr="0060528F">
        <w:rPr>
          <w:rFonts w:ascii="Times New Roman" w:hAnsi="Times New Roman"/>
          <w:sz w:val="28"/>
          <w:szCs w:val="28"/>
          <w:lang w:val="en-US"/>
        </w:rPr>
        <w:t>№</w:t>
      </w:r>
      <w:r w:rsidRPr="00DD4645">
        <w:rPr>
          <w:rFonts w:ascii="Times New Roman" w:hAnsi="Times New Roman"/>
          <w:sz w:val="28"/>
          <w:szCs w:val="28"/>
          <w:lang w:val="en-US"/>
        </w:rPr>
        <w:t>1</w:t>
      </w:r>
      <w:r w:rsidRPr="0060528F">
        <w:rPr>
          <w:rFonts w:ascii="Times New Roman" w:hAnsi="Times New Roman"/>
          <w:sz w:val="28"/>
          <w:szCs w:val="28"/>
          <w:lang w:val="en-US"/>
        </w:rPr>
        <w:t>. – P.</w:t>
      </w:r>
      <w:r>
        <w:rPr>
          <w:rFonts w:ascii="Times New Roman" w:hAnsi="Times New Roman"/>
          <w:sz w:val="28"/>
          <w:szCs w:val="28"/>
          <w:lang w:val="en-US"/>
        </w:rPr>
        <w:t xml:space="preserve"> </w:t>
      </w:r>
      <w:r w:rsidRPr="00DD4645">
        <w:rPr>
          <w:rFonts w:ascii="Times New Roman" w:hAnsi="Times New Roman"/>
          <w:sz w:val="28"/>
          <w:szCs w:val="28"/>
          <w:lang w:val="en-US"/>
        </w:rPr>
        <w:t>555–561.</w:t>
      </w:r>
    </w:p>
    <w:p w14:paraId="13D701AF" w14:textId="77777777" w:rsidR="00BB318A" w:rsidRPr="0060528F" w:rsidRDefault="00BB318A" w:rsidP="00BB318A">
      <w:pPr>
        <w:spacing w:after="0" w:line="240" w:lineRule="auto"/>
        <w:ind w:firstLine="567"/>
        <w:jc w:val="both"/>
        <w:rPr>
          <w:rFonts w:ascii="Times New Roman" w:hAnsi="Times New Roman"/>
          <w:sz w:val="28"/>
          <w:szCs w:val="28"/>
        </w:rPr>
      </w:pPr>
      <w:r w:rsidRPr="00727F7A">
        <w:rPr>
          <w:rFonts w:ascii="Times New Roman" w:hAnsi="Times New Roman"/>
          <w:sz w:val="28"/>
          <w:szCs w:val="28"/>
        </w:rPr>
        <w:t xml:space="preserve">15 </w:t>
      </w:r>
      <w:r w:rsidRPr="0060528F">
        <w:rPr>
          <w:rFonts w:ascii="Times New Roman" w:hAnsi="Times New Roman"/>
          <w:sz w:val="28"/>
          <w:szCs w:val="28"/>
        </w:rPr>
        <w:t>Тажикова</w:t>
      </w:r>
      <w:r w:rsidRPr="00727F7A">
        <w:rPr>
          <w:rFonts w:ascii="Times New Roman" w:hAnsi="Times New Roman"/>
          <w:sz w:val="28"/>
          <w:szCs w:val="28"/>
        </w:rPr>
        <w:t xml:space="preserve"> </w:t>
      </w:r>
      <w:r w:rsidRPr="0060528F">
        <w:rPr>
          <w:rFonts w:ascii="Times New Roman" w:hAnsi="Times New Roman"/>
          <w:sz w:val="28"/>
          <w:szCs w:val="28"/>
        </w:rPr>
        <w:t>А</w:t>
      </w:r>
      <w:r w:rsidRPr="00727F7A">
        <w:rPr>
          <w:rFonts w:ascii="Times New Roman" w:hAnsi="Times New Roman"/>
          <w:sz w:val="28"/>
          <w:szCs w:val="28"/>
        </w:rPr>
        <w:t>.</w:t>
      </w:r>
      <w:r w:rsidRPr="0060528F">
        <w:rPr>
          <w:rFonts w:ascii="Times New Roman" w:hAnsi="Times New Roman"/>
          <w:sz w:val="28"/>
          <w:szCs w:val="28"/>
        </w:rPr>
        <w:t>М</w:t>
      </w:r>
      <w:r w:rsidRPr="00727F7A">
        <w:rPr>
          <w:rFonts w:ascii="Times New Roman" w:hAnsi="Times New Roman"/>
          <w:sz w:val="28"/>
          <w:szCs w:val="28"/>
        </w:rPr>
        <w:t xml:space="preserve">., </w:t>
      </w:r>
      <w:r w:rsidRPr="0060528F">
        <w:rPr>
          <w:rFonts w:ascii="Times New Roman" w:hAnsi="Times New Roman"/>
          <w:sz w:val="28"/>
          <w:szCs w:val="28"/>
        </w:rPr>
        <w:t>Макишев</w:t>
      </w:r>
      <w:r w:rsidRPr="00727F7A">
        <w:rPr>
          <w:rFonts w:ascii="Times New Roman" w:hAnsi="Times New Roman"/>
          <w:sz w:val="28"/>
          <w:szCs w:val="28"/>
        </w:rPr>
        <w:t xml:space="preserve"> </w:t>
      </w:r>
      <w:r w:rsidRPr="0060528F">
        <w:rPr>
          <w:rFonts w:ascii="Times New Roman" w:hAnsi="Times New Roman"/>
          <w:sz w:val="28"/>
          <w:szCs w:val="28"/>
        </w:rPr>
        <w:t>А</w:t>
      </w:r>
      <w:r w:rsidRPr="00727F7A">
        <w:rPr>
          <w:rFonts w:ascii="Times New Roman" w:hAnsi="Times New Roman"/>
          <w:sz w:val="28"/>
          <w:szCs w:val="28"/>
        </w:rPr>
        <w:t>.</w:t>
      </w:r>
      <w:r w:rsidRPr="0060528F">
        <w:rPr>
          <w:rFonts w:ascii="Times New Roman" w:hAnsi="Times New Roman"/>
          <w:sz w:val="28"/>
          <w:szCs w:val="28"/>
        </w:rPr>
        <w:t>К</w:t>
      </w:r>
      <w:r w:rsidRPr="00727F7A">
        <w:rPr>
          <w:rFonts w:ascii="Times New Roman" w:hAnsi="Times New Roman"/>
          <w:sz w:val="28"/>
          <w:szCs w:val="28"/>
        </w:rPr>
        <w:t xml:space="preserve">., </w:t>
      </w:r>
      <w:r w:rsidRPr="0060528F">
        <w:rPr>
          <w:rFonts w:ascii="Times New Roman" w:hAnsi="Times New Roman"/>
          <w:sz w:val="28"/>
          <w:szCs w:val="28"/>
        </w:rPr>
        <w:t>Бекишева</w:t>
      </w:r>
      <w:r w:rsidRPr="00727F7A">
        <w:rPr>
          <w:rFonts w:ascii="Times New Roman" w:hAnsi="Times New Roman"/>
          <w:sz w:val="28"/>
          <w:szCs w:val="28"/>
        </w:rPr>
        <w:t xml:space="preserve"> </w:t>
      </w:r>
      <w:r w:rsidRPr="0060528F">
        <w:rPr>
          <w:rFonts w:ascii="Times New Roman" w:hAnsi="Times New Roman"/>
          <w:sz w:val="28"/>
          <w:szCs w:val="28"/>
        </w:rPr>
        <w:t>А</w:t>
      </w:r>
      <w:r w:rsidRPr="00727F7A">
        <w:rPr>
          <w:rFonts w:ascii="Times New Roman" w:hAnsi="Times New Roman"/>
          <w:sz w:val="28"/>
          <w:szCs w:val="28"/>
        </w:rPr>
        <w:t>.</w:t>
      </w:r>
      <w:r w:rsidRPr="0060528F">
        <w:rPr>
          <w:rFonts w:ascii="Times New Roman" w:hAnsi="Times New Roman"/>
          <w:sz w:val="28"/>
          <w:szCs w:val="28"/>
        </w:rPr>
        <w:t>Т</w:t>
      </w:r>
      <w:r w:rsidRPr="00727F7A">
        <w:rPr>
          <w:rFonts w:ascii="Times New Roman" w:hAnsi="Times New Roman"/>
          <w:sz w:val="28"/>
          <w:szCs w:val="28"/>
        </w:rPr>
        <w:t xml:space="preserve">. </w:t>
      </w:r>
      <w:r w:rsidRPr="0060528F">
        <w:rPr>
          <w:rFonts w:ascii="Times New Roman" w:hAnsi="Times New Roman"/>
          <w:sz w:val="28"/>
          <w:szCs w:val="28"/>
        </w:rPr>
        <w:t>и</w:t>
      </w:r>
      <w:r w:rsidRPr="00727F7A">
        <w:rPr>
          <w:rFonts w:ascii="Times New Roman" w:hAnsi="Times New Roman"/>
          <w:sz w:val="28"/>
          <w:szCs w:val="28"/>
        </w:rPr>
        <w:t xml:space="preserve"> </w:t>
      </w:r>
      <w:r w:rsidRPr="0060528F">
        <w:rPr>
          <w:rFonts w:ascii="Times New Roman" w:hAnsi="Times New Roman"/>
          <w:sz w:val="28"/>
          <w:szCs w:val="28"/>
        </w:rPr>
        <w:t>др</w:t>
      </w:r>
      <w:r w:rsidRPr="00727F7A">
        <w:rPr>
          <w:rFonts w:ascii="Times New Roman" w:hAnsi="Times New Roman"/>
          <w:sz w:val="28"/>
          <w:szCs w:val="28"/>
        </w:rPr>
        <w:t xml:space="preserve">. </w:t>
      </w:r>
      <w:r w:rsidRPr="0060528F">
        <w:rPr>
          <w:rFonts w:ascii="Times New Roman" w:hAnsi="Times New Roman"/>
          <w:sz w:val="28"/>
          <w:szCs w:val="28"/>
        </w:rPr>
        <w:t>Определение предикторов возникновения несостоятельности анастомоза после резекции прямой кишки по поводу рака // Евразийский онкологический журнал. – 2021. – Т. 9, №1. – С. 58-59.</w:t>
      </w:r>
    </w:p>
    <w:p w14:paraId="3A685C7C"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60528F">
        <w:rPr>
          <w:rFonts w:ascii="Times New Roman" w:hAnsi="Times New Roman"/>
          <w:sz w:val="28"/>
          <w:szCs w:val="28"/>
          <w:lang w:val="en-US"/>
        </w:rPr>
        <w:t xml:space="preserve">16 </w:t>
      </w:r>
      <w:r w:rsidRPr="006E4EDE">
        <w:rPr>
          <w:rFonts w:ascii="Times New Roman" w:hAnsi="Times New Roman"/>
          <w:sz w:val="28"/>
          <w:szCs w:val="28"/>
          <w:lang w:val="en-US"/>
        </w:rPr>
        <w:t>Henneman D., Ten Berge M.G., Snijders H.S.,</w:t>
      </w:r>
      <w:r w:rsidRPr="0060528F">
        <w:rPr>
          <w:rFonts w:ascii="Times New Roman" w:hAnsi="Times New Roman"/>
          <w:sz w:val="28"/>
          <w:szCs w:val="28"/>
          <w:lang w:val="en-US"/>
        </w:rPr>
        <w:t xml:space="preserve"> et al. Safety of elective colorectal cancer surgery: non-surgical complications and colectomies are targets for quality improvement // </w:t>
      </w:r>
      <w:r w:rsidRPr="006E4EDE">
        <w:rPr>
          <w:rFonts w:ascii="Times New Roman" w:hAnsi="Times New Roman"/>
          <w:sz w:val="28"/>
          <w:szCs w:val="28"/>
          <w:lang w:val="en-US"/>
        </w:rPr>
        <w:t>Journal of surgical oncology</w:t>
      </w:r>
      <w:r w:rsidRPr="0060528F">
        <w:rPr>
          <w:rFonts w:ascii="Times New Roman" w:hAnsi="Times New Roman"/>
          <w:sz w:val="28"/>
          <w:szCs w:val="28"/>
          <w:lang w:val="en-US"/>
        </w:rPr>
        <w:t>. – 2014. – Vol. 109, №6. – P. 567-573.</w:t>
      </w:r>
    </w:p>
    <w:p w14:paraId="50B0C694"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17 </w:t>
      </w:r>
      <w:r w:rsidRPr="00DD4645">
        <w:rPr>
          <w:rFonts w:ascii="Times New Roman" w:hAnsi="Times New Roman"/>
          <w:sz w:val="28"/>
          <w:szCs w:val="28"/>
          <w:lang w:val="en-US"/>
        </w:rPr>
        <w:t>Sugamata N., Okuyama T., Takeshita, E.,</w:t>
      </w:r>
      <w:r>
        <w:rPr>
          <w:rFonts w:ascii="Times New Roman" w:hAnsi="Times New Roman"/>
          <w:sz w:val="28"/>
          <w:szCs w:val="28"/>
          <w:lang w:val="en-US"/>
        </w:rPr>
        <w:t xml:space="preserve"> et al</w:t>
      </w:r>
      <w:r w:rsidRPr="00DD4645">
        <w:rPr>
          <w:rFonts w:ascii="Times New Roman" w:hAnsi="Times New Roman"/>
          <w:sz w:val="28"/>
          <w:szCs w:val="28"/>
          <w:lang w:val="en-US"/>
        </w:rPr>
        <w:t>. Surgical site infection after laparoscopic resection of colorectal cancer is associated with compromised long-term oncological outcome</w:t>
      </w:r>
      <w:r w:rsidRPr="0060528F">
        <w:rPr>
          <w:rFonts w:ascii="Times New Roman" w:hAnsi="Times New Roman"/>
          <w:sz w:val="28"/>
          <w:szCs w:val="28"/>
          <w:lang w:val="en-US"/>
        </w:rPr>
        <w:t xml:space="preserve"> // </w:t>
      </w:r>
      <w:r w:rsidRPr="00DD4645">
        <w:rPr>
          <w:rFonts w:ascii="Times New Roman" w:hAnsi="Times New Roman"/>
          <w:sz w:val="28"/>
          <w:szCs w:val="28"/>
          <w:lang w:val="en-US"/>
        </w:rPr>
        <w:t>World journal of surgical oncology</w:t>
      </w:r>
      <w:r>
        <w:rPr>
          <w:rFonts w:ascii="Times New Roman" w:hAnsi="Times New Roman"/>
          <w:sz w:val="28"/>
          <w:szCs w:val="28"/>
          <w:lang w:val="en-US"/>
        </w:rPr>
        <w:t>.</w:t>
      </w:r>
      <w:r w:rsidRPr="0060528F">
        <w:rPr>
          <w:rFonts w:ascii="Times New Roman" w:hAnsi="Times New Roman"/>
          <w:sz w:val="28"/>
          <w:szCs w:val="28"/>
          <w:lang w:val="en-US"/>
        </w:rPr>
        <w:t xml:space="preserve"> – 20</w:t>
      </w:r>
      <w:r>
        <w:rPr>
          <w:rFonts w:ascii="Times New Roman" w:hAnsi="Times New Roman"/>
          <w:sz w:val="28"/>
          <w:szCs w:val="28"/>
          <w:lang w:val="en-US"/>
        </w:rPr>
        <w:t>22</w:t>
      </w:r>
      <w:r w:rsidRPr="0060528F">
        <w:rPr>
          <w:rFonts w:ascii="Times New Roman" w:hAnsi="Times New Roman"/>
          <w:sz w:val="28"/>
          <w:szCs w:val="28"/>
          <w:lang w:val="en-US"/>
        </w:rPr>
        <w:t>. – Vol.</w:t>
      </w:r>
      <w:r>
        <w:rPr>
          <w:rFonts w:ascii="Times New Roman" w:hAnsi="Times New Roman"/>
          <w:sz w:val="28"/>
          <w:szCs w:val="28"/>
          <w:lang w:val="en-US"/>
        </w:rPr>
        <w:t xml:space="preserve"> </w:t>
      </w:r>
      <w:r w:rsidRPr="00DD4645">
        <w:rPr>
          <w:rFonts w:ascii="Times New Roman" w:hAnsi="Times New Roman"/>
          <w:sz w:val="28"/>
          <w:szCs w:val="28"/>
          <w:lang w:val="en-US"/>
        </w:rPr>
        <w:t>20</w:t>
      </w:r>
      <w:r w:rsidRPr="0060528F">
        <w:rPr>
          <w:rFonts w:ascii="Times New Roman" w:hAnsi="Times New Roman"/>
          <w:sz w:val="28"/>
          <w:szCs w:val="28"/>
          <w:lang w:val="en-US"/>
        </w:rPr>
        <w:t>, №</w:t>
      </w:r>
      <w:r w:rsidRPr="00DD4645">
        <w:rPr>
          <w:rFonts w:ascii="Times New Roman" w:hAnsi="Times New Roman"/>
          <w:sz w:val="28"/>
          <w:szCs w:val="28"/>
          <w:lang w:val="en-US"/>
        </w:rPr>
        <w:t>1</w:t>
      </w:r>
      <w:r w:rsidRPr="0060528F">
        <w:rPr>
          <w:rFonts w:ascii="Times New Roman" w:hAnsi="Times New Roman"/>
          <w:sz w:val="28"/>
          <w:szCs w:val="28"/>
          <w:lang w:val="en-US"/>
        </w:rPr>
        <w:t>. – P.</w:t>
      </w:r>
      <w:r>
        <w:rPr>
          <w:rFonts w:ascii="Times New Roman" w:hAnsi="Times New Roman"/>
          <w:sz w:val="28"/>
          <w:szCs w:val="28"/>
          <w:lang w:val="en-US"/>
        </w:rPr>
        <w:t xml:space="preserve"> </w:t>
      </w:r>
      <w:r w:rsidRPr="00DD4645">
        <w:rPr>
          <w:rFonts w:ascii="Times New Roman" w:hAnsi="Times New Roman"/>
          <w:sz w:val="28"/>
          <w:szCs w:val="28"/>
          <w:lang w:val="en-US"/>
        </w:rPr>
        <w:t>1</w:t>
      </w:r>
      <w:r>
        <w:rPr>
          <w:rFonts w:ascii="Times New Roman" w:hAnsi="Times New Roman"/>
          <w:sz w:val="28"/>
          <w:szCs w:val="28"/>
          <w:lang w:val="en-US"/>
        </w:rPr>
        <w:t>-</w:t>
      </w:r>
      <w:r w:rsidRPr="00DD4645">
        <w:rPr>
          <w:rFonts w:ascii="Times New Roman" w:hAnsi="Times New Roman"/>
          <w:sz w:val="28"/>
          <w:szCs w:val="28"/>
          <w:lang w:val="en-US"/>
        </w:rPr>
        <w:t>11.</w:t>
      </w:r>
    </w:p>
    <w:p w14:paraId="28BF0B30" w14:textId="77777777" w:rsidR="00BB318A" w:rsidRPr="0060528F" w:rsidRDefault="00BB318A" w:rsidP="00BB318A">
      <w:pPr>
        <w:pStyle w:val="a7"/>
        <w:ind w:left="0" w:firstLine="567"/>
        <w:jc w:val="both"/>
        <w:rPr>
          <w:rFonts w:ascii="Times New Roman" w:hAnsi="Times New Roman"/>
          <w:sz w:val="28"/>
          <w:szCs w:val="28"/>
        </w:rPr>
      </w:pPr>
      <w:r w:rsidRPr="00AC19B3">
        <w:rPr>
          <w:rFonts w:ascii="Times New Roman" w:hAnsi="Times New Roman"/>
          <w:sz w:val="28"/>
          <w:szCs w:val="28"/>
        </w:rPr>
        <w:t xml:space="preserve">18 </w:t>
      </w:r>
      <w:r w:rsidRPr="0060528F">
        <w:rPr>
          <w:rFonts w:ascii="Times New Roman" w:hAnsi="Times New Roman"/>
          <w:sz w:val="28"/>
          <w:szCs w:val="28"/>
        </w:rPr>
        <w:t>Лазебник</w:t>
      </w:r>
      <w:r w:rsidRPr="00AC19B3">
        <w:rPr>
          <w:rFonts w:ascii="Times New Roman" w:hAnsi="Times New Roman"/>
          <w:sz w:val="28"/>
          <w:szCs w:val="28"/>
        </w:rPr>
        <w:t xml:space="preserve"> </w:t>
      </w:r>
      <w:r w:rsidRPr="0060528F">
        <w:rPr>
          <w:rFonts w:ascii="Times New Roman" w:hAnsi="Times New Roman"/>
          <w:sz w:val="28"/>
          <w:szCs w:val="28"/>
        </w:rPr>
        <w:t>Л</w:t>
      </w:r>
      <w:r w:rsidRPr="00AC19B3">
        <w:rPr>
          <w:rFonts w:ascii="Times New Roman" w:hAnsi="Times New Roman"/>
          <w:sz w:val="28"/>
          <w:szCs w:val="28"/>
        </w:rPr>
        <w:t>.</w:t>
      </w:r>
      <w:r w:rsidRPr="0060528F">
        <w:rPr>
          <w:rFonts w:ascii="Times New Roman" w:hAnsi="Times New Roman"/>
          <w:sz w:val="28"/>
          <w:szCs w:val="28"/>
        </w:rPr>
        <w:t>Б</w:t>
      </w:r>
      <w:r w:rsidRPr="00AC19B3">
        <w:rPr>
          <w:rFonts w:ascii="Times New Roman" w:hAnsi="Times New Roman"/>
          <w:sz w:val="28"/>
          <w:szCs w:val="28"/>
        </w:rPr>
        <w:t xml:space="preserve">., </w:t>
      </w:r>
      <w:r w:rsidRPr="0060528F">
        <w:rPr>
          <w:rFonts w:ascii="Times New Roman" w:hAnsi="Times New Roman"/>
          <w:sz w:val="28"/>
          <w:szCs w:val="28"/>
        </w:rPr>
        <w:t>Ли</w:t>
      </w:r>
      <w:r w:rsidRPr="00AC19B3">
        <w:rPr>
          <w:rFonts w:ascii="Times New Roman" w:hAnsi="Times New Roman"/>
          <w:sz w:val="28"/>
          <w:szCs w:val="28"/>
        </w:rPr>
        <w:t xml:space="preserve"> </w:t>
      </w:r>
      <w:r w:rsidRPr="0060528F">
        <w:rPr>
          <w:rFonts w:ascii="Times New Roman" w:hAnsi="Times New Roman"/>
          <w:sz w:val="28"/>
          <w:szCs w:val="28"/>
        </w:rPr>
        <w:t>И</w:t>
      </w:r>
      <w:r w:rsidRPr="00AC19B3">
        <w:rPr>
          <w:rFonts w:ascii="Times New Roman" w:hAnsi="Times New Roman"/>
          <w:sz w:val="28"/>
          <w:szCs w:val="28"/>
        </w:rPr>
        <w:t>.</w:t>
      </w:r>
      <w:r w:rsidRPr="0060528F">
        <w:rPr>
          <w:rFonts w:ascii="Times New Roman" w:hAnsi="Times New Roman"/>
          <w:sz w:val="28"/>
          <w:szCs w:val="28"/>
        </w:rPr>
        <w:t>А</w:t>
      </w:r>
      <w:r w:rsidRPr="00AC19B3">
        <w:rPr>
          <w:rFonts w:ascii="Times New Roman" w:hAnsi="Times New Roman"/>
          <w:sz w:val="28"/>
          <w:szCs w:val="28"/>
        </w:rPr>
        <w:t xml:space="preserve">., </w:t>
      </w:r>
      <w:r w:rsidRPr="0060528F">
        <w:rPr>
          <w:rFonts w:ascii="Times New Roman" w:hAnsi="Times New Roman"/>
          <w:sz w:val="28"/>
          <w:szCs w:val="28"/>
        </w:rPr>
        <w:t>Дроздов</w:t>
      </w:r>
      <w:r w:rsidRPr="00AC19B3">
        <w:rPr>
          <w:rFonts w:ascii="Times New Roman" w:hAnsi="Times New Roman"/>
          <w:sz w:val="28"/>
          <w:szCs w:val="28"/>
        </w:rPr>
        <w:t xml:space="preserve"> </w:t>
      </w:r>
      <w:r w:rsidRPr="0060528F">
        <w:rPr>
          <w:rFonts w:ascii="Times New Roman" w:hAnsi="Times New Roman"/>
          <w:sz w:val="28"/>
          <w:szCs w:val="28"/>
        </w:rPr>
        <w:t>В</w:t>
      </w:r>
      <w:r w:rsidRPr="00AC19B3">
        <w:rPr>
          <w:rFonts w:ascii="Times New Roman" w:hAnsi="Times New Roman"/>
          <w:sz w:val="28"/>
          <w:szCs w:val="28"/>
        </w:rPr>
        <w:t>.</w:t>
      </w:r>
      <w:r w:rsidRPr="0060528F">
        <w:rPr>
          <w:rFonts w:ascii="Times New Roman" w:hAnsi="Times New Roman"/>
          <w:sz w:val="28"/>
          <w:szCs w:val="28"/>
        </w:rPr>
        <w:t>Н</w:t>
      </w:r>
      <w:r w:rsidRPr="00AC19B3">
        <w:rPr>
          <w:rFonts w:ascii="Times New Roman" w:hAnsi="Times New Roman"/>
          <w:sz w:val="28"/>
          <w:szCs w:val="28"/>
        </w:rPr>
        <w:t xml:space="preserve">. </w:t>
      </w:r>
      <w:r w:rsidRPr="0060528F">
        <w:rPr>
          <w:rFonts w:ascii="Times New Roman" w:hAnsi="Times New Roman"/>
          <w:sz w:val="28"/>
          <w:szCs w:val="28"/>
        </w:rPr>
        <w:t>и</w:t>
      </w:r>
      <w:r w:rsidRPr="00AC19B3">
        <w:rPr>
          <w:rFonts w:ascii="Times New Roman" w:hAnsi="Times New Roman"/>
          <w:sz w:val="28"/>
          <w:szCs w:val="28"/>
        </w:rPr>
        <w:t xml:space="preserve"> </w:t>
      </w:r>
      <w:r w:rsidRPr="0060528F">
        <w:rPr>
          <w:rFonts w:ascii="Times New Roman" w:hAnsi="Times New Roman"/>
          <w:sz w:val="28"/>
          <w:szCs w:val="28"/>
        </w:rPr>
        <w:t>др</w:t>
      </w:r>
      <w:r w:rsidRPr="00AC19B3">
        <w:rPr>
          <w:rFonts w:ascii="Times New Roman" w:hAnsi="Times New Roman"/>
          <w:sz w:val="28"/>
          <w:szCs w:val="28"/>
        </w:rPr>
        <w:t xml:space="preserve">. </w:t>
      </w:r>
      <w:r w:rsidRPr="0060528F">
        <w:rPr>
          <w:rFonts w:ascii="Times New Roman" w:hAnsi="Times New Roman"/>
          <w:sz w:val="28"/>
          <w:szCs w:val="28"/>
        </w:rPr>
        <w:t>Метаболизм липидов, микробиоценоз кишечника и эндотоксинемия у пожилых больных после гемиколэктомии // Клиническая геронтология. – 2011. – Т. 1, №2. – С. 8-13.</w:t>
      </w:r>
    </w:p>
    <w:p w14:paraId="441CE7BC" w14:textId="77777777" w:rsidR="00BB318A" w:rsidRPr="0060528F" w:rsidRDefault="00BB318A" w:rsidP="00BB318A">
      <w:pPr>
        <w:spacing w:after="0" w:line="240" w:lineRule="auto"/>
        <w:ind w:firstLine="567"/>
        <w:jc w:val="both"/>
        <w:rPr>
          <w:rFonts w:ascii="Times New Roman" w:hAnsi="Times New Roman"/>
          <w:sz w:val="28"/>
          <w:szCs w:val="28"/>
        </w:rPr>
      </w:pPr>
      <w:r w:rsidRPr="0060528F">
        <w:rPr>
          <w:rFonts w:ascii="Times New Roman" w:hAnsi="Times New Roman"/>
          <w:sz w:val="28"/>
          <w:szCs w:val="28"/>
        </w:rPr>
        <w:t>19 Куканова А.М., Макишев А.К.</w:t>
      </w:r>
      <w:r w:rsidRPr="00AC19B3">
        <w:rPr>
          <w:rFonts w:ascii="Times New Roman" w:hAnsi="Times New Roman"/>
          <w:sz w:val="28"/>
          <w:szCs w:val="28"/>
        </w:rPr>
        <w:t>,</w:t>
      </w:r>
      <w:r w:rsidRPr="0060528F">
        <w:rPr>
          <w:rFonts w:ascii="Times New Roman" w:hAnsi="Times New Roman"/>
          <w:sz w:val="28"/>
          <w:szCs w:val="28"/>
        </w:rPr>
        <w:t xml:space="preserve"> Бекишева А.Т. и др. Моторно-эвакуаторная функция желудочного трансплантата после трансторакальной субтотальной резекции пищевода с одномоментной эзофагопластикой // Евразийский онкологический журнал. – 2018. – Т. 6, №1. – С. 38-39.</w:t>
      </w:r>
    </w:p>
    <w:p w14:paraId="23F2F316" w14:textId="77777777" w:rsidR="00BB318A" w:rsidRPr="0060528F" w:rsidRDefault="00BB318A" w:rsidP="00BB318A">
      <w:pPr>
        <w:pStyle w:val="a7"/>
        <w:ind w:left="0" w:firstLine="567"/>
        <w:jc w:val="both"/>
        <w:rPr>
          <w:rFonts w:ascii="Times New Roman" w:hAnsi="Times New Roman"/>
          <w:sz w:val="28"/>
          <w:szCs w:val="28"/>
        </w:rPr>
      </w:pPr>
      <w:r w:rsidRPr="0060528F">
        <w:rPr>
          <w:rFonts w:ascii="Times New Roman" w:hAnsi="Times New Roman"/>
          <w:sz w:val="28"/>
          <w:szCs w:val="28"/>
        </w:rPr>
        <w:t>20 Куканова А.М., Макишев А.К., Бекишева А.Т. и др. Пути коррекции нарушений моторно-эвакуаторной функции желудочного трансплантата у больных раком пищевода после хирургического лечения // Валеология Денсаулық - Ауру - Сауықтыру. – 2018. – №3. – С. 77-79.</w:t>
      </w:r>
    </w:p>
    <w:p w14:paraId="3A645A06" w14:textId="77777777" w:rsidR="00BB318A" w:rsidRPr="0060528F" w:rsidRDefault="00BB318A" w:rsidP="00BB318A">
      <w:pPr>
        <w:spacing w:after="0" w:line="240" w:lineRule="auto"/>
        <w:ind w:firstLine="567"/>
        <w:jc w:val="both"/>
        <w:rPr>
          <w:rFonts w:ascii="Times New Roman" w:hAnsi="Times New Roman"/>
          <w:sz w:val="28"/>
          <w:szCs w:val="28"/>
        </w:rPr>
      </w:pPr>
      <w:r w:rsidRPr="0060528F">
        <w:rPr>
          <w:rFonts w:ascii="Times New Roman" w:hAnsi="Times New Roman"/>
          <w:sz w:val="28"/>
          <w:szCs w:val="28"/>
        </w:rPr>
        <w:t>21 Бекишева А.Т., Макишев А.К. Результаты применения реабилитационной программы у пациентов после гастрэктомии по поводу рака желудка // Евразийский онкологический журнал. – 2018. – Т. 6, №1. – С. 473.</w:t>
      </w:r>
    </w:p>
    <w:p w14:paraId="36DE7983"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22 </w:t>
      </w:r>
      <w:r w:rsidRPr="00AC19B3">
        <w:rPr>
          <w:rFonts w:ascii="Times New Roman" w:hAnsi="Times New Roman"/>
          <w:sz w:val="28"/>
          <w:szCs w:val="28"/>
          <w:lang w:val="en-US"/>
        </w:rPr>
        <w:t>Rao S., Tan G., Abdulla H.,</w:t>
      </w:r>
      <w:r w:rsidRPr="0060528F">
        <w:rPr>
          <w:rFonts w:ascii="Times New Roman" w:hAnsi="Times New Roman"/>
          <w:sz w:val="28"/>
          <w:szCs w:val="28"/>
          <w:lang w:val="en-US"/>
        </w:rPr>
        <w:t xml:space="preserve"> et al. Does colectomy predispose to small intestinal bacterial (SIBO) and fungal overgrowth (SIFO)? // Clinical and Translational Gastroenterology. – 2018. – Vol. 9, №4. – P. 1-8.</w:t>
      </w:r>
    </w:p>
    <w:p w14:paraId="0FE86E8F" w14:textId="77777777" w:rsidR="00BB318A" w:rsidRPr="0060528F" w:rsidRDefault="00BB318A" w:rsidP="00BB318A">
      <w:pPr>
        <w:pStyle w:val="a7"/>
        <w:ind w:left="0" w:firstLine="567"/>
        <w:jc w:val="both"/>
        <w:rPr>
          <w:rFonts w:ascii="Times New Roman" w:hAnsi="Times New Roman"/>
          <w:sz w:val="28"/>
          <w:szCs w:val="28"/>
        </w:rPr>
      </w:pPr>
      <w:r w:rsidRPr="0060528F">
        <w:rPr>
          <w:rFonts w:ascii="Times New Roman" w:hAnsi="Times New Roman"/>
          <w:sz w:val="28"/>
          <w:szCs w:val="28"/>
        </w:rPr>
        <w:t xml:space="preserve">23 Костюченко Л.Н., Кузьмина Т.Н. Нутриционная поддержка при последствиях обширных резекций кишечника // В кн.: Национальное руководство по нутрициологии. – М., 2013. – С. 563-584. </w:t>
      </w:r>
    </w:p>
    <w:p w14:paraId="62E620DD"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24 </w:t>
      </w:r>
      <w:r w:rsidRPr="00AC19B3">
        <w:rPr>
          <w:rFonts w:ascii="Times New Roman" w:hAnsi="Times New Roman"/>
          <w:sz w:val="28"/>
          <w:szCs w:val="28"/>
          <w:lang w:val="en-US"/>
        </w:rPr>
        <w:t>Downing A., Morris E.J., Richards M.,</w:t>
      </w:r>
      <w:r w:rsidRPr="0060528F">
        <w:rPr>
          <w:rFonts w:ascii="Times New Roman" w:hAnsi="Times New Roman"/>
          <w:sz w:val="28"/>
          <w:szCs w:val="28"/>
          <w:lang w:val="en-US"/>
        </w:rPr>
        <w:t xml:space="preserve"> et al. Health-related quality of life after colorectal cancer in England: a patient-reported outcomes study of individuals 12 to 36 months after diagnosis // </w:t>
      </w:r>
      <w:r w:rsidRPr="00AC19B3">
        <w:rPr>
          <w:rFonts w:ascii="Times New Roman" w:hAnsi="Times New Roman"/>
          <w:sz w:val="28"/>
          <w:szCs w:val="28"/>
          <w:lang w:val="en-US"/>
        </w:rPr>
        <w:t>Journal of clinical oncology: official journal of the American Society of Clinical Oncology</w:t>
      </w:r>
      <w:r w:rsidRPr="0060528F">
        <w:rPr>
          <w:rFonts w:ascii="Times New Roman" w:hAnsi="Times New Roman"/>
          <w:sz w:val="28"/>
          <w:szCs w:val="28"/>
          <w:lang w:val="en-US"/>
        </w:rPr>
        <w:t>. – 2015. – Vol. 33, №6. – P. 616-624.</w:t>
      </w:r>
    </w:p>
    <w:p w14:paraId="3187B1FA"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25 </w:t>
      </w:r>
      <w:r w:rsidRPr="0043070E">
        <w:rPr>
          <w:rFonts w:ascii="Times New Roman" w:hAnsi="Times New Roman"/>
          <w:sz w:val="28"/>
          <w:szCs w:val="28"/>
          <w:lang w:val="en-US"/>
        </w:rPr>
        <w:t>Keane C., Wells C., O'Grady G., Bissett I.P</w:t>
      </w:r>
      <w:r w:rsidRPr="0060528F">
        <w:rPr>
          <w:rFonts w:ascii="Times New Roman" w:hAnsi="Times New Roman"/>
          <w:sz w:val="28"/>
          <w:szCs w:val="28"/>
          <w:lang w:val="en-US"/>
        </w:rPr>
        <w:t xml:space="preserve">. Defining low anterior resection syndrome: a systematic review of the literature // </w:t>
      </w:r>
      <w:r w:rsidRPr="0043070E">
        <w:rPr>
          <w:rFonts w:ascii="Times New Roman" w:hAnsi="Times New Roman"/>
          <w:sz w:val="28"/>
          <w:szCs w:val="28"/>
          <w:lang w:val="en-US"/>
        </w:rPr>
        <w:t>Colorectal disease: the official journal of the Association of Coloproctology of Great Britain and Ireland</w:t>
      </w:r>
      <w:r w:rsidRPr="0060528F">
        <w:rPr>
          <w:rFonts w:ascii="Times New Roman" w:hAnsi="Times New Roman"/>
          <w:sz w:val="28"/>
          <w:szCs w:val="28"/>
          <w:lang w:val="en-US"/>
        </w:rPr>
        <w:t>. – 2017. – Vol. 19, №8. – P. 713-722.</w:t>
      </w:r>
    </w:p>
    <w:p w14:paraId="3DC388AE"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lastRenderedPageBreak/>
        <w:t xml:space="preserve">26 Emmertsen K.J., Laurberg S. Low anterior resection syndrome score: development and validation of a symptom-based scoring system for bowel dysfunction after low anterior resection for rectal cancer // </w:t>
      </w:r>
      <w:r w:rsidRPr="00B207A9">
        <w:rPr>
          <w:rFonts w:ascii="Times New Roman" w:hAnsi="Times New Roman"/>
          <w:sz w:val="28"/>
          <w:szCs w:val="28"/>
          <w:lang w:val="en-US"/>
        </w:rPr>
        <w:t>Annals of surgery</w:t>
      </w:r>
      <w:r w:rsidRPr="0060528F">
        <w:rPr>
          <w:rFonts w:ascii="Times New Roman" w:hAnsi="Times New Roman"/>
          <w:sz w:val="28"/>
          <w:szCs w:val="28"/>
          <w:lang w:val="en-US"/>
        </w:rPr>
        <w:t>. – 2012. – Vol. 255, №5. – P. 922-928.</w:t>
      </w:r>
    </w:p>
    <w:p w14:paraId="115F5248"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27 Juul T., Ahlberg M., Biondo S. et al. Low Anterior Resection Syndrome and Quality of Life: An International Multicenter Study // Diseases of the Colon &amp; Rectum. – 2014. – Vol. 57, №5. – </w:t>
      </w:r>
      <w:r w:rsidRPr="0060528F">
        <w:rPr>
          <w:rFonts w:ascii="Times New Roman" w:hAnsi="Times New Roman"/>
          <w:sz w:val="28"/>
          <w:szCs w:val="28"/>
        </w:rPr>
        <w:t>Р</w:t>
      </w:r>
      <w:r w:rsidRPr="0060528F">
        <w:rPr>
          <w:rFonts w:ascii="Times New Roman" w:hAnsi="Times New Roman"/>
          <w:sz w:val="28"/>
          <w:szCs w:val="28"/>
          <w:lang w:val="en-US"/>
        </w:rPr>
        <w:t>. 585-591.</w:t>
      </w:r>
    </w:p>
    <w:p w14:paraId="10E44A2F"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28 </w:t>
      </w:r>
      <w:r w:rsidRPr="008613BD">
        <w:rPr>
          <w:rFonts w:ascii="Times New Roman" w:hAnsi="Times New Roman"/>
          <w:sz w:val="28"/>
          <w:szCs w:val="28"/>
          <w:lang w:val="en-US"/>
        </w:rPr>
        <w:t>Koda K., Yamazaki M., Shuto K.,</w:t>
      </w:r>
      <w:r w:rsidRPr="0060528F">
        <w:rPr>
          <w:rFonts w:ascii="Times New Roman" w:hAnsi="Times New Roman"/>
          <w:sz w:val="28"/>
          <w:szCs w:val="28"/>
          <w:lang w:val="en-US"/>
        </w:rPr>
        <w:t xml:space="preserve"> et al. Etiology and management of low anterior resection syndrome based on the normal defecation mechanism // </w:t>
      </w:r>
      <w:r w:rsidRPr="00B207A9">
        <w:rPr>
          <w:rFonts w:ascii="Times New Roman" w:hAnsi="Times New Roman"/>
          <w:sz w:val="28"/>
          <w:szCs w:val="28"/>
          <w:lang w:val="en-US"/>
        </w:rPr>
        <w:t>Surgery today</w:t>
      </w:r>
      <w:r w:rsidRPr="0060528F">
        <w:rPr>
          <w:rFonts w:ascii="Times New Roman" w:hAnsi="Times New Roman"/>
          <w:sz w:val="28"/>
          <w:szCs w:val="28"/>
          <w:lang w:val="en-US"/>
        </w:rPr>
        <w:t>. – 2019. – Vol. 49, №10. –P. 803-808.</w:t>
      </w:r>
    </w:p>
    <w:p w14:paraId="20FE9F21" w14:textId="77777777" w:rsidR="00BB318A" w:rsidRPr="0060528F" w:rsidRDefault="00BB318A" w:rsidP="00BB318A">
      <w:pPr>
        <w:pStyle w:val="a7"/>
        <w:ind w:left="0" w:firstLine="567"/>
        <w:jc w:val="both"/>
        <w:rPr>
          <w:rFonts w:ascii="Times New Roman" w:hAnsi="Times New Roman"/>
          <w:sz w:val="28"/>
          <w:szCs w:val="28"/>
        </w:rPr>
      </w:pPr>
      <w:r w:rsidRPr="0060528F">
        <w:rPr>
          <w:rFonts w:ascii="Times New Roman" w:hAnsi="Times New Roman"/>
          <w:sz w:val="28"/>
          <w:szCs w:val="28"/>
        </w:rPr>
        <w:t>29 Жерлов Г.К., Баширов С.Р., Рыжов А.И. Хирургическая коррекция постколэктомических нарушений: монография. – Новосибирск: Наука, 2004. – 192 с.</w:t>
      </w:r>
    </w:p>
    <w:p w14:paraId="632B755A" w14:textId="77777777" w:rsidR="00BB318A" w:rsidRPr="0060528F" w:rsidRDefault="00BB318A" w:rsidP="00BB318A">
      <w:pPr>
        <w:spacing w:after="0"/>
        <w:ind w:firstLine="567"/>
        <w:jc w:val="both"/>
        <w:rPr>
          <w:rFonts w:ascii="Times New Roman" w:hAnsi="Times New Roman"/>
          <w:sz w:val="28"/>
          <w:szCs w:val="28"/>
        </w:rPr>
      </w:pPr>
      <w:r w:rsidRPr="0060528F">
        <w:rPr>
          <w:rFonts w:ascii="Times New Roman" w:hAnsi="Times New Roman"/>
          <w:sz w:val="28"/>
          <w:szCs w:val="28"/>
          <w:lang w:val="kk-KZ"/>
        </w:rPr>
        <w:t xml:space="preserve">30 </w:t>
      </w:r>
      <w:r w:rsidRPr="0060528F">
        <w:rPr>
          <w:rFonts w:ascii="Times New Roman" w:hAnsi="Times New Roman"/>
          <w:sz w:val="28"/>
          <w:szCs w:val="28"/>
        </w:rPr>
        <w:t>Тажикова А.М., Макишев А.К., Жакипбаев К.А.,</w:t>
      </w:r>
      <w:r w:rsidRPr="0060528F">
        <w:rPr>
          <w:rFonts w:ascii="Times New Roman" w:hAnsi="Times New Roman"/>
          <w:sz w:val="28"/>
          <w:szCs w:val="28"/>
          <w:lang w:val="kk-KZ"/>
        </w:rPr>
        <w:t>Бекишева А</w:t>
      </w:r>
      <w:r w:rsidRPr="0060528F">
        <w:rPr>
          <w:rFonts w:ascii="Times New Roman" w:hAnsi="Times New Roman"/>
          <w:sz w:val="28"/>
          <w:szCs w:val="28"/>
        </w:rPr>
        <w:t>.Т., Куканова А.М. Частота развития LARS после хирургического лечения рака прямой кишки // Евразийский онкологический журнал. – 2022. – Т. 10, №2. – С.</w:t>
      </w:r>
      <w:r w:rsidRPr="00713F2E">
        <w:rPr>
          <w:rFonts w:ascii="Times New Roman" w:hAnsi="Times New Roman"/>
          <w:sz w:val="28"/>
          <w:szCs w:val="28"/>
        </w:rPr>
        <w:t xml:space="preserve"> </w:t>
      </w:r>
      <w:r w:rsidRPr="0060528F">
        <w:rPr>
          <w:rFonts w:ascii="Times New Roman" w:hAnsi="Times New Roman"/>
          <w:sz w:val="28"/>
          <w:szCs w:val="28"/>
          <w:lang w:val="en-US"/>
        </w:rPr>
        <w:t> </w:t>
      </w:r>
      <w:r w:rsidRPr="0060528F">
        <w:rPr>
          <w:rFonts w:ascii="Times New Roman" w:hAnsi="Times New Roman"/>
          <w:sz w:val="28"/>
          <w:szCs w:val="28"/>
        </w:rPr>
        <w:t>109-110.</w:t>
      </w:r>
    </w:p>
    <w:p w14:paraId="1541D8A9" w14:textId="77777777" w:rsidR="00BB318A" w:rsidRPr="004F2438" w:rsidRDefault="00BB318A" w:rsidP="00BB318A">
      <w:pPr>
        <w:spacing w:after="0"/>
        <w:ind w:firstLine="567"/>
        <w:jc w:val="both"/>
        <w:rPr>
          <w:rFonts w:ascii="Times New Roman" w:hAnsi="Times New Roman"/>
          <w:sz w:val="28"/>
          <w:szCs w:val="28"/>
          <w:lang w:val="en-US"/>
        </w:rPr>
      </w:pPr>
      <w:r w:rsidRPr="0060528F">
        <w:rPr>
          <w:rFonts w:ascii="Times New Roman" w:hAnsi="Times New Roman"/>
          <w:sz w:val="28"/>
          <w:szCs w:val="28"/>
        </w:rPr>
        <w:t>31 Захараш М.П., Мельник В.М., Пойда А.И. Метод профилактики постколэктомического синдрома // Хирургия. Журнал</w:t>
      </w:r>
      <w:r w:rsidRPr="004F2438">
        <w:rPr>
          <w:rFonts w:ascii="Times New Roman" w:hAnsi="Times New Roman"/>
          <w:sz w:val="28"/>
          <w:szCs w:val="28"/>
          <w:lang w:val="en-US"/>
        </w:rPr>
        <w:t xml:space="preserve"> </w:t>
      </w:r>
      <w:r w:rsidRPr="0060528F">
        <w:rPr>
          <w:rFonts w:ascii="Times New Roman" w:hAnsi="Times New Roman"/>
          <w:sz w:val="28"/>
          <w:szCs w:val="28"/>
        </w:rPr>
        <w:t>им</w:t>
      </w:r>
      <w:r w:rsidRPr="004F2438">
        <w:rPr>
          <w:rFonts w:ascii="Times New Roman" w:hAnsi="Times New Roman"/>
          <w:sz w:val="28"/>
          <w:szCs w:val="28"/>
          <w:lang w:val="en-US"/>
        </w:rPr>
        <w:t xml:space="preserve">. </w:t>
      </w:r>
      <w:r w:rsidRPr="0060528F">
        <w:rPr>
          <w:rFonts w:ascii="Times New Roman" w:hAnsi="Times New Roman"/>
          <w:sz w:val="28"/>
          <w:szCs w:val="28"/>
        </w:rPr>
        <w:t>Н</w:t>
      </w:r>
      <w:r w:rsidRPr="004F2438">
        <w:rPr>
          <w:rFonts w:ascii="Times New Roman" w:hAnsi="Times New Roman"/>
          <w:sz w:val="28"/>
          <w:szCs w:val="28"/>
          <w:lang w:val="en-US"/>
        </w:rPr>
        <w:t>.</w:t>
      </w:r>
      <w:r w:rsidRPr="0060528F">
        <w:rPr>
          <w:rFonts w:ascii="Times New Roman" w:hAnsi="Times New Roman"/>
          <w:sz w:val="28"/>
          <w:szCs w:val="28"/>
        </w:rPr>
        <w:t>И</w:t>
      </w:r>
      <w:r w:rsidRPr="004F2438">
        <w:rPr>
          <w:rFonts w:ascii="Times New Roman" w:hAnsi="Times New Roman"/>
          <w:sz w:val="28"/>
          <w:szCs w:val="28"/>
          <w:lang w:val="en-US"/>
        </w:rPr>
        <w:t xml:space="preserve">. </w:t>
      </w:r>
      <w:r w:rsidRPr="0060528F">
        <w:rPr>
          <w:rFonts w:ascii="Times New Roman" w:hAnsi="Times New Roman"/>
          <w:sz w:val="28"/>
          <w:szCs w:val="28"/>
        </w:rPr>
        <w:t>Пирогова</w:t>
      </w:r>
      <w:r w:rsidRPr="004F2438">
        <w:rPr>
          <w:rFonts w:ascii="Times New Roman" w:hAnsi="Times New Roman"/>
          <w:sz w:val="28"/>
          <w:szCs w:val="28"/>
          <w:lang w:val="en-US"/>
        </w:rPr>
        <w:t xml:space="preserve">. – 2007. – №4. – </w:t>
      </w:r>
      <w:r w:rsidRPr="0060528F">
        <w:rPr>
          <w:rFonts w:ascii="Times New Roman" w:hAnsi="Times New Roman"/>
          <w:sz w:val="28"/>
          <w:szCs w:val="28"/>
        </w:rPr>
        <w:t>С</w:t>
      </w:r>
      <w:r w:rsidRPr="004F2438">
        <w:rPr>
          <w:rFonts w:ascii="Times New Roman" w:hAnsi="Times New Roman"/>
          <w:sz w:val="28"/>
          <w:szCs w:val="28"/>
          <w:lang w:val="en-US"/>
        </w:rPr>
        <w:t>. 39-44.</w:t>
      </w:r>
    </w:p>
    <w:p w14:paraId="1A219281" w14:textId="77777777" w:rsidR="00BB318A" w:rsidRPr="0060528F" w:rsidRDefault="00BB318A" w:rsidP="00BB318A">
      <w:pPr>
        <w:pStyle w:val="a7"/>
        <w:ind w:left="0" w:firstLine="567"/>
        <w:jc w:val="both"/>
        <w:rPr>
          <w:rFonts w:ascii="Times New Roman" w:hAnsi="Times New Roman"/>
          <w:sz w:val="28"/>
          <w:szCs w:val="28"/>
          <w:lang w:val="en-US"/>
        </w:rPr>
      </w:pPr>
      <w:r w:rsidRPr="0043070E">
        <w:rPr>
          <w:rFonts w:ascii="Times New Roman" w:hAnsi="Times New Roman"/>
          <w:sz w:val="28"/>
          <w:szCs w:val="28"/>
          <w:lang w:val="en-US"/>
        </w:rPr>
        <w:t xml:space="preserve">32 Hope C., Reilly J., Lund J., Andreyev H. </w:t>
      </w:r>
      <w:r w:rsidRPr="0060528F">
        <w:rPr>
          <w:rFonts w:ascii="Times New Roman" w:hAnsi="Times New Roman"/>
          <w:sz w:val="28"/>
          <w:szCs w:val="28"/>
          <w:lang w:val="en-US"/>
        </w:rPr>
        <w:t xml:space="preserve">Systematic review: the effect of right hemicolectomy for cancer on postoperative bowel function // </w:t>
      </w:r>
      <w:r w:rsidRPr="0043070E">
        <w:rPr>
          <w:rFonts w:ascii="Times New Roman" w:hAnsi="Times New Roman"/>
          <w:sz w:val="28"/>
          <w:szCs w:val="28"/>
          <w:lang w:val="en-US"/>
        </w:rPr>
        <w:t>Supportive care in cancer: official journal of the Multinational Association of Supportive Care in Cancer</w:t>
      </w:r>
      <w:r w:rsidRPr="0060528F">
        <w:rPr>
          <w:rFonts w:ascii="Times New Roman" w:hAnsi="Times New Roman"/>
          <w:sz w:val="28"/>
          <w:szCs w:val="28"/>
          <w:lang w:val="en-US"/>
        </w:rPr>
        <w:t>. – 2020. – Vol. 28, №10. – P. 4549-4559.</w:t>
      </w:r>
    </w:p>
    <w:p w14:paraId="14FE20CE" w14:textId="77777777" w:rsidR="00BB318A" w:rsidRPr="009320F6" w:rsidRDefault="00BB318A" w:rsidP="00BB318A">
      <w:pPr>
        <w:pStyle w:val="a7"/>
        <w:ind w:left="0" w:firstLine="567"/>
        <w:jc w:val="both"/>
        <w:rPr>
          <w:rFonts w:ascii="Times New Roman" w:hAnsi="Times New Roman"/>
          <w:sz w:val="28"/>
          <w:szCs w:val="28"/>
          <w:lang w:val="en-US"/>
        </w:rPr>
      </w:pPr>
      <w:r w:rsidRPr="009320F6">
        <w:rPr>
          <w:rFonts w:ascii="Times New Roman" w:hAnsi="Times New Roman"/>
          <w:sz w:val="28"/>
          <w:szCs w:val="28"/>
          <w:lang w:val="en-US"/>
        </w:rPr>
        <w:t xml:space="preserve">33 Jeppesen P.B. The novel use of peptide analogs in short bowel syndrome // </w:t>
      </w:r>
      <w:r w:rsidRPr="00B207A9">
        <w:rPr>
          <w:rFonts w:ascii="Times New Roman" w:hAnsi="Times New Roman"/>
          <w:sz w:val="28"/>
          <w:szCs w:val="28"/>
          <w:lang w:val="en-US"/>
        </w:rPr>
        <w:t>Expert review of gastroenterology &amp; hepatology</w:t>
      </w:r>
      <w:r w:rsidRPr="009320F6">
        <w:rPr>
          <w:rFonts w:ascii="Times New Roman" w:hAnsi="Times New Roman"/>
          <w:sz w:val="28"/>
          <w:szCs w:val="28"/>
          <w:lang w:val="en-US"/>
        </w:rPr>
        <w:t>. – 2013. – Vol. 7, №3. – P. 197-199.</w:t>
      </w:r>
    </w:p>
    <w:p w14:paraId="743D2C51" w14:textId="77777777" w:rsidR="00BB318A" w:rsidRPr="009320F6" w:rsidRDefault="00BB318A" w:rsidP="00BB318A">
      <w:pPr>
        <w:pStyle w:val="a7"/>
        <w:ind w:left="0" w:firstLine="567"/>
        <w:jc w:val="both"/>
        <w:rPr>
          <w:rFonts w:ascii="Times New Roman" w:hAnsi="Times New Roman"/>
          <w:sz w:val="28"/>
          <w:szCs w:val="28"/>
          <w:lang w:val="en-US"/>
        </w:rPr>
      </w:pPr>
      <w:r w:rsidRPr="009320F6">
        <w:rPr>
          <w:rFonts w:ascii="Times New Roman" w:hAnsi="Times New Roman"/>
          <w:sz w:val="28"/>
          <w:szCs w:val="28"/>
          <w:lang w:val="en-US"/>
        </w:rPr>
        <w:t>34 Budreviciute A</w:t>
      </w:r>
      <w:r>
        <w:rPr>
          <w:rFonts w:ascii="Times New Roman" w:hAnsi="Times New Roman"/>
          <w:sz w:val="28"/>
          <w:szCs w:val="28"/>
          <w:lang w:val="en-US"/>
        </w:rPr>
        <w:t>.</w:t>
      </w:r>
      <w:r w:rsidRPr="009320F6">
        <w:rPr>
          <w:rFonts w:ascii="Times New Roman" w:hAnsi="Times New Roman"/>
          <w:sz w:val="28"/>
          <w:szCs w:val="28"/>
          <w:lang w:val="en-US"/>
        </w:rPr>
        <w:t>, Damiati S</w:t>
      </w:r>
      <w:r>
        <w:rPr>
          <w:rFonts w:ascii="Times New Roman" w:hAnsi="Times New Roman"/>
          <w:sz w:val="28"/>
          <w:szCs w:val="28"/>
          <w:lang w:val="en-US"/>
        </w:rPr>
        <w:t>.</w:t>
      </w:r>
      <w:r w:rsidRPr="009320F6">
        <w:rPr>
          <w:rFonts w:ascii="Times New Roman" w:hAnsi="Times New Roman"/>
          <w:sz w:val="28"/>
          <w:szCs w:val="28"/>
          <w:lang w:val="en-US"/>
        </w:rPr>
        <w:t>, Sabir D</w:t>
      </w:r>
      <w:r>
        <w:rPr>
          <w:rFonts w:ascii="Times New Roman" w:hAnsi="Times New Roman"/>
          <w:sz w:val="28"/>
          <w:szCs w:val="28"/>
          <w:lang w:val="en-US"/>
        </w:rPr>
        <w:t>.</w:t>
      </w:r>
      <w:r w:rsidRPr="009320F6">
        <w:rPr>
          <w:rFonts w:ascii="Times New Roman" w:hAnsi="Times New Roman"/>
          <w:sz w:val="28"/>
          <w:szCs w:val="28"/>
          <w:lang w:val="en-US"/>
        </w:rPr>
        <w:t>K</w:t>
      </w:r>
      <w:r>
        <w:rPr>
          <w:rFonts w:ascii="Times New Roman" w:hAnsi="Times New Roman"/>
          <w:sz w:val="28"/>
          <w:szCs w:val="28"/>
          <w:lang w:val="en-US"/>
        </w:rPr>
        <w:t>.</w:t>
      </w:r>
      <w:r w:rsidRPr="009320F6">
        <w:rPr>
          <w:rFonts w:ascii="Times New Roman" w:hAnsi="Times New Roman"/>
          <w:sz w:val="28"/>
          <w:szCs w:val="28"/>
          <w:lang w:val="en-US"/>
        </w:rPr>
        <w:t xml:space="preserve">, </w:t>
      </w:r>
      <w:r>
        <w:rPr>
          <w:rFonts w:ascii="Times New Roman" w:hAnsi="Times New Roman"/>
          <w:sz w:val="28"/>
          <w:szCs w:val="28"/>
          <w:lang w:val="en-US"/>
        </w:rPr>
        <w:t>et al</w:t>
      </w:r>
      <w:r w:rsidRPr="009320F6">
        <w:rPr>
          <w:rFonts w:ascii="Times New Roman" w:hAnsi="Times New Roman"/>
          <w:sz w:val="28"/>
          <w:szCs w:val="28"/>
          <w:lang w:val="en-US"/>
        </w:rPr>
        <w:t xml:space="preserve">. Management and Prevention Strategies for Non-communicable Diseases (NCDs) and Their Risk Factors // </w:t>
      </w:r>
      <w:r w:rsidRPr="00B207A9">
        <w:rPr>
          <w:rFonts w:ascii="Times New Roman" w:hAnsi="Times New Roman"/>
          <w:sz w:val="28"/>
          <w:szCs w:val="28"/>
          <w:lang w:val="en-US"/>
        </w:rPr>
        <w:t>Frontiers in public health</w:t>
      </w:r>
      <w:r w:rsidRPr="009320F6">
        <w:rPr>
          <w:rFonts w:ascii="Times New Roman" w:hAnsi="Times New Roman"/>
          <w:sz w:val="28"/>
          <w:szCs w:val="28"/>
          <w:lang w:val="en-US"/>
        </w:rPr>
        <w:t>.</w:t>
      </w:r>
      <w:r w:rsidRPr="0043070E">
        <w:rPr>
          <w:rFonts w:ascii="Times New Roman" w:hAnsi="Times New Roman"/>
          <w:sz w:val="28"/>
          <w:szCs w:val="28"/>
          <w:lang w:val="en-US"/>
        </w:rPr>
        <w:t xml:space="preserve"> – </w:t>
      </w:r>
      <w:r w:rsidRPr="009320F6">
        <w:rPr>
          <w:rFonts w:ascii="Times New Roman" w:hAnsi="Times New Roman"/>
          <w:sz w:val="28"/>
          <w:szCs w:val="28"/>
          <w:lang w:val="en-US"/>
        </w:rPr>
        <w:t>2020</w:t>
      </w:r>
      <w:r>
        <w:rPr>
          <w:rFonts w:ascii="Times New Roman" w:hAnsi="Times New Roman"/>
          <w:sz w:val="28"/>
          <w:szCs w:val="28"/>
          <w:lang w:val="en-US"/>
        </w:rPr>
        <w:t>.</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9320F6">
        <w:rPr>
          <w:rFonts w:ascii="Times New Roman" w:hAnsi="Times New Roman"/>
          <w:sz w:val="28"/>
          <w:szCs w:val="28"/>
          <w:lang w:val="en-US"/>
        </w:rPr>
        <w:t>8</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9320F6">
        <w:rPr>
          <w:rFonts w:ascii="Times New Roman" w:hAnsi="Times New Roman"/>
          <w:sz w:val="28"/>
          <w:szCs w:val="28"/>
          <w:lang w:val="en-US"/>
        </w:rPr>
        <w:t>574</w:t>
      </w:r>
      <w:r>
        <w:rPr>
          <w:rFonts w:ascii="Times New Roman" w:hAnsi="Times New Roman"/>
          <w:sz w:val="28"/>
          <w:szCs w:val="28"/>
          <w:lang w:val="en-US"/>
        </w:rPr>
        <w:t>-579</w:t>
      </w:r>
      <w:r w:rsidRPr="009320F6">
        <w:rPr>
          <w:rFonts w:ascii="Times New Roman" w:hAnsi="Times New Roman"/>
          <w:sz w:val="28"/>
          <w:szCs w:val="28"/>
          <w:lang w:val="en-US"/>
        </w:rPr>
        <w:t>.</w:t>
      </w:r>
    </w:p>
    <w:p w14:paraId="69DA0314" w14:textId="77777777" w:rsidR="00BB318A" w:rsidRPr="009320F6" w:rsidRDefault="00BB318A" w:rsidP="00BB318A">
      <w:pPr>
        <w:pStyle w:val="a7"/>
        <w:ind w:left="0" w:firstLine="567"/>
        <w:jc w:val="both"/>
        <w:rPr>
          <w:rFonts w:ascii="Times New Roman" w:hAnsi="Times New Roman"/>
          <w:sz w:val="28"/>
          <w:szCs w:val="28"/>
          <w:lang w:val="en-US"/>
        </w:rPr>
      </w:pPr>
      <w:r w:rsidRPr="009320F6">
        <w:rPr>
          <w:rFonts w:ascii="Times New Roman" w:hAnsi="Times New Roman"/>
          <w:sz w:val="28"/>
          <w:szCs w:val="28"/>
          <w:lang w:val="en-US"/>
        </w:rPr>
        <w:t>35 Global status report on noncommunicable diseases // World Health Organization</w:t>
      </w:r>
      <w:r>
        <w:rPr>
          <w:rFonts w:ascii="Times New Roman" w:hAnsi="Times New Roman"/>
          <w:sz w:val="28"/>
          <w:szCs w:val="28"/>
          <w:lang w:val="en-US"/>
        </w:rPr>
        <w:t xml:space="preserve">. </w:t>
      </w:r>
      <w:r w:rsidRPr="00C954CB">
        <w:rPr>
          <w:rFonts w:ascii="Times New Roman" w:hAnsi="Times New Roman"/>
          <w:sz w:val="28"/>
          <w:szCs w:val="28"/>
          <w:lang w:val="en-US"/>
        </w:rPr>
        <w:t>URL: https://</w:t>
      </w:r>
      <w:r w:rsidRPr="009320F6">
        <w:rPr>
          <w:rFonts w:ascii="Times New Roman" w:hAnsi="Times New Roman"/>
          <w:sz w:val="28"/>
          <w:szCs w:val="28"/>
          <w:lang w:val="en-US"/>
        </w:rPr>
        <w:t>http://www.who.int/nmh/publications/ncd-status-report.</w:t>
      </w:r>
      <w:r w:rsidRPr="00AA4F13">
        <w:rPr>
          <w:rFonts w:ascii="Times New Roman" w:hAnsi="Times New Roman"/>
          <w:sz w:val="28"/>
          <w:szCs w:val="28"/>
          <w:lang w:val="en-US"/>
        </w:rPr>
        <w:t xml:space="preserve"> (дата обращения: </w:t>
      </w:r>
      <w:r>
        <w:rPr>
          <w:rFonts w:ascii="Times New Roman" w:hAnsi="Times New Roman"/>
          <w:sz w:val="28"/>
          <w:szCs w:val="28"/>
          <w:lang w:val="en-US"/>
        </w:rPr>
        <w:t>12</w:t>
      </w:r>
      <w:r w:rsidRPr="00AA4F13">
        <w:rPr>
          <w:rFonts w:ascii="Times New Roman" w:hAnsi="Times New Roman"/>
          <w:sz w:val="28"/>
          <w:szCs w:val="28"/>
          <w:lang w:val="en-US"/>
        </w:rPr>
        <w:t>.0</w:t>
      </w:r>
      <w:r>
        <w:rPr>
          <w:rFonts w:ascii="Times New Roman" w:hAnsi="Times New Roman"/>
          <w:sz w:val="28"/>
          <w:szCs w:val="28"/>
          <w:lang w:val="en-US"/>
        </w:rPr>
        <w:t>2</w:t>
      </w:r>
      <w:r w:rsidRPr="00AA4F13">
        <w:rPr>
          <w:rFonts w:ascii="Times New Roman" w:hAnsi="Times New Roman"/>
          <w:sz w:val="28"/>
          <w:szCs w:val="28"/>
          <w:lang w:val="en-US"/>
        </w:rPr>
        <w:t>.2022).</w:t>
      </w:r>
    </w:p>
    <w:p w14:paraId="6BB50695" w14:textId="77777777" w:rsidR="00BB318A" w:rsidRDefault="00BB318A" w:rsidP="00BB318A">
      <w:pPr>
        <w:pStyle w:val="a7"/>
        <w:ind w:left="0" w:firstLine="567"/>
        <w:jc w:val="both"/>
        <w:rPr>
          <w:rFonts w:ascii="Times New Roman" w:hAnsi="Times New Roman"/>
          <w:sz w:val="28"/>
          <w:szCs w:val="28"/>
          <w:lang w:val="en-US"/>
        </w:rPr>
      </w:pPr>
      <w:r w:rsidRPr="009320F6">
        <w:rPr>
          <w:rFonts w:ascii="Times New Roman" w:hAnsi="Times New Roman"/>
          <w:sz w:val="28"/>
          <w:szCs w:val="28"/>
          <w:lang w:val="en-US"/>
        </w:rPr>
        <w:t>36 Tamas K., Walenkamp</w:t>
      </w:r>
      <w:r>
        <w:rPr>
          <w:rFonts w:ascii="Times New Roman" w:hAnsi="Times New Roman"/>
          <w:sz w:val="28"/>
          <w:szCs w:val="28"/>
          <w:lang w:val="en-US"/>
        </w:rPr>
        <w:t xml:space="preserve"> </w:t>
      </w:r>
      <w:r w:rsidRPr="009320F6">
        <w:rPr>
          <w:rFonts w:ascii="Times New Roman" w:hAnsi="Times New Roman"/>
          <w:sz w:val="28"/>
          <w:szCs w:val="28"/>
          <w:lang w:val="en-US"/>
        </w:rPr>
        <w:t xml:space="preserve">A.M., de Vries E.G., </w:t>
      </w:r>
      <w:r>
        <w:rPr>
          <w:rFonts w:ascii="Times New Roman" w:hAnsi="Times New Roman"/>
          <w:sz w:val="28"/>
          <w:szCs w:val="28"/>
          <w:lang w:val="en-US"/>
        </w:rPr>
        <w:t>et al</w:t>
      </w:r>
      <w:r w:rsidRPr="009320F6">
        <w:rPr>
          <w:rFonts w:ascii="Times New Roman" w:hAnsi="Times New Roman"/>
          <w:sz w:val="28"/>
          <w:szCs w:val="28"/>
          <w:lang w:val="en-US"/>
        </w:rPr>
        <w:t>. Rectal and colon cancer: Not just a different anatomic site // Cancer treatment reviews.</w:t>
      </w:r>
      <w:r w:rsidRPr="0043070E">
        <w:rPr>
          <w:rFonts w:ascii="Times New Roman" w:hAnsi="Times New Roman"/>
          <w:sz w:val="28"/>
          <w:szCs w:val="28"/>
          <w:lang w:val="en-US"/>
        </w:rPr>
        <w:t xml:space="preserve"> – </w:t>
      </w:r>
      <w:r w:rsidRPr="009320F6">
        <w:rPr>
          <w:rFonts w:ascii="Times New Roman" w:hAnsi="Times New Roman"/>
          <w:sz w:val="28"/>
          <w:szCs w:val="28"/>
          <w:lang w:val="en-US"/>
        </w:rPr>
        <w:t>2015</w:t>
      </w:r>
      <w:r>
        <w:rPr>
          <w:rFonts w:ascii="Times New Roman" w:hAnsi="Times New Roman"/>
          <w:sz w:val="28"/>
          <w:szCs w:val="28"/>
          <w:lang w:val="en-US"/>
        </w:rPr>
        <w:t>.</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9320F6">
        <w:rPr>
          <w:rFonts w:ascii="Times New Roman" w:hAnsi="Times New Roman"/>
          <w:sz w:val="28"/>
          <w:szCs w:val="28"/>
          <w:lang w:val="en-US"/>
        </w:rPr>
        <w:t>41, №</w:t>
      </w:r>
      <w:r>
        <w:rPr>
          <w:rFonts w:ascii="Times New Roman" w:hAnsi="Times New Roman"/>
          <w:sz w:val="28"/>
          <w:szCs w:val="28"/>
          <w:lang w:val="en-US"/>
        </w:rPr>
        <w:t xml:space="preserve"> </w:t>
      </w:r>
      <w:r w:rsidRPr="009320F6">
        <w:rPr>
          <w:rFonts w:ascii="Times New Roman" w:hAnsi="Times New Roman"/>
          <w:sz w:val="28"/>
          <w:szCs w:val="28"/>
          <w:lang w:val="en-US"/>
        </w:rPr>
        <w:t>8, – P. 671–679.</w:t>
      </w:r>
    </w:p>
    <w:p w14:paraId="1ACA66AF" w14:textId="77777777" w:rsidR="00BB318A" w:rsidRDefault="00BB318A" w:rsidP="00BB318A">
      <w:pPr>
        <w:pStyle w:val="a7"/>
        <w:ind w:left="0" w:firstLine="567"/>
        <w:jc w:val="both"/>
        <w:rPr>
          <w:rFonts w:ascii="Times New Roman" w:hAnsi="Times New Roman"/>
          <w:sz w:val="28"/>
          <w:szCs w:val="28"/>
          <w:lang w:val="en-US"/>
        </w:rPr>
      </w:pPr>
      <w:r w:rsidRPr="009320F6">
        <w:rPr>
          <w:rFonts w:ascii="Times New Roman" w:hAnsi="Times New Roman"/>
          <w:sz w:val="28"/>
          <w:szCs w:val="28"/>
          <w:lang w:val="en-US"/>
        </w:rPr>
        <w:t xml:space="preserve">37 </w:t>
      </w:r>
      <w:r w:rsidRPr="00F74CC2">
        <w:rPr>
          <w:rFonts w:ascii="Times New Roman" w:hAnsi="Times New Roman"/>
          <w:sz w:val="28"/>
          <w:szCs w:val="28"/>
          <w:lang w:val="en-US"/>
        </w:rPr>
        <w:t>American Cancer Society. Cancer Facts &amp; Figures 2022</w:t>
      </w:r>
      <w:r w:rsidRPr="009320F6">
        <w:rPr>
          <w:rFonts w:ascii="Times New Roman" w:hAnsi="Times New Roman"/>
          <w:sz w:val="28"/>
          <w:szCs w:val="28"/>
          <w:lang w:val="en-US"/>
        </w:rPr>
        <w:t xml:space="preserve"> // </w:t>
      </w:r>
      <w:r w:rsidRPr="00F74CC2">
        <w:rPr>
          <w:rFonts w:ascii="Times New Roman" w:hAnsi="Times New Roman"/>
          <w:sz w:val="28"/>
          <w:szCs w:val="28"/>
          <w:lang w:val="en-US"/>
        </w:rPr>
        <w:t>Atlanta, Ga: American Cancer Society; 2022.</w:t>
      </w:r>
      <w:r>
        <w:rPr>
          <w:rFonts w:ascii="Times New Roman" w:hAnsi="Times New Roman"/>
          <w:sz w:val="28"/>
          <w:szCs w:val="28"/>
          <w:lang w:val="en-US"/>
        </w:rPr>
        <w:t xml:space="preserve"> </w:t>
      </w:r>
      <w:r w:rsidRPr="00AA4F13">
        <w:rPr>
          <w:rFonts w:ascii="Times New Roman" w:hAnsi="Times New Roman"/>
          <w:sz w:val="28"/>
          <w:szCs w:val="28"/>
          <w:lang w:val="en-US"/>
        </w:rPr>
        <w:t xml:space="preserve">(дата обращения: </w:t>
      </w:r>
      <w:r>
        <w:rPr>
          <w:rFonts w:ascii="Times New Roman" w:hAnsi="Times New Roman"/>
          <w:sz w:val="28"/>
          <w:szCs w:val="28"/>
          <w:lang w:val="en-US"/>
        </w:rPr>
        <w:t>24</w:t>
      </w:r>
      <w:r w:rsidRPr="00AA4F13">
        <w:rPr>
          <w:rFonts w:ascii="Times New Roman" w:hAnsi="Times New Roman"/>
          <w:sz w:val="28"/>
          <w:szCs w:val="28"/>
          <w:lang w:val="en-US"/>
        </w:rPr>
        <w:t>.0</w:t>
      </w:r>
      <w:r>
        <w:rPr>
          <w:rFonts w:ascii="Times New Roman" w:hAnsi="Times New Roman"/>
          <w:sz w:val="28"/>
          <w:szCs w:val="28"/>
          <w:lang w:val="en-US"/>
        </w:rPr>
        <w:t>1</w:t>
      </w:r>
      <w:r w:rsidRPr="00AA4F13">
        <w:rPr>
          <w:rFonts w:ascii="Times New Roman" w:hAnsi="Times New Roman"/>
          <w:sz w:val="28"/>
          <w:szCs w:val="28"/>
          <w:lang w:val="en-US"/>
        </w:rPr>
        <w:t>.2022).</w:t>
      </w:r>
    </w:p>
    <w:p w14:paraId="61D2186C" w14:textId="77777777" w:rsidR="00BB318A" w:rsidRDefault="00BB318A" w:rsidP="00BB318A">
      <w:pPr>
        <w:pStyle w:val="a7"/>
        <w:ind w:left="0" w:firstLine="567"/>
        <w:jc w:val="both"/>
        <w:rPr>
          <w:rFonts w:ascii="Times New Roman" w:hAnsi="Times New Roman"/>
          <w:sz w:val="28"/>
          <w:szCs w:val="28"/>
          <w:lang w:val="en-US"/>
        </w:rPr>
      </w:pPr>
      <w:r w:rsidRPr="009320F6">
        <w:rPr>
          <w:rFonts w:ascii="Times New Roman" w:hAnsi="Times New Roman"/>
          <w:sz w:val="28"/>
          <w:szCs w:val="28"/>
          <w:lang w:val="en-US"/>
        </w:rPr>
        <w:t xml:space="preserve">38 </w:t>
      </w:r>
      <w:r w:rsidRPr="003E4122">
        <w:rPr>
          <w:rFonts w:ascii="Times New Roman" w:hAnsi="Times New Roman"/>
          <w:sz w:val="28"/>
          <w:szCs w:val="28"/>
          <w:lang w:val="en-US"/>
        </w:rPr>
        <w:t>Ghoncheh M, Mohammadian M, Mohammadian-Hafshejani A, et al. The Incidence and Mortality of Colorectal Cancer and Its Relationship With the Human Development Index in Asia</w:t>
      </w:r>
      <w:r w:rsidRPr="009320F6">
        <w:rPr>
          <w:rFonts w:ascii="Times New Roman" w:hAnsi="Times New Roman"/>
          <w:sz w:val="28"/>
          <w:szCs w:val="28"/>
          <w:lang w:val="en-US"/>
        </w:rPr>
        <w:t xml:space="preserve"> // </w:t>
      </w:r>
      <w:r w:rsidRPr="00053305">
        <w:rPr>
          <w:rFonts w:ascii="Times New Roman" w:hAnsi="Times New Roman"/>
          <w:sz w:val="28"/>
          <w:szCs w:val="28"/>
          <w:lang w:val="en-US"/>
        </w:rPr>
        <w:t>Annals of global health</w:t>
      </w:r>
      <w:r w:rsidRPr="009320F6">
        <w:rPr>
          <w:rFonts w:ascii="Times New Roman" w:hAnsi="Times New Roman"/>
          <w:sz w:val="28"/>
          <w:szCs w:val="28"/>
          <w:lang w:val="en-US"/>
        </w:rPr>
        <w:t>.</w:t>
      </w:r>
      <w:r w:rsidRPr="0043070E">
        <w:rPr>
          <w:rFonts w:ascii="Times New Roman" w:hAnsi="Times New Roman"/>
          <w:sz w:val="28"/>
          <w:szCs w:val="28"/>
          <w:lang w:val="en-US"/>
        </w:rPr>
        <w:t xml:space="preserve"> – </w:t>
      </w:r>
      <w:r w:rsidRPr="003E4122">
        <w:rPr>
          <w:rFonts w:ascii="Times New Roman" w:hAnsi="Times New Roman"/>
          <w:sz w:val="28"/>
          <w:szCs w:val="28"/>
          <w:lang w:val="en-US"/>
        </w:rPr>
        <w:t>2016</w:t>
      </w:r>
      <w:r>
        <w:rPr>
          <w:rFonts w:ascii="Times New Roman" w:hAnsi="Times New Roman"/>
          <w:sz w:val="28"/>
          <w:szCs w:val="28"/>
          <w:lang w:val="en-US"/>
        </w:rPr>
        <w:t>.</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3E4122">
        <w:rPr>
          <w:rFonts w:ascii="Times New Roman" w:hAnsi="Times New Roman"/>
          <w:sz w:val="28"/>
          <w:szCs w:val="28"/>
          <w:lang w:val="en-US"/>
        </w:rPr>
        <w:t>82</w:t>
      </w:r>
      <w:r>
        <w:rPr>
          <w:rFonts w:ascii="Times New Roman" w:hAnsi="Times New Roman"/>
          <w:sz w:val="28"/>
          <w:szCs w:val="28"/>
          <w:lang w:val="en-US"/>
        </w:rPr>
        <w:t xml:space="preserve">. </w:t>
      </w:r>
      <w:r w:rsidRPr="0060528F">
        <w:rPr>
          <w:rFonts w:ascii="Times New Roman" w:hAnsi="Times New Roman"/>
          <w:sz w:val="28"/>
          <w:szCs w:val="28"/>
          <w:lang w:val="en-US"/>
        </w:rPr>
        <w:t>– P.</w:t>
      </w:r>
      <w:r w:rsidRPr="003E4122">
        <w:rPr>
          <w:rFonts w:ascii="Times New Roman" w:hAnsi="Times New Roman"/>
          <w:sz w:val="28"/>
          <w:szCs w:val="28"/>
          <w:lang w:val="en-US"/>
        </w:rPr>
        <w:t>726–37</w:t>
      </w:r>
      <w:r>
        <w:rPr>
          <w:rFonts w:ascii="Times New Roman" w:hAnsi="Times New Roman"/>
          <w:sz w:val="28"/>
          <w:szCs w:val="28"/>
          <w:lang w:val="en-US"/>
        </w:rPr>
        <w:t>.</w:t>
      </w:r>
    </w:p>
    <w:p w14:paraId="53FFC0B3" w14:textId="77777777" w:rsidR="00BB318A"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39 </w:t>
      </w:r>
      <w:r w:rsidRPr="00BC2423">
        <w:rPr>
          <w:rFonts w:ascii="Times New Roman" w:hAnsi="Times New Roman"/>
          <w:sz w:val="28"/>
          <w:szCs w:val="28"/>
          <w:lang w:val="en-US"/>
        </w:rPr>
        <w:t xml:space="preserve">Dolatkhah R., Somi M.H., Kermani I.A., </w:t>
      </w:r>
      <w:r>
        <w:rPr>
          <w:rFonts w:ascii="Times New Roman" w:hAnsi="Times New Roman"/>
          <w:sz w:val="28"/>
          <w:szCs w:val="28"/>
          <w:lang w:val="en-US"/>
        </w:rPr>
        <w:t>et al</w:t>
      </w:r>
      <w:r w:rsidRPr="00BC2423">
        <w:rPr>
          <w:rFonts w:ascii="Times New Roman" w:hAnsi="Times New Roman"/>
          <w:sz w:val="28"/>
          <w:szCs w:val="28"/>
          <w:lang w:val="en-US"/>
        </w:rPr>
        <w:t>. Increased colorectal cancer incidence in Iran: a systematic review and meta-analysis</w:t>
      </w:r>
      <w:r w:rsidRPr="009320F6">
        <w:rPr>
          <w:rFonts w:ascii="Times New Roman" w:hAnsi="Times New Roman"/>
          <w:sz w:val="28"/>
          <w:szCs w:val="28"/>
          <w:lang w:val="en-US"/>
        </w:rPr>
        <w:t xml:space="preserve"> // </w:t>
      </w:r>
      <w:r w:rsidRPr="00BC2423">
        <w:rPr>
          <w:rFonts w:ascii="Times New Roman" w:hAnsi="Times New Roman"/>
          <w:sz w:val="28"/>
          <w:szCs w:val="28"/>
          <w:lang w:val="en-US"/>
        </w:rPr>
        <w:t>BMC public health</w:t>
      </w:r>
      <w:r>
        <w:rPr>
          <w:rFonts w:ascii="Times New Roman" w:hAnsi="Times New Roman"/>
          <w:sz w:val="28"/>
          <w:szCs w:val="28"/>
          <w:lang w:val="en-US"/>
        </w:rPr>
        <w:t>.</w:t>
      </w:r>
      <w:r w:rsidRPr="00BC2423">
        <w:rPr>
          <w:rFonts w:ascii="Times New Roman" w:hAnsi="Times New Roman"/>
          <w:sz w:val="28"/>
          <w:szCs w:val="28"/>
          <w:lang w:val="en-US"/>
        </w:rPr>
        <w:t xml:space="preserve"> </w:t>
      </w:r>
      <w:r w:rsidRPr="0043070E">
        <w:rPr>
          <w:rFonts w:ascii="Times New Roman" w:hAnsi="Times New Roman"/>
          <w:sz w:val="28"/>
          <w:szCs w:val="28"/>
          <w:lang w:val="en-US"/>
        </w:rPr>
        <w:t xml:space="preserve">– </w:t>
      </w:r>
      <w:r w:rsidRPr="009320F6">
        <w:rPr>
          <w:rFonts w:ascii="Times New Roman" w:hAnsi="Times New Roman"/>
          <w:sz w:val="28"/>
          <w:szCs w:val="28"/>
          <w:lang w:val="en-US"/>
        </w:rPr>
        <w:t>2015</w:t>
      </w:r>
      <w:r>
        <w:rPr>
          <w:rFonts w:ascii="Times New Roman" w:hAnsi="Times New Roman"/>
          <w:sz w:val="28"/>
          <w:szCs w:val="28"/>
          <w:lang w:val="en-US"/>
        </w:rPr>
        <w:t>.</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BC2423">
        <w:rPr>
          <w:rFonts w:ascii="Times New Roman" w:hAnsi="Times New Roman"/>
          <w:sz w:val="28"/>
          <w:szCs w:val="28"/>
          <w:lang w:val="en-US"/>
        </w:rPr>
        <w:t>15</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BC2423">
        <w:rPr>
          <w:rFonts w:ascii="Times New Roman" w:hAnsi="Times New Roman"/>
          <w:sz w:val="28"/>
          <w:szCs w:val="28"/>
          <w:lang w:val="en-US"/>
        </w:rPr>
        <w:t>997.</w:t>
      </w:r>
    </w:p>
    <w:p w14:paraId="15906839" w14:textId="77777777" w:rsidR="00BB318A"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lastRenderedPageBreak/>
        <w:t xml:space="preserve">40 </w:t>
      </w:r>
      <w:r w:rsidRPr="00F83E27">
        <w:rPr>
          <w:rFonts w:ascii="Times New Roman" w:hAnsi="Times New Roman"/>
          <w:sz w:val="28"/>
          <w:szCs w:val="28"/>
          <w:lang w:val="en-US"/>
        </w:rPr>
        <w:t xml:space="preserve">Labianca R., Beretta G. D., Kildani B., </w:t>
      </w:r>
      <w:r>
        <w:rPr>
          <w:rFonts w:ascii="Times New Roman" w:hAnsi="Times New Roman"/>
          <w:sz w:val="28"/>
          <w:szCs w:val="28"/>
          <w:lang w:val="en-US"/>
        </w:rPr>
        <w:t>et al</w:t>
      </w:r>
      <w:r w:rsidRPr="00F83E27">
        <w:rPr>
          <w:rFonts w:ascii="Times New Roman" w:hAnsi="Times New Roman"/>
          <w:sz w:val="28"/>
          <w:szCs w:val="28"/>
          <w:lang w:val="en-US"/>
        </w:rPr>
        <w:t>. Colon cancer</w:t>
      </w:r>
      <w:r w:rsidRPr="009320F6">
        <w:rPr>
          <w:rFonts w:ascii="Times New Roman" w:hAnsi="Times New Roman"/>
          <w:sz w:val="28"/>
          <w:szCs w:val="28"/>
          <w:lang w:val="en-US"/>
        </w:rPr>
        <w:t xml:space="preserve"> // </w:t>
      </w:r>
      <w:r w:rsidRPr="00F83E27">
        <w:rPr>
          <w:rFonts w:ascii="Times New Roman" w:hAnsi="Times New Roman"/>
          <w:sz w:val="28"/>
          <w:szCs w:val="28"/>
          <w:lang w:val="en-US"/>
        </w:rPr>
        <w:t>Critical reviews in oncology/hematology</w:t>
      </w:r>
      <w:r>
        <w:rPr>
          <w:rFonts w:ascii="Times New Roman" w:hAnsi="Times New Roman"/>
          <w:sz w:val="28"/>
          <w:szCs w:val="28"/>
          <w:lang w:val="en-US"/>
        </w:rPr>
        <w:t>.</w:t>
      </w:r>
      <w:r w:rsidRPr="0043070E">
        <w:rPr>
          <w:rFonts w:ascii="Times New Roman" w:hAnsi="Times New Roman"/>
          <w:sz w:val="28"/>
          <w:szCs w:val="28"/>
          <w:lang w:val="en-US"/>
        </w:rPr>
        <w:t xml:space="preserve"> – </w:t>
      </w:r>
      <w:r w:rsidRPr="003E4122">
        <w:rPr>
          <w:rFonts w:ascii="Times New Roman" w:hAnsi="Times New Roman"/>
          <w:sz w:val="28"/>
          <w:szCs w:val="28"/>
          <w:lang w:val="en-US"/>
        </w:rPr>
        <w:t>201</w:t>
      </w:r>
      <w:r>
        <w:rPr>
          <w:rFonts w:ascii="Times New Roman" w:hAnsi="Times New Roman"/>
          <w:sz w:val="28"/>
          <w:szCs w:val="28"/>
          <w:lang w:val="en-US"/>
        </w:rPr>
        <w:t>0.</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F83E27">
        <w:rPr>
          <w:rFonts w:ascii="Times New Roman" w:hAnsi="Times New Roman"/>
          <w:sz w:val="28"/>
          <w:szCs w:val="28"/>
          <w:lang w:val="en-US"/>
        </w:rPr>
        <w:t>74</w:t>
      </w:r>
      <w:r w:rsidRPr="009320F6">
        <w:rPr>
          <w:rFonts w:ascii="Times New Roman" w:hAnsi="Times New Roman"/>
          <w:sz w:val="28"/>
          <w:szCs w:val="28"/>
          <w:lang w:val="en-US"/>
        </w:rPr>
        <w:t>, №</w:t>
      </w:r>
      <w:r>
        <w:rPr>
          <w:rFonts w:ascii="Times New Roman" w:hAnsi="Times New Roman"/>
          <w:sz w:val="28"/>
          <w:szCs w:val="28"/>
          <w:lang w:val="en-US"/>
        </w:rPr>
        <w:t xml:space="preserve"> </w:t>
      </w:r>
      <w:r w:rsidRPr="00F83E27">
        <w:rPr>
          <w:rFonts w:ascii="Times New Roman" w:hAnsi="Times New Roman"/>
          <w:sz w:val="28"/>
          <w:szCs w:val="28"/>
          <w:lang w:val="en-US"/>
        </w:rPr>
        <w:t>2</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F83E27">
        <w:rPr>
          <w:rFonts w:ascii="Times New Roman" w:hAnsi="Times New Roman"/>
          <w:sz w:val="28"/>
          <w:szCs w:val="28"/>
          <w:lang w:val="en-US"/>
        </w:rPr>
        <w:t>106–133.</w:t>
      </w:r>
    </w:p>
    <w:p w14:paraId="5FFB1A56" w14:textId="77777777" w:rsidR="00BB318A" w:rsidRDefault="00BB318A" w:rsidP="00BB318A">
      <w:pPr>
        <w:pStyle w:val="a7"/>
        <w:ind w:left="0" w:firstLine="567"/>
        <w:jc w:val="both"/>
        <w:rPr>
          <w:rFonts w:ascii="Times New Roman" w:hAnsi="Times New Roman"/>
          <w:sz w:val="28"/>
          <w:szCs w:val="28"/>
          <w:lang w:val="en-US"/>
        </w:rPr>
      </w:pPr>
      <w:r w:rsidRPr="00271648">
        <w:rPr>
          <w:rFonts w:ascii="Times New Roman" w:hAnsi="Times New Roman"/>
          <w:sz w:val="28"/>
          <w:szCs w:val="28"/>
          <w:lang w:val="en-US"/>
        </w:rPr>
        <w:t xml:space="preserve">41 </w:t>
      </w:r>
      <w:r w:rsidRPr="00A120F7">
        <w:rPr>
          <w:rFonts w:ascii="Times New Roman" w:hAnsi="Times New Roman"/>
          <w:sz w:val="28"/>
          <w:szCs w:val="28"/>
          <w:lang w:val="en-US"/>
        </w:rPr>
        <w:t xml:space="preserve">Sung H., Ferlay J., Siegel R. L., </w:t>
      </w:r>
      <w:r>
        <w:rPr>
          <w:rFonts w:ascii="Times New Roman" w:hAnsi="Times New Roman"/>
          <w:sz w:val="28"/>
          <w:szCs w:val="28"/>
          <w:lang w:val="en-US"/>
        </w:rPr>
        <w:t>et al</w:t>
      </w:r>
      <w:r w:rsidRPr="00A120F7">
        <w:rPr>
          <w:rFonts w:ascii="Times New Roman" w:hAnsi="Times New Roman"/>
          <w:sz w:val="28"/>
          <w:szCs w:val="28"/>
          <w:lang w:val="en-US"/>
        </w:rPr>
        <w:t>. Global Cancer Statistics 2020: GLOBOCAN Estimates of Incidence and Mortality Worldwide for 36 Cancers in 185 Countries</w:t>
      </w:r>
      <w:r w:rsidRPr="009320F6">
        <w:rPr>
          <w:rFonts w:ascii="Times New Roman" w:hAnsi="Times New Roman"/>
          <w:sz w:val="28"/>
          <w:szCs w:val="28"/>
          <w:lang w:val="en-US"/>
        </w:rPr>
        <w:t xml:space="preserve"> // </w:t>
      </w:r>
      <w:r w:rsidRPr="00A120F7">
        <w:rPr>
          <w:rFonts w:ascii="Times New Roman" w:hAnsi="Times New Roman"/>
          <w:sz w:val="28"/>
          <w:szCs w:val="28"/>
          <w:lang w:val="en-US"/>
        </w:rPr>
        <w:t>CA: a cancer journal for clinicians</w:t>
      </w:r>
      <w:r w:rsidRPr="009320F6">
        <w:rPr>
          <w:rFonts w:ascii="Times New Roman" w:hAnsi="Times New Roman"/>
          <w:sz w:val="28"/>
          <w:szCs w:val="28"/>
          <w:lang w:val="en-US"/>
        </w:rPr>
        <w:t>.</w:t>
      </w:r>
      <w:r w:rsidRPr="0043070E">
        <w:rPr>
          <w:rFonts w:ascii="Times New Roman" w:hAnsi="Times New Roman"/>
          <w:sz w:val="28"/>
          <w:szCs w:val="28"/>
          <w:lang w:val="en-US"/>
        </w:rPr>
        <w:t xml:space="preserve"> – </w:t>
      </w:r>
      <w:r w:rsidRPr="00A120F7">
        <w:rPr>
          <w:rFonts w:ascii="Times New Roman" w:hAnsi="Times New Roman"/>
          <w:sz w:val="28"/>
          <w:szCs w:val="28"/>
          <w:lang w:val="en-US"/>
        </w:rPr>
        <w:t>2021.</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A120F7">
        <w:rPr>
          <w:rFonts w:ascii="Times New Roman" w:hAnsi="Times New Roman"/>
          <w:sz w:val="28"/>
          <w:szCs w:val="28"/>
          <w:lang w:val="en-US"/>
        </w:rPr>
        <w:t>71</w:t>
      </w:r>
      <w:r w:rsidRPr="009320F6">
        <w:rPr>
          <w:rFonts w:ascii="Times New Roman" w:hAnsi="Times New Roman"/>
          <w:sz w:val="28"/>
          <w:szCs w:val="28"/>
          <w:lang w:val="en-US"/>
        </w:rPr>
        <w:t>, №</w:t>
      </w:r>
      <w:r>
        <w:rPr>
          <w:rFonts w:ascii="Times New Roman" w:hAnsi="Times New Roman"/>
          <w:sz w:val="28"/>
          <w:szCs w:val="28"/>
          <w:lang w:val="en-US"/>
        </w:rPr>
        <w:t xml:space="preserve"> </w:t>
      </w:r>
      <w:r w:rsidRPr="00A120F7">
        <w:rPr>
          <w:rFonts w:ascii="Times New Roman" w:hAnsi="Times New Roman"/>
          <w:sz w:val="28"/>
          <w:szCs w:val="28"/>
          <w:lang w:val="en-US"/>
        </w:rPr>
        <w:t>3</w:t>
      </w:r>
      <w:r>
        <w:rPr>
          <w:rFonts w:ascii="Times New Roman" w:hAnsi="Times New Roman"/>
          <w:sz w:val="28"/>
          <w:szCs w:val="28"/>
          <w:lang w:val="en-US"/>
        </w:rPr>
        <w:t xml:space="preserve">. </w:t>
      </w:r>
      <w:r w:rsidRPr="0060528F">
        <w:rPr>
          <w:rFonts w:ascii="Times New Roman" w:hAnsi="Times New Roman"/>
          <w:sz w:val="28"/>
          <w:szCs w:val="28"/>
          <w:lang w:val="en-US"/>
        </w:rPr>
        <w:t>– P</w:t>
      </w:r>
      <w:r w:rsidRPr="00A120F7">
        <w:rPr>
          <w:rFonts w:ascii="Times New Roman" w:hAnsi="Times New Roman"/>
          <w:sz w:val="28"/>
          <w:szCs w:val="28"/>
          <w:lang w:val="en-US"/>
        </w:rPr>
        <w:t xml:space="preserve"> 209–249.</w:t>
      </w:r>
    </w:p>
    <w:p w14:paraId="3F2E47F5" w14:textId="77777777" w:rsidR="00BB318A"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42 </w:t>
      </w:r>
      <w:r w:rsidRPr="00271648">
        <w:rPr>
          <w:rFonts w:ascii="Times New Roman" w:hAnsi="Times New Roman"/>
          <w:sz w:val="28"/>
          <w:szCs w:val="28"/>
          <w:lang w:val="en-US"/>
        </w:rPr>
        <w:t>Mauyenova D., Zhadykova Y., Khozhayev A.,</w:t>
      </w:r>
      <w:r>
        <w:rPr>
          <w:rFonts w:ascii="Times New Roman" w:hAnsi="Times New Roman"/>
          <w:sz w:val="28"/>
          <w:szCs w:val="28"/>
          <w:lang w:val="kk-KZ"/>
        </w:rPr>
        <w:t xml:space="preserve"> </w:t>
      </w:r>
      <w:r>
        <w:rPr>
          <w:rFonts w:ascii="Times New Roman" w:hAnsi="Times New Roman"/>
          <w:sz w:val="28"/>
          <w:szCs w:val="28"/>
          <w:lang w:val="en-US"/>
        </w:rPr>
        <w:t>et al</w:t>
      </w:r>
      <w:r w:rsidRPr="00271648">
        <w:rPr>
          <w:rFonts w:ascii="Times New Roman" w:hAnsi="Times New Roman"/>
          <w:sz w:val="28"/>
          <w:szCs w:val="28"/>
          <w:lang w:val="en-US"/>
        </w:rPr>
        <w:t>. Trends of Colorectal Cancer Incidence in Kazakhstan</w:t>
      </w:r>
      <w:r w:rsidRPr="009320F6">
        <w:rPr>
          <w:rFonts w:ascii="Times New Roman" w:hAnsi="Times New Roman"/>
          <w:sz w:val="28"/>
          <w:szCs w:val="28"/>
          <w:lang w:val="en-US"/>
        </w:rPr>
        <w:t xml:space="preserve"> // </w:t>
      </w:r>
      <w:r w:rsidRPr="00271648">
        <w:rPr>
          <w:rFonts w:ascii="Times New Roman" w:hAnsi="Times New Roman"/>
          <w:sz w:val="28"/>
          <w:szCs w:val="28"/>
          <w:lang w:val="en-US"/>
        </w:rPr>
        <w:t>Asian Pacific journal of cancer prevention: APJCP</w:t>
      </w:r>
      <w:r>
        <w:rPr>
          <w:rFonts w:ascii="Times New Roman" w:hAnsi="Times New Roman"/>
          <w:sz w:val="28"/>
          <w:szCs w:val="28"/>
          <w:lang w:val="en-US"/>
        </w:rPr>
        <w:t>.</w:t>
      </w:r>
      <w:r w:rsidRPr="00BC2423">
        <w:rPr>
          <w:rFonts w:ascii="Times New Roman" w:hAnsi="Times New Roman"/>
          <w:sz w:val="28"/>
          <w:szCs w:val="28"/>
          <w:lang w:val="en-US"/>
        </w:rPr>
        <w:t xml:space="preserve"> </w:t>
      </w:r>
      <w:r w:rsidRPr="0043070E">
        <w:rPr>
          <w:rFonts w:ascii="Times New Roman" w:hAnsi="Times New Roman"/>
          <w:sz w:val="28"/>
          <w:szCs w:val="28"/>
          <w:lang w:val="en-US"/>
        </w:rPr>
        <w:t xml:space="preserve">– </w:t>
      </w:r>
      <w:r w:rsidRPr="00271648">
        <w:rPr>
          <w:rFonts w:ascii="Times New Roman" w:hAnsi="Times New Roman"/>
          <w:sz w:val="28"/>
          <w:szCs w:val="28"/>
          <w:lang w:val="en-US"/>
        </w:rPr>
        <w:t>2021.</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271648">
        <w:rPr>
          <w:rFonts w:ascii="Times New Roman" w:hAnsi="Times New Roman"/>
          <w:sz w:val="28"/>
          <w:szCs w:val="28"/>
          <w:lang w:val="en-US"/>
        </w:rPr>
        <w:t>22</w:t>
      </w:r>
      <w:r w:rsidRPr="009320F6">
        <w:rPr>
          <w:rFonts w:ascii="Times New Roman" w:hAnsi="Times New Roman"/>
          <w:sz w:val="28"/>
          <w:szCs w:val="28"/>
          <w:lang w:val="en-US"/>
        </w:rPr>
        <w:t>, №</w:t>
      </w:r>
      <w:r>
        <w:rPr>
          <w:rFonts w:ascii="Times New Roman" w:hAnsi="Times New Roman"/>
          <w:sz w:val="28"/>
          <w:szCs w:val="28"/>
          <w:lang w:val="en-US"/>
        </w:rPr>
        <w:t xml:space="preserve"> </w:t>
      </w:r>
      <w:r w:rsidRPr="00271648">
        <w:rPr>
          <w:rFonts w:ascii="Times New Roman" w:hAnsi="Times New Roman"/>
          <w:sz w:val="28"/>
          <w:szCs w:val="28"/>
          <w:lang w:val="en-US"/>
        </w:rPr>
        <w:t>10</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271648">
        <w:rPr>
          <w:rFonts w:ascii="Times New Roman" w:hAnsi="Times New Roman"/>
          <w:sz w:val="28"/>
          <w:szCs w:val="28"/>
          <w:lang w:val="en-US"/>
        </w:rPr>
        <w:t>3405.</w:t>
      </w:r>
    </w:p>
    <w:p w14:paraId="6D8B5F5D" w14:textId="77777777" w:rsidR="00BB318A"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43 </w:t>
      </w:r>
      <w:r w:rsidRPr="00271648">
        <w:rPr>
          <w:rFonts w:ascii="Times New Roman" w:hAnsi="Times New Roman"/>
          <w:sz w:val="28"/>
          <w:szCs w:val="28"/>
          <w:lang w:val="en-US"/>
        </w:rPr>
        <w:t>Zhylkaidarova A., Kaidarova D., Batyrbekov K., Shatkovskaya O., Begimbetova D. Trends of Colorectal Cancer Prevalence in Kazakhstan Related to Screening</w:t>
      </w:r>
      <w:r w:rsidRPr="009320F6">
        <w:rPr>
          <w:rFonts w:ascii="Times New Roman" w:hAnsi="Times New Roman"/>
          <w:sz w:val="28"/>
          <w:szCs w:val="28"/>
          <w:lang w:val="en-US"/>
        </w:rPr>
        <w:t xml:space="preserve"> // </w:t>
      </w:r>
      <w:r w:rsidRPr="00271648">
        <w:rPr>
          <w:rFonts w:ascii="Times New Roman" w:hAnsi="Times New Roman"/>
          <w:sz w:val="28"/>
          <w:szCs w:val="28"/>
          <w:lang w:val="en-US"/>
        </w:rPr>
        <w:t>Clinical endoscopy.</w:t>
      </w:r>
      <w:r w:rsidRPr="0043070E">
        <w:rPr>
          <w:rFonts w:ascii="Times New Roman" w:hAnsi="Times New Roman"/>
          <w:sz w:val="28"/>
          <w:szCs w:val="28"/>
          <w:lang w:val="en-US"/>
        </w:rPr>
        <w:t xml:space="preserve"> – </w:t>
      </w:r>
      <w:r w:rsidRPr="00271648">
        <w:rPr>
          <w:rFonts w:ascii="Times New Roman" w:hAnsi="Times New Roman"/>
          <w:sz w:val="28"/>
          <w:szCs w:val="28"/>
          <w:lang w:val="en-US"/>
        </w:rPr>
        <w:t>2021.</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271648">
        <w:rPr>
          <w:rFonts w:ascii="Times New Roman" w:hAnsi="Times New Roman"/>
          <w:sz w:val="28"/>
          <w:szCs w:val="28"/>
          <w:lang w:val="en-US"/>
        </w:rPr>
        <w:t>54</w:t>
      </w:r>
      <w:r w:rsidRPr="009320F6">
        <w:rPr>
          <w:rFonts w:ascii="Times New Roman" w:hAnsi="Times New Roman"/>
          <w:sz w:val="28"/>
          <w:szCs w:val="28"/>
          <w:lang w:val="en-US"/>
        </w:rPr>
        <w:t>, №</w:t>
      </w:r>
      <w:r w:rsidRPr="00271648">
        <w:rPr>
          <w:rFonts w:ascii="Times New Roman" w:hAnsi="Times New Roman"/>
          <w:sz w:val="28"/>
          <w:szCs w:val="28"/>
          <w:lang w:val="en-US"/>
        </w:rPr>
        <w:t>1</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271648">
        <w:rPr>
          <w:rFonts w:ascii="Times New Roman" w:hAnsi="Times New Roman"/>
          <w:sz w:val="28"/>
          <w:szCs w:val="28"/>
          <w:lang w:val="en-US"/>
        </w:rPr>
        <w:t>32–37.</w:t>
      </w:r>
    </w:p>
    <w:p w14:paraId="16D65911" w14:textId="77777777" w:rsidR="00BB318A"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44 </w:t>
      </w:r>
      <w:r w:rsidRPr="00271648">
        <w:rPr>
          <w:rFonts w:ascii="Times New Roman" w:hAnsi="Times New Roman"/>
          <w:sz w:val="28"/>
          <w:szCs w:val="28"/>
          <w:lang w:val="en-US"/>
        </w:rPr>
        <w:t xml:space="preserve">Mauyenova D., Axarin A., Telmanova Z., </w:t>
      </w:r>
      <w:r>
        <w:rPr>
          <w:rFonts w:ascii="Times New Roman" w:hAnsi="Times New Roman"/>
          <w:sz w:val="28"/>
          <w:szCs w:val="28"/>
          <w:lang w:val="en-US"/>
        </w:rPr>
        <w:t>et al</w:t>
      </w:r>
      <w:r w:rsidRPr="00271648">
        <w:rPr>
          <w:rFonts w:ascii="Times New Roman" w:hAnsi="Times New Roman"/>
          <w:sz w:val="28"/>
          <w:szCs w:val="28"/>
          <w:lang w:val="en-US"/>
        </w:rPr>
        <w:t>. Colorectal Cancer Mortality in Kazakhstan: Spatio-Temporal Epidemiological Assessment</w:t>
      </w:r>
      <w:r w:rsidRPr="009320F6">
        <w:rPr>
          <w:rFonts w:ascii="Times New Roman" w:hAnsi="Times New Roman"/>
          <w:sz w:val="28"/>
          <w:szCs w:val="28"/>
          <w:lang w:val="en-US"/>
        </w:rPr>
        <w:t xml:space="preserve"> // </w:t>
      </w:r>
      <w:r w:rsidRPr="00271648">
        <w:rPr>
          <w:rFonts w:ascii="Times New Roman" w:hAnsi="Times New Roman"/>
          <w:sz w:val="28"/>
          <w:szCs w:val="28"/>
          <w:lang w:val="en-US"/>
        </w:rPr>
        <w:t>Asian Pacific journal of cancer prevention: APJCP</w:t>
      </w:r>
      <w:r>
        <w:rPr>
          <w:rFonts w:ascii="Times New Roman" w:hAnsi="Times New Roman"/>
          <w:sz w:val="28"/>
          <w:szCs w:val="28"/>
          <w:lang w:val="en-US"/>
        </w:rPr>
        <w:t>.</w:t>
      </w:r>
      <w:r w:rsidRPr="0043070E">
        <w:rPr>
          <w:rFonts w:ascii="Times New Roman" w:hAnsi="Times New Roman"/>
          <w:sz w:val="28"/>
          <w:szCs w:val="28"/>
          <w:lang w:val="en-US"/>
        </w:rPr>
        <w:t xml:space="preserve"> – </w:t>
      </w:r>
      <w:r w:rsidRPr="00271648">
        <w:rPr>
          <w:rFonts w:ascii="Times New Roman" w:hAnsi="Times New Roman"/>
          <w:sz w:val="28"/>
          <w:szCs w:val="28"/>
          <w:lang w:val="en-US"/>
        </w:rPr>
        <w:t>2022.</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 xml:space="preserve"> </w:t>
      </w:r>
      <w:r w:rsidRPr="00271648">
        <w:rPr>
          <w:rFonts w:ascii="Times New Roman" w:hAnsi="Times New Roman"/>
          <w:sz w:val="28"/>
          <w:szCs w:val="28"/>
          <w:lang w:val="en-US"/>
        </w:rPr>
        <w:t>23</w:t>
      </w:r>
      <w:r w:rsidRPr="009320F6">
        <w:rPr>
          <w:rFonts w:ascii="Times New Roman" w:hAnsi="Times New Roman"/>
          <w:sz w:val="28"/>
          <w:szCs w:val="28"/>
          <w:lang w:val="en-US"/>
        </w:rPr>
        <w:t>, №</w:t>
      </w:r>
      <w:r>
        <w:rPr>
          <w:rFonts w:ascii="Times New Roman" w:hAnsi="Times New Roman"/>
          <w:sz w:val="28"/>
          <w:szCs w:val="28"/>
          <w:lang w:val="en-US"/>
        </w:rPr>
        <w:t xml:space="preserve"> </w:t>
      </w:r>
      <w:r w:rsidRPr="00271648">
        <w:rPr>
          <w:rFonts w:ascii="Times New Roman" w:hAnsi="Times New Roman"/>
          <w:sz w:val="28"/>
          <w:szCs w:val="28"/>
          <w:lang w:val="en-US"/>
        </w:rPr>
        <w:t>3</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271648">
        <w:rPr>
          <w:rFonts w:ascii="Times New Roman" w:hAnsi="Times New Roman"/>
          <w:sz w:val="28"/>
          <w:szCs w:val="28"/>
          <w:lang w:val="en-US"/>
        </w:rPr>
        <w:t>953–960.</w:t>
      </w:r>
    </w:p>
    <w:p w14:paraId="38239268" w14:textId="77777777" w:rsidR="00BB318A"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45 </w:t>
      </w:r>
      <w:r w:rsidRPr="00716078">
        <w:rPr>
          <w:rFonts w:ascii="Times New Roman" w:hAnsi="Times New Roman"/>
          <w:sz w:val="28"/>
          <w:szCs w:val="28"/>
          <w:lang w:val="en-US"/>
        </w:rPr>
        <w:t>Zhabagin K., Igissinov N., Manambayeva Z.,</w:t>
      </w:r>
      <w:r w:rsidRPr="0060528F">
        <w:rPr>
          <w:rFonts w:ascii="Times New Roman" w:hAnsi="Times New Roman"/>
          <w:sz w:val="28"/>
          <w:szCs w:val="28"/>
          <w:lang w:val="en-US"/>
        </w:rPr>
        <w:t xml:space="preserve"> et al. Temporal Epidemiological Assessment of Colorectal Cancer Incidence and Mortality in East Kazakhstan, 2004-2013 // </w:t>
      </w:r>
      <w:r w:rsidRPr="00271648">
        <w:rPr>
          <w:rFonts w:ascii="Times New Roman" w:hAnsi="Times New Roman"/>
          <w:sz w:val="28"/>
          <w:szCs w:val="28"/>
          <w:lang w:val="en-US"/>
        </w:rPr>
        <w:t>Asian Pacific journal of cancer prevention: APJCP</w:t>
      </w:r>
      <w:r>
        <w:rPr>
          <w:rFonts w:ascii="Times New Roman" w:hAnsi="Times New Roman"/>
          <w:sz w:val="28"/>
          <w:szCs w:val="28"/>
          <w:lang w:val="en-US"/>
        </w:rPr>
        <w:t>.</w:t>
      </w:r>
      <w:r w:rsidRPr="0060528F">
        <w:rPr>
          <w:rFonts w:ascii="Times New Roman" w:hAnsi="Times New Roman"/>
          <w:sz w:val="28"/>
          <w:szCs w:val="28"/>
          <w:lang w:val="en-US"/>
        </w:rPr>
        <w:t xml:space="preserve"> – 2015. – Vol. 16, №15. – P. 6413-6416</w:t>
      </w:r>
      <w:r>
        <w:rPr>
          <w:rFonts w:ascii="Times New Roman" w:hAnsi="Times New Roman"/>
          <w:sz w:val="28"/>
          <w:szCs w:val="28"/>
          <w:lang w:val="kk-KZ"/>
        </w:rPr>
        <w:t>.</w:t>
      </w:r>
    </w:p>
    <w:p w14:paraId="47B46038" w14:textId="77777777" w:rsidR="00BB318A"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4</w:t>
      </w:r>
      <w:r w:rsidRPr="008D5583">
        <w:rPr>
          <w:rFonts w:ascii="Times New Roman" w:hAnsi="Times New Roman"/>
          <w:sz w:val="28"/>
          <w:szCs w:val="28"/>
          <w:lang w:val="en-US"/>
        </w:rPr>
        <w:t xml:space="preserve">6 </w:t>
      </w:r>
      <w:r w:rsidRPr="00CA4E47">
        <w:rPr>
          <w:rFonts w:ascii="Times New Roman" w:hAnsi="Times New Roman"/>
          <w:sz w:val="28"/>
          <w:szCs w:val="28"/>
          <w:lang w:val="en-US"/>
        </w:rPr>
        <w:t xml:space="preserve">Zhunussova G., Afonin G., Abdikerim S., </w:t>
      </w:r>
      <w:r>
        <w:rPr>
          <w:rFonts w:ascii="Times New Roman" w:hAnsi="Times New Roman"/>
          <w:sz w:val="28"/>
          <w:szCs w:val="28"/>
          <w:lang w:val="en-US"/>
        </w:rPr>
        <w:t>et al.</w:t>
      </w:r>
      <w:r w:rsidRPr="00CA4E47">
        <w:rPr>
          <w:rFonts w:ascii="Times New Roman" w:hAnsi="Times New Roman"/>
          <w:sz w:val="28"/>
          <w:szCs w:val="28"/>
          <w:lang w:val="en-US"/>
        </w:rPr>
        <w:t xml:space="preserve"> Mutation Spectrum of Cancer-Associated Genes in Patients With Early Onset of Colorectal Cancer</w:t>
      </w:r>
      <w:r w:rsidRPr="0060528F">
        <w:rPr>
          <w:rFonts w:ascii="Times New Roman" w:hAnsi="Times New Roman"/>
          <w:sz w:val="28"/>
          <w:szCs w:val="28"/>
          <w:lang w:val="en-US"/>
        </w:rPr>
        <w:t xml:space="preserve"> // </w:t>
      </w:r>
      <w:r w:rsidRPr="00CA4E47">
        <w:rPr>
          <w:rFonts w:ascii="Times New Roman" w:hAnsi="Times New Roman"/>
          <w:sz w:val="28"/>
          <w:szCs w:val="28"/>
          <w:lang w:val="en-US"/>
        </w:rPr>
        <w:t>Frontiers in oncology</w:t>
      </w:r>
      <w:r>
        <w:rPr>
          <w:rFonts w:ascii="Times New Roman" w:hAnsi="Times New Roman"/>
          <w:sz w:val="28"/>
          <w:szCs w:val="28"/>
          <w:lang w:val="en-US"/>
        </w:rPr>
        <w:t>.</w:t>
      </w:r>
      <w:r w:rsidRPr="0060528F">
        <w:rPr>
          <w:rFonts w:ascii="Times New Roman" w:hAnsi="Times New Roman"/>
          <w:sz w:val="28"/>
          <w:szCs w:val="28"/>
          <w:lang w:val="en-US"/>
        </w:rPr>
        <w:t xml:space="preserve"> – </w:t>
      </w:r>
      <w:r w:rsidRPr="00CA4E47">
        <w:rPr>
          <w:rFonts w:ascii="Times New Roman" w:hAnsi="Times New Roman"/>
          <w:sz w:val="28"/>
          <w:szCs w:val="28"/>
          <w:lang w:val="en-US"/>
        </w:rPr>
        <w:t xml:space="preserve">2019. </w:t>
      </w:r>
      <w:r w:rsidRPr="0060528F">
        <w:rPr>
          <w:rFonts w:ascii="Times New Roman" w:hAnsi="Times New Roman"/>
          <w:sz w:val="28"/>
          <w:szCs w:val="28"/>
          <w:lang w:val="en-US"/>
        </w:rPr>
        <w:t>– Vol.</w:t>
      </w:r>
      <w:r>
        <w:rPr>
          <w:rFonts w:ascii="Times New Roman" w:hAnsi="Times New Roman"/>
          <w:sz w:val="28"/>
          <w:szCs w:val="28"/>
          <w:lang w:val="en-US"/>
        </w:rPr>
        <w:t xml:space="preserve"> </w:t>
      </w:r>
      <w:r w:rsidRPr="00CA4E47">
        <w:rPr>
          <w:rFonts w:ascii="Times New Roman" w:hAnsi="Times New Roman"/>
          <w:sz w:val="28"/>
          <w:szCs w:val="28"/>
          <w:lang w:val="en-US"/>
        </w:rPr>
        <w:t>9</w:t>
      </w:r>
      <w:r>
        <w:rPr>
          <w:rFonts w:ascii="Times New Roman" w:hAnsi="Times New Roman"/>
          <w:sz w:val="28"/>
          <w:szCs w:val="28"/>
          <w:lang w:val="en-US"/>
        </w:rPr>
        <w:t>.</w:t>
      </w:r>
      <w:r w:rsidRPr="00CA4E47">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CA4E47">
        <w:rPr>
          <w:rFonts w:ascii="Times New Roman" w:hAnsi="Times New Roman"/>
          <w:sz w:val="28"/>
          <w:szCs w:val="28"/>
          <w:lang w:val="en-US"/>
        </w:rPr>
        <w:t>673.</w:t>
      </w:r>
    </w:p>
    <w:p w14:paraId="6DDC2646" w14:textId="77777777" w:rsidR="00BB318A"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47 </w:t>
      </w:r>
      <w:r w:rsidRPr="008D5583">
        <w:rPr>
          <w:rFonts w:ascii="Times New Roman" w:hAnsi="Times New Roman"/>
          <w:sz w:val="28"/>
          <w:szCs w:val="28"/>
          <w:lang w:val="en-US"/>
        </w:rPr>
        <w:t>Turbekova M.N., Reznik V.L., Menshikova</w:t>
      </w:r>
      <w:r>
        <w:rPr>
          <w:rFonts w:ascii="Times New Roman" w:hAnsi="Times New Roman"/>
          <w:sz w:val="28"/>
          <w:szCs w:val="28"/>
          <w:lang w:val="en-US"/>
        </w:rPr>
        <w:t xml:space="preserve"> </w:t>
      </w:r>
      <w:r w:rsidRPr="008D5583">
        <w:rPr>
          <w:rFonts w:ascii="Times New Roman" w:hAnsi="Times New Roman"/>
          <w:sz w:val="28"/>
          <w:szCs w:val="28"/>
          <w:lang w:val="en-US"/>
        </w:rPr>
        <w:t>I.L., Kamkhen V.B. The incidence of colorectal cancer in Kazakhstan</w:t>
      </w:r>
      <w:r w:rsidRPr="0060528F">
        <w:rPr>
          <w:rFonts w:ascii="Times New Roman" w:hAnsi="Times New Roman"/>
          <w:sz w:val="28"/>
          <w:szCs w:val="28"/>
          <w:lang w:val="en-US"/>
        </w:rPr>
        <w:t xml:space="preserve"> // </w:t>
      </w:r>
      <w:r w:rsidRPr="008D5583">
        <w:rPr>
          <w:rFonts w:ascii="Times New Roman" w:hAnsi="Times New Roman"/>
          <w:sz w:val="28"/>
          <w:szCs w:val="28"/>
          <w:lang w:val="en-US"/>
        </w:rPr>
        <w:t>Eksperimental'naia i klinicheskaia gastroenterologiia = Experimental &amp; clinical gastroenterology</w:t>
      </w:r>
      <w:r w:rsidRPr="0060528F">
        <w:rPr>
          <w:rFonts w:ascii="Times New Roman" w:hAnsi="Times New Roman"/>
          <w:sz w:val="28"/>
          <w:szCs w:val="28"/>
          <w:lang w:val="en-US"/>
        </w:rPr>
        <w:t xml:space="preserve">. – </w:t>
      </w:r>
      <w:r w:rsidRPr="008D5583">
        <w:rPr>
          <w:rFonts w:ascii="Times New Roman" w:hAnsi="Times New Roman"/>
          <w:sz w:val="28"/>
          <w:szCs w:val="28"/>
          <w:lang w:val="en-US"/>
        </w:rPr>
        <w:t>2016.</w:t>
      </w:r>
      <w:r>
        <w:rPr>
          <w:rFonts w:ascii="Times New Roman" w:hAnsi="Times New Roman"/>
          <w:sz w:val="28"/>
          <w:szCs w:val="28"/>
          <w:lang w:val="en-US"/>
        </w:rPr>
        <w:t xml:space="preserve"> </w:t>
      </w:r>
      <w:r w:rsidRPr="0060528F">
        <w:rPr>
          <w:rFonts w:ascii="Times New Roman" w:hAnsi="Times New Roman"/>
          <w:sz w:val="28"/>
          <w:szCs w:val="28"/>
          <w:lang w:val="en-US"/>
        </w:rPr>
        <w:t xml:space="preserve">– Vol. </w:t>
      </w:r>
      <w:r w:rsidRPr="008D5583">
        <w:rPr>
          <w:rFonts w:ascii="Times New Roman" w:hAnsi="Times New Roman"/>
          <w:sz w:val="28"/>
          <w:szCs w:val="28"/>
          <w:lang w:val="en-US"/>
        </w:rPr>
        <w:t>12</w:t>
      </w:r>
      <w:r w:rsidRPr="0060528F">
        <w:rPr>
          <w:rFonts w:ascii="Times New Roman" w:hAnsi="Times New Roman"/>
          <w:sz w:val="28"/>
          <w:szCs w:val="28"/>
          <w:lang w:val="en-US"/>
        </w:rPr>
        <w:t>, №</w:t>
      </w:r>
      <w:r w:rsidRPr="008D5583">
        <w:rPr>
          <w:rFonts w:ascii="Times New Roman" w:hAnsi="Times New Roman"/>
          <w:sz w:val="28"/>
          <w:szCs w:val="28"/>
          <w:lang w:val="en-US"/>
        </w:rPr>
        <w:t>12</w:t>
      </w:r>
      <w:r>
        <w:rPr>
          <w:rFonts w:ascii="Times New Roman" w:hAnsi="Times New Roman"/>
          <w:sz w:val="28"/>
          <w:szCs w:val="28"/>
          <w:lang w:val="en-US"/>
        </w:rPr>
        <w:t>.</w:t>
      </w:r>
      <w:r w:rsidRPr="008D5583">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8D5583">
        <w:rPr>
          <w:rFonts w:ascii="Times New Roman" w:hAnsi="Times New Roman"/>
          <w:sz w:val="28"/>
          <w:szCs w:val="28"/>
          <w:lang w:val="en-US"/>
        </w:rPr>
        <w:t>57–61.</w:t>
      </w:r>
    </w:p>
    <w:p w14:paraId="31B534C8" w14:textId="77777777" w:rsidR="00BB318A"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48 </w:t>
      </w:r>
      <w:r w:rsidRPr="00871C55">
        <w:rPr>
          <w:rFonts w:ascii="Times New Roman" w:hAnsi="Times New Roman"/>
          <w:sz w:val="28"/>
          <w:szCs w:val="28"/>
          <w:lang w:val="en-US"/>
        </w:rPr>
        <w:t>Semenova Y., Zhunussov Y., Pivina L.,</w:t>
      </w:r>
      <w:r>
        <w:rPr>
          <w:rFonts w:ascii="Times New Roman" w:hAnsi="Times New Roman"/>
          <w:sz w:val="28"/>
          <w:szCs w:val="28"/>
          <w:lang w:val="en-US"/>
        </w:rPr>
        <w:t xml:space="preserve"> </w:t>
      </w:r>
      <w:r w:rsidRPr="0060528F">
        <w:rPr>
          <w:rFonts w:ascii="Times New Roman" w:hAnsi="Times New Roman"/>
          <w:sz w:val="28"/>
          <w:szCs w:val="28"/>
          <w:lang w:val="en-US"/>
        </w:rPr>
        <w:t xml:space="preserve">et al. Trace element biomonitoring in hair and blood of occupationally unexposed population residing in polluted areas of East Kazakhstan and Pavlodar regions // </w:t>
      </w:r>
      <w:r w:rsidRPr="00871C55">
        <w:rPr>
          <w:rFonts w:ascii="Times New Roman" w:hAnsi="Times New Roman"/>
          <w:sz w:val="28"/>
          <w:szCs w:val="28"/>
          <w:lang w:val="en-US"/>
        </w:rPr>
        <w:t>Journal of trace elements in medicine and biology : organ of the Society for Minerals and Trace Elements (GMS)</w:t>
      </w:r>
      <w:r w:rsidRPr="0060528F">
        <w:rPr>
          <w:rFonts w:ascii="Times New Roman" w:hAnsi="Times New Roman"/>
          <w:sz w:val="28"/>
          <w:szCs w:val="28"/>
          <w:lang w:val="en-US"/>
        </w:rPr>
        <w:t>. – 2019. – Vol.</w:t>
      </w:r>
      <w:r w:rsidRPr="00713F2E">
        <w:rPr>
          <w:rFonts w:ascii="Times New Roman" w:hAnsi="Times New Roman"/>
          <w:sz w:val="28"/>
          <w:szCs w:val="28"/>
          <w:lang w:val="en-US"/>
        </w:rPr>
        <w:t xml:space="preserve"> </w:t>
      </w:r>
      <w:r w:rsidRPr="0060528F">
        <w:rPr>
          <w:rFonts w:ascii="Times New Roman" w:hAnsi="Times New Roman"/>
          <w:sz w:val="28"/>
          <w:szCs w:val="28"/>
          <w:lang w:val="en-US"/>
        </w:rPr>
        <w:t> 56. – P. 31-37.</w:t>
      </w:r>
    </w:p>
    <w:p w14:paraId="0FB69F1F" w14:textId="77777777" w:rsidR="00BB318A"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 xml:space="preserve">49 </w:t>
      </w:r>
      <w:r w:rsidRPr="007B24E5">
        <w:rPr>
          <w:rFonts w:ascii="Times New Roman" w:hAnsi="Times New Roman"/>
          <w:sz w:val="28"/>
          <w:szCs w:val="28"/>
          <w:lang w:val="en-US"/>
        </w:rPr>
        <w:t>Markabayeva A., Bauer S., Pivina L.,</w:t>
      </w:r>
      <w:r w:rsidRPr="0060528F">
        <w:rPr>
          <w:rFonts w:ascii="Times New Roman" w:hAnsi="Times New Roman"/>
          <w:sz w:val="28"/>
          <w:szCs w:val="28"/>
          <w:lang w:val="en-US"/>
        </w:rPr>
        <w:t xml:space="preserve"> et al. Increased prevalence of essential hypertension in areas previously exposed to fallout due to nuclear weapons testing at the Semipalatinsk Test Site, Kazakhstan // </w:t>
      </w:r>
      <w:r w:rsidRPr="00053305">
        <w:rPr>
          <w:rFonts w:ascii="Times New Roman" w:hAnsi="Times New Roman"/>
          <w:sz w:val="28"/>
          <w:szCs w:val="28"/>
          <w:lang w:val="en-US"/>
        </w:rPr>
        <w:t>Environmental research</w:t>
      </w:r>
      <w:r w:rsidRPr="0060528F">
        <w:rPr>
          <w:rFonts w:ascii="Times New Roman" w:hAnsi="Times New Roman"/>
          <w:sz w:val="28"/>
          <w:szCs w:val="28"/>
          <w:lang w:val="en-US"/>
        </w:rPr>
        <w:t>. – 2018. – Vol. 167. – P. 129-135.</w:t>
      </w:r>
    </w:p>
    <w:p w14:paraId="6C032028" w14:textId="77777777" w:rsidR="00BB318A" w:rsidRDefault="00BB318A" w:rsidP="00BB318A">
      <w:pPr>
        <w:pStyle w:val="a7"/>
        <w:ind w:left="0" w:firstLine="567"/>
        <w:jc w:val="both"/>
        <w:rPr>
          <w:rFonts w:ascii="Times New Roman" w:hAnsi="Times New Roman"/>
          <w:sz w:val="28"/>
          <w:szCs w:val="28"/>
          <w:lang w:val="en-US"/>
        </w:rPr>
      </w:pPr>
      <w:r w:rsidRPr="004A362B">
        <w:rPr>
          <w:rFonts w:ascii="Times New Roman" w:hAnsi="Times New Roman"/>
          <w:sz w:val="28"/>
          <w:szCs w:val="28"/>
          <w:lang w:val="en-US"/>
        </w:rPr>
        <w:t xml:space="preserve">50 </w:t>
      </w:r>
      <w:r w:rsidRPr="007B24E5">
        <w:rPr>
          <w:rFonts w:ascii="Times New Roman" w:hAnsi="Times New Roman"/>
          <w:sz w:val="28"/>
          <w:szCs w:val="28"/>
          <w:lang w:val="en-US"/>
        </w:rPr>
        <w:t>Dyussenova L., Pivina L., Semenova Y.,</w:t>
      </w:r>
      <w:r w:rsidRPr="0060528F">
        <w:rPr>
          <w:rFonts w:ascii="Times New Roman" w:hAnsi="Times New Roman"/>
          <w:sz w:val="28"/>
          <w:szCs w:val="28"/>
          <w:lang w:val="en-US"/>
        </w:rPr>
        <w:t xml:space="preserve"> et al. Associations between depression, anxiety and medication adherence among patients with arterial hypertension: Comparison between persons exposed and non-exposed to radiation from the Semipalatinsk Nuclear Test Site // </w:t>
      </w:r>
      <w:r w:rsidRPr="00053305">
        <w:rPr>
          <w:rFonts w:ascii="Times New Roman" w:hAnsi="Times New Roman"/>
          <w:sz w:val="28"/>
          <w:szCs w:val="28"/>
          <w:lang w:val="en-US"/>
        </w:rPr>
        <w:t>Journal of environmental radioactivity</w:t>
      </w:r>
      <w:r w:rsidRPr="0060528F">
        <w:rPr>
          <w:rFonts w:ascii="Times New Roman" w:hAnsi="Times New Roman"/>
          <w:sz w:val="28"/>
          <w:szCs w:val="28"/>
          <w:lang w:val="en-US"/>
        </w:rPr>
        <w:t>. – 2018. – Vol. 195. – P. 33-39.</w:t>
      </w:r>
    </w:p>
    <w:p w14:paraId="4EF58BB4" w14:textId="77777777" w:rsidR="00BB318A" w:rsidRDefault="00BB318A" w:rsidP="00BB318A">
      <w:pPr>
        <w:spacing w:after="0" w:line="240" w:lineRule="auto"/>
        <w:ind w:firstLine="567"/>
        <w:jc w:val="both"/>
        <w:rPr>
          <w:rFonts w:ascii="Times New Roman" w:hAnsi="Times New Roman"/>
          <w:sz w:val="28"/>
          <w:szCs w:val="28"/>
          <w:lang w:val="en-US"/>
        </w:rPr>
      </w:pPr>
      <w:r w:rsidRPr="0060528F">
        <w:rPr>
          <w:rFonts w:ascii="Times New Roman" w:hAnsi="Times New Roman"/>
          <w:sz w:val="28"/>
          <w:szCs w:val="28"/>
          <w:lang w:val="en-US"/>
        </w:rPr>
        <w:t xml:space="preserve">51 </w:t>
      </w:r>
      <w:r w:rsidRPr="004A362B">
        <w:rPr>
          <w:rFonts w:ascii="Times New Roman" w:hAnsi="Times New Roman"/>
          <w:sz w:val="28"/>
          <w:szCs w:val="28"/>
          <w:lang w:val="en-US"/>
        </w:rPr>
        <w:t>Chiu H</w:t>
      </w:r>
      <w:r>
        <w:rPr>
          <w:rFonts w:ascii="Times New Roman" w:hAnsi="Times New Roman"/>
          <w:sz w:val="28"/>
          <w:szCs w:val="28"/>
          <w:lang w:val="en-US"/>
        </w:rPr>
        <w:t>.</w:t>
      </w:r>
      <w:r w:rsidRPr="004A362B">
        <w:rPr>
          <w:rFonts w:ascii="Times New Roman" w:hAnsi="Times New Roman"/>
          <w:sz w:val="28"/>
          <w:szCs w:val="28"/>
          <w:lang w:val="en-US"/>
        </w:rPr>
        <w:t>M</w:t>
      </w:r>
      <w:r>
        <w:rPr>
          <w:rFonts w:ascii="Times New Roman" w:hAnsi="Times New Roman"/>
          <w:sz w:val="28"/>
          <w:szCs w:val="28"/>
          <w:lang w:val="en-US"/>
        </w:rPr>
        <w:t>.</w:t>
      </w:r>
      <w:r w:rsidRPr="004A362B">
        <w:rPr>
          <w:rFonts w:ascii="Times New Roman" w:hAnsi="Times New Roman"/>
          <w:sz w:val="28"/>
          <w:szCs w:val="28"/>
          <w:lang w:val="en-US"/>
        </w:rPr>
        <w:t>, Hsu W</w:t>
      </w:r>
      <w:r>
        <w:rPr>
          <w:rFonts w:ascii="Times New Roman" w:hAnsi="Times New Roman"/>
          <w:sz w:val="28"/>
          <w:szCs w:val="28"/>
          <w:lang w:val="en-US"/>
        </w:rPr>
        <w:t>.</w:t>
      </w:r>
      <w:r w:rsidRPr="004A362B">
        <w:rPr>
          <w:rFonts w:ascii="Times New Roman" w:hAnsi="Times New Roman"/>
          <w:sz w:val="28"/>
          <w:szCs w:val="28"/>
          <w:lang w:val="en-US"/>
        </w:rPr>
        <w:t>F</w:t>
      </w:r>
      <w:r>
        <w:rPr>
          <w:rFonts w:ascii="Times New Roman" w:hAnsi="Times New Roman"/>
          <w:sz w:val="28"/>
          <w:szCs w:val="28"/>
          <w:lang w:val="en-US"/>
        </w:rPr>
        <w:t>.</w:t>
      </w:r>
      <w:r w:rsidRPr="004A362B">
        <w:rPr>
          <w:rFonts w:ascii="Times New Roman" w:hAnsi="Times New Roman"/>
          <w:sz w:val="28"/>
          <w:szCs w:val="28"/>
          <w:lang w:val="en-US"/>
        </w:rPr>
        <w:t>, Chang L</w:t>
      </w:r>
      <w:r>
        <w:rPr>
          <w:rFonts w:ascii="Times New Roman" w:hAnsi="Times New Roman"/>
          <w:sz w:val="28"/>
          <w:szCs w:val="28"/>
          <w:lang w:val="en-US"/>
        </w:rPr>
        <w:t>.</w:t>
      </w:r>
      <w:r w:rsidRPr="004A362B">
        <w:rPr>
          <w:rFonts w:ascii="Times New Roman" w:hAnsi="Times New Roman"/>
          <w:sz w:val="28"/>
          <w:szCs w:val="28"/>
          <w:lang w:val="en-US"/>
        </w:rPr>
        <w:t>C</w:t>
      </w:r>
      <w:r>
        <w:rPr>
          <w:rFonts w:ascii="Times New Roman" w:hAnsi="Times New Roman"/>
          <w:sz w:val="28"/>
          <w:szCs w:val="28"/>
          <w:lang w:val="en-US"/>
        </w:rPr>
        <w:t>.</w:t>
      </w:r>
      <w:r w:rsidRPr="004A362B">
        <w:rPr>
          <w:rFonts w:ascii="Times New Roman" w:hAnsi="Times New Roman"/>
          <w:sz w:val="28"/>
          <w:szCs w:val="28"/>
          <w:lang w:val="en-US"/>
        </w:rPr>
        <w:t>, Wu M</w:t>
      </w:r>
      <w:r>
        <w:rPr>
          <w:rFonts w:ascii="Times New Roman" w:hAnsi="Times New Roman"/>
          <w:sz w:val="28"/>
          <w:szCs w:val="28"/>
          <w:lang w:val="en-US"/>
        </w:rPr>
        <w:t>.</w:t>
      </w:r>
      <w:r w:rsidRPr="004A362B">
        <w:rPr>
          <w:rFonts w:ascii="Times New Roman" w:hAnsi="Times New Roman"/>
          <w:sz w:val="28"/>
          <w:szCs w:val="28"/>
          <w:lang w:val="en-US"/>
        </w:rPr>
        <w:t>H. Colorectal</w:t>
      </w:r>
      <w:r>
        <w:rPr>
          <w:rFonts w:ascii="Times New Roman" w:hAnsi="Times New Roman"/>
          <w:sz w:val="28"/>
          <w:szCs w:val="28"/>
          <w:lang w:val="kk-KZ"/>
        </w:rPr>
        <w:t xml:space="preserve"> </w:t>
      </w:r>
      <w:r w:rsidRPr="004A362B">
        <w:rPr>
          <w:rFonts w:ascii="Times New Roman" w:hAnsi="Times New Roman"/>
          <w:sz w:val="28"/>
          <w:szCs w:val="28"/>
          <w:lang w:val="en-US"/>
        </w:rPr>
        <w:t>cancer screening in Asia</w:t>
      </w:r>
      <w:r w:rsidRPr="0060528F">
        <w:rPr>
          <w:rFonts w:ascii="Times New Roman" w:hAnsi="Times New Roman"/>
          <w:sz w:val="28"/>
          <w:szCs w:val="28"/>
          <w:lang w:val="en-US"/>
        </w:rPr>
        <w:t xml:space="preserve"> // </w:t>
      </w:r>
      <w:r w:rsidRPr="00053305">
        <w:rPr>
          <w:rFonts w:ascii="Times New Roman" w:hAnsi="Times New Roman"/>
          <w:sz w:val="28"/>
          <w:szCs w:val="28"/>
          <w:lang w:val="en-US"/>
        </w:rPr>
        <w:t>Current gastroenterology reports</w:t>
      </w:r>
      <w:r w:rsidRPr="0060528F">
        <w:rPr>
          <w:rFonts w:ascii="Times New Roman" w:hAnsi="Times New Roman"/>
          <w:sz w:val="28"/>
          <w:szCs w:val="28"/>
          <w:lang w:val="en-US"/>
        </w:rPr>
        <w:t xml:space="preserve">. – </w:t>
      </w:r>
      <w:r>
        <w:rPr>
          <w:rFonts w:ascii="Times New Roman" w:hAnsi="Times New Roman"/>
          <w:sz w:val="28"/>
          <w:szCs w:val="28"/>
          <w:lang w:val="kk-KZ"/>
        </w:rPr>
        <w:t>2017</w:t>
      </w:r>
      <w:r>
        <w:rPr>
          <w:rFonts w:ascii="Times New Roman" w:hAnsi="Times New Roman"/>
          <w:sz w:val="28"/>
          <w:szCs w:val="28"/>
          <w:lang w:val="en-US"/>
        </w:rPr>
        <w:t>.</w:t>
      </w:r>
      <w:r w:rsidRPr="004A362B">
        <w:rPr>
          <w:rFonts w:ascii="Times New Roman" w:hAnsi="Times New Roman"/>
          <w:sz w:val="28"/>
          <w:szCs w:val="28"/>
          <w:lang w:val="en-US"/>
        </w:rPr>
        <w:t xml:space="preserve"> </w:t>
      </w:r>
      <w:r w:rsidRPr="0060528F">
        <w:rPr>
          <w:rFonts w:ascii="Times New Roman" w:hAnsi="Times New Roman"/>
          <w:sz w:val="28"/>
          <w:szCs w:val="28"/>
          <w:lang w:val="en-US"/>
        </w:rPr>
        <w:t xml:space="preserve">– Vol. </w:t>
      </w:r>
      <w:r w:rsidRPr="004A362B">
        <w:rPr>
          <w:rFonts w:ascii="Times New Roman" w:hAnsi="Times New Roman"/>
          <w:sz w:val="28"/>
          <w:szCs w:val="28"/>
          <w:lang w:val="en-US"/>
        </w:rPr>
        <w:t>19</w:t>
      </w:r>
      <w:r w:rsidRPr="0060528F">
        <w:rPr>
          <w:rFonts w:ascii="Times New Roman" w:hAnsi="Times New Roman"/>
          <w:sz w:val="28"/>
          <w:szCs w:val="28"/>
          <w:lang w:val="en-US"/>
        </w:rPr>
        <w:t>. – P.</w:t>
      </w:r>
      <w:r w:rsidRPr="004A362B">
        <w:rPr>
          <w:rFonts w:ascii="Times New Roman" w:hAnsi="Times New Roman"/>
          <w:sz w:val="28"/>
          <w:szCs w:val="28"/>
          <w:lang w:val="en-US"/>
        </w:rPr>
        <w:t xml:space="preserve"> 47.</w:t>
      </w:r>
    </w:p>
    <w:p w14:paraId="3CFD44E5" w14:textId="77777777" w:rsidR="00BB318A"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52 Zhabagin K.T., Se</w:t>
      </w:r>
      <w:r w:rsidRPr="0060528F">
        <w:rPr>
          <w:rStyle w:val="markedcontent"/>
          <w:rFonts w:ascii="Times New Roman" w:hAnsi="Times New Roman"/>
          <w:sz w:val="28"/>
          <w:szCs w:val="28"/>
          <w:lang w:val="en-US"/>
        </w:rPr>
        <w:t>m</w:t>
      </w:r>
      <w:r w:rsidRPr="0060528F">
        <w:rPr>
          <w:rFonts w:ascii="Times New Roman" w:hAnsi="Times New Roman"/>
          <w:sz w:val="28"/>
          <w:szCs w:val="28"/>
          <w:lang w:val="en-US"/>
        </w:rPr>
        <w:t xml:space="preserve">enova Yu.M. </w:t>
      </w:r>
      <w:r w:rsidRPr="0060528F">
        <w:rPr>
          <w:rStyle w:val="markedcontent"/>
          <w:rFonts w:ascii="Times New Roman" w:hAnsi="Times New Roman"/>
          <w:sz w:val="28"/>
          <w:szCs w:val="28"/>
          <w:lang w:val="en-US"/>
        </w:rPr>
        <w:t>A</w:t>
      </w:r>
      <w:r w:rsidRPr="0060528F">
        <w:rPr>
          <w:rFonts w:ascii="Times New Roman" w:hAnsi="Times New Roman"/>
          <w:sz w:val="28"/>
          <w:szCs w:val="28"/>
          <w:lang w:val="en-US"/>
        </w:rPr>
        <w:t>ge an</w:t>
      </w:r>
      <w:r w:rsidRPr="0060528F">
        <w:rPr>
          <w:rStyle w:val="markedcontent"/>
          <w:rFonts w:ascii="Times New Roman" w:hAnsi="Times New Roman"/>
          <w:sz w:val="28"/>
          <w:szCs w:val="28"/>
          <w:lang w:val="en-US"/>
        </w:rPr>
        <w:t>d</w:t>
      </w:r>
      <w:r w:rsidRPr="0060528F">
        <w:rPr>
          <w:rFonts w:ascii="Times New Roman" w:hAnsi="Times New Roman"/>
          <w:sz w:val="28"/>
          <w:szCs w:val="28"/>
          <w:lang w:val="en-US"/>
        </w:rPr>
        <w:t xml:space="preserve"> Gen</w:t>
      </w:r>
      <w:r w:rsidRPr="0060528F">
        <w:rPr>
          <w:rStyle w:val="markedcontent"/>
          <w:rFonts w:ascii="Times New Roman" w:hAnsi="Times New Roman"/>
          <w:sz w:val="28"/>
          <w:szCs w:val="28"/>
          <w:lang w:val="en-US"/>
        </w:rPr>
        <w:t>d</w:t>
      </w:r>
      <w:r w:rsidRPr="0060528F">
        <w:rPr>
          <w:rFonts w:ascii="Times New Roman" w:hAnsi="Times New Roman"/>
          <w:sz w:val="28"/>
          <w:szCs w:val="28"/>
          <w:lang w:val="en-US"/>
        </w:rPr>
        <w:t>er, E</w:t>
      </w:r>
      <w:r w:rsidRPr="0060528F">
        <w:rPr>
          <w:rStyle w:val="markedcontent"/>
          <w:rFonts w:ascii="Times New Roman" w:hAnsi="Times New Roman"/>
          <w:sz w:val="28"/>
          <w:szCs w:val="28"/>
          <w:lang w:val="en-US"/>
        </w:rPr>
        <w:t>t</w:t>
      </w:r>
      <w:r w:rsidRPr="0060528F">
        <w:rPr>
          <w:rFonts w:ascii="Times New Roman" w:hAnsi="Times New Roman"/>
          <w:sz w:val="28"/>
          <w:szCs w:val="28"/>
          <w:lang w:val="en-US"/>
        </w:rPr>
        <w:t>hni</w:t>
      </w:r>
      <w:r w:rsidRPr="0060528F">
        <w:rPr>
          <w:rStyle w:val="markedcontent"/>
          <w:rFonts w:ascii="Times New Roman" w:hAnsi="Times New Roman"/>
          <w:sz w:val="28"/>
          <w:szCs w:val="28"/>
          <w:lang w:val="en-US"/>
        </w:rPr>
        <w:t>c</w:t>
      </w:r>
      <w:r w:rsidRPr="0060528F">
        <w:rPr>
          <w:rFonts w:ascii="Times New Roman" w:hAnsi="Times New Roman"/>
          <w:sz w:val="28"/>
          <w:szCs w:val="28"/>
          <w:lang w:val="en-US"/>
        </w:rPr>
        <w:t xml:space="preserve"> an</w:t>
      </w:r>
      <w:r w:rsidRPr="0060528F">
        <w:rPr>
          <w:rStyle w:val="markedcontent"/>
          <w:rFonts w:ascii="Times New Roman" w:hAnsi="Times New Roman"/>
          <w:sz w:val="28"/>
          <w:szCs w:val="28"/>
          <w:lang w:val="en-US"/>
        </w:rPr>
        <w:t>d M</w:t>
      </w:r>
      <w:r w:rsidRPr="0060528F">
        <w:rPr>
          <w:rFonts w:ascii="Times New Roman" w:hAnsi="Times New Roman"/>
          <w:sz w:val="28"/>
          <w:szCs w:val="28"/>
          <w:lang w:val="en-US"/>
        </w:rPr>
        <w:t>orphologi</w:t>
      </w:r>
      <w:r w:rsidRPr="0060528F">
        <w:rPr>
          <w:rStyle w:val="markedcontent"/>
          <w:rFonts w:ascii="Times New Roman" w:hAnsi="Times New Roman"/>
          <w:sz w:val="28"/>
          <w:szCs w:val="28"/>
          <w:lang w:val="en-US"/>
        </w:rPr>
        <w:t>c</w:t>
      </w:r>
      <w:r w:rsidRPr="0060528F">
        <w:rPr>
          <w:rFonts w:ascii="Times New Roman" w:hAnsi="Times New Roman"/>
          <w:sz w:val="28"/>
          <w:szCs w:val="28"/>
          <w:lang w:val="en-US"/>
        </w:rPr>
        <w:t xml:space="preserve">al </w:t>
      </w:r>
      <w:r w:rsidRPr="0060528F">
        <w:rPr>
          <w:rStyle w:val="markedcontent"/>
          <w:rFonts w:ascii="Times New Roman" w:hAnsi="Times New Roman"/>
          <w:sz w:val="28"/>
          <w:szCs w:val="28"/>
          <w:lang w:val="en-US"/>
        </w:rPr>
        <w:t>T</w:t>
      </w:r>
      <w:r w:rsidRPr="0060528F">
        <w:rPr>
          <w:rFonts w:ascii="Times New Roman" w:hAnsi="Times New Roman"/>
          <w:sz w:val="28"/>
          <w:szCs w:val="28"/>
          <w:lang w:val="en-US"/>
        </w:rPr>
        <w:t>rai</w:t>
      </w:r>
      <w:r w:rsidRPr="0060528F">
        <w:rPr>
          <w:rStyle w:val="markedcontent"/>
          <w:rFonts w:ascii="Times New Roman" w:hAnsi="Times New Roman"/>
          <w:sz w:val="28"/>
          <w:szCs w:val="28"/>
          <w:lang w:val="en-US"/>
        </w:rPr>
        <w:t>ts</w:t>
      </w:r>
      <w:r w:rsidRPr="0060528F">
        <w:rPr>
          <w:rFonts w:ascii="Times New Roman" w:hAnsi="Times New Roman"/>
          <w:sz w:val="28"/>
          <w:szCs w:val="28"/>
          <w:lang w:val="en-US"/>
        </w:rPr>
        <w:t xml:space="preserve">of </w:t>
      </w:r>
      <w:r w:rsidRPr="0060528F">
        <w:rPr>
          <w:rStyle w:val="markedcontent"/>
          <w:rFonts w:ascii="Times New Roman" w:hAnsi="Times New Roman"/>
          <w:sz w:val="28"/>
          <w:szCs w:val="28"/>
          <w:lang w:val="en-US"/>
        </w:rPr>
        <w:t>C</w:t>
      </w:r>
      <w:r w:rsidRPr="0060528F">
        <w:rPr>
          <w:rFonts w:ascii="Times New Roman" w:hAnsi="Times New Roman"/>
          <w:sz w:val="28"/>
          <w:szCs w:val="28"/>
          <w:lang w:val="en-US"/>
        </w:rPr>
        <w:t>olore</w:t>
      </w:r>
      <w:r w:rsidRPr="0060528F">
        <w:rPr>
          <w:rStyle w:val="markedcontent"/>
          <w:rFonts w:ascii="Times New Roman" w:hAnsi="Times New Roman"/>
          <w:sz w:val="28"/>
          <w:szCs w:val="28"/>
          <w:lang w:val="en-US"/>
        </w:rPr>
        <w:t>ct</w:t>
      </w:r>
      <w:r w:rsidRPr="0060528F">
        <w:rPr>
          <w:rFonts w:ascii="Times New Roman" w:hAnsi="Times New Roman"/>
          <w:sz w:val="28"/>
          <w:szCs w:val="28"/>
          <w:lang w:val="en-US"/>
        </w:rPr>
        <w:t xml:space="preserve">al </w:t>
      </w:r>
      <w:r w:rsidRPr="0060528F">
        <w:rPr>
          <w:rStyle w:val="markedcontent"/>
          <w:rFonts w:ascii="Times New Roman" w:hAnsi="Times New Roman"/>
          <w:sz w:val="28"/>
          <w:szCs w:val="28"/>
          <w:lang w:val="en-US"/>
        </w:rPr>
        <w:t>C</w:t>
      </w:r>
      <w:r w:rsidRPr="0060528F">
        <w:rPr>
          <w:rFonts w:ascii="Times New Roman" w:hAnsi="Times New Roman"/>
          <w:sz w:val="28"/>
          <w:szCs w:val="28"/>
          <w:lang w:val="en-US"/>
        </w:rPr>
        <w:t>an</w:t>
      </w:r>
      <w:r w:rsidRPr="0060528F">
        <w:rPr>
          <w:rStyle w:val="markedcontent"/>
          <w:rFonts w:ascii="Times New Roman" w:hAnsi="Times New Roman"/>
          <w:sz w:val="28"/>
          <w:szCs w:val="28"/>
          <w:lang w:val="en-US"/>
        </w:rPr>
        <w:t>c</w:t>
      </w:r>
      <w:r w:rsidRPr="0060528F">
        <w:rPr>
          <w:rFonts w:ascii="Times New Roman" w:hAnsi="Times New Roman"/>
          <w:sz w:val="28"/>
          <w:szCs w:val="28"/>
          <w:lang w:val="en-US"/>
        </w:rPr>
        <w:t xml:space="preserve">er in </w:t>
      </w:r>
      <w:r w:rsidRPr="0060528F">
        <w:rPr>
          <w:rStyle w:val="markedcontent"/>
          <w:rFonts w:ascii="Times New Roman" w:hAnsi="Times New Roman"/>
          <w:sz w:val="28"/>
          <w:szCs w:val="28"/>
          <w:lang w:val="en-US"/>
        </w:rPr>
        <w:t>t</w:t>
      </w:r>
      <w:r w:rsidRPr="0060528F">
        <w:rPr>
          <w:rFonts w:ascii="Times New Roman" w:hAnsi="Times New Roman"/>
          <w:sz w:val="28"/>
          <w:szCs w:val="28"/>
          <w:lang w:val="en-US"/>
        </w:rPr>
        <w:t>he Se</w:t>
      </w:r>
      <w:r w:rsidRPr="0060528F">
        <w:rPr>
          <w:rStyle w:val="markedcontent"/>
          <w:rFonts w:ascii="Times New Roman" w:hAnsi="Times New Roman"/>
          <w:sz w:val="28"/>
          <w:szCs w:val="28"/>
          <w:lang w:val="en-US"/>
        </w:rPr>
        <w:t>m</w:t>
      </w:r>
      <w:r w:rsidRPr="0060528F">
        <w:rPr>
          <w:rFonts w:ascii="Times New Roman" w:hAnsi="Times New Roman"/>
          <w:sz w:val="28"/>
          <w:szCs w:val="28"/>
          <w:lang w:val="en-US"/>
        </w:rPr>
        <w:t xml:space="preserve">ey region // Medicine. – 2016. –Vol. 172, №10. – </w:t>
      </w:r>
      <w:r w:rsidRPr="0060528F">
        <w:rPr>
          <w:rFonts w:ascii="Times New Roman" w:hAnsi="Times New Roman"/>
          <w:sz w:val="28"/>
          <w:szCs w:val="28"/>
        </w:rPr>
        <w:t>Р</w:t>
      </w:r>
      <w:r w:rsidRPr="0060528F">
        <w:rPr>
          <w:rFonts w:ascii="Times New Roman" w:hAnsi="Times New Roman"/>
          <w:sz w:val="28"/>
          <w:szCs w:val="28"/>
          <w:lang w:val="en-US"/>
        </w:rPr>
        <w:t>. 20-22.</w:t>
      </w:r>
    </w:p>
    <w:p w14:paraId="5B48CA20" w14:textId="77777777" w:rsidR="00BB318A" w:rsidRDefault="00BB318A" w:rsidP="00BB318A">
      <w:pPr>
        <w:pStyle w:val="a7"/>
        <w:ind w:left="0" w:firstLine="567"/>
        <w:jc w:val="both"/>
        <w:rPr>
          <w:rFonts w:ascii="Times New Roman" w:hAnsi="Times New Roman"/>
          <w:sz w:val="28"/>
          <w:szCs w:val="28"/>
          <w:lang w:val="en-US"/>
        </w:rPr>
      </w:pPr>
      <w:r w:rsidRPr="007B4A75">
        <w:rPr>
          <w:rFonts w:ascii="Times New Roman" w:hAnsi="Times New Roman"/>
          <w:sz w:val="28"/>
          <w:szCs w:val="28"/>
          <w:lang w:val="en-US"/>
        </w:rPr>
        <w:lastRenderedPageBreak/>
        <w:t xml:space="preserve">53 </w:t>
      </w:r>
      <w:r w:rsidRPr="0060528F">
        <w:rPr>
          <w:rFonts w:ascii="Times New Roman" w:hAnsi="Times New Roman"/>
          <w:sz w:val="28"/>
          <w:szCs w:val="28"/>
          <w:lang w:val="en-US"/>
        </w:rPr>
        <w:t>Jo A., Oh H. Incidence of Colon Cancer Related to Cigarette Smoking and Alcohol Consumption in Adults with Metabolic Syndrome: Prospective Cohort Study // J Korean Acad Nurs. – 2019. – Vol. 49, №6. – P. 713-723.</w:t>
      </w:r>
    </w:p>
    <w:p w14:paraId="127F0BAA" w14:textId="77777777" w:rsidR="00BB318A" w:rsidRPr="00C954CB" w:rsidRDefault="00BB318A" w:rsidP="00BB318A">
      <w:pPr>
        <w:spacing w:after="0" w:line="240" w:lineRule="auto"/>
        <w:ind w:firstLine="567"/>
        <w:jc w:val="both"/>
        <w:rPr>
          <w:rFonts w:ascii="Times New Roman" w:hAnsi="Times New Roman"/>
          <w:sz w:val="28"/>
          <w:szCs w:val="28"/>
          <w:lang w:val="en-US"/>
        </w:rPr>
      </w:pPr>
      <w:r w:rsidRPr="00723899">
        <w:rPr>
          <w:rFonts w:ascii="Times New Roman" w:hAnsi="Times New Roman"/>
          <w:sz w:val="28"/>
          <w:szCs w:val="28"/>
          <w:lang w:val="en-US"/>
        </w:rPr>
        <w:t xml:space="preserve">54 </w:t>
      </w:r>
      <w:r w:rsidRPr="007B4A75">
        <w:rPr>
          <w:rFonts w:ascii="Times New Roman" w:hAnsi="Times New Roman"/>
          <w:sz w:val="28"/>
          <w:szCs w:val="28"/>
          <w:lang w:val="en-US"/>
        </w:rPr>
        <w:t>Ferlay J</w:t>
      </w:r>
      <w:r>
        <w:rPr>
          <w:rFonts w:ascii="Times New Roman" w:hAnsi="Times New Roman"/>
          <w:sz w:val="28"/>
          <w:szCs w:val="28"/>
          <w:lang w:val="en-US"/>
        </w:rPr>
        <w:t>.</w:t>
      </w:r>
      <w:r w:rsidRPr="007B4A75">
        <w:rPr>
          <w:rFonts w:ascii="Times New Roman" w:hAnsi="Times New Roman"/>
          <w:sz w:val="28"/>
          <w:szCs w:val="28"/>
          <w:lang w:val="en-US"/>
        </w:rPr>
        <w:t>, Laversanne M</w:t>
      </w:r>
      <w:r>
        <w:rPr>
          <w:rFonts w:ascii="Times New Roman" w:hAnsi="Times New Roman"/>
          <w:sz w:val="28"/>
          <w:szCs w:val="28"/>
          <w:lang w:val="en-US"/>
        </w:rPr>
        <w:t>.</w:t>
      </w:r>
      <w:r w:rsidRPr="007B4A75">
        <w:rPr>
          <w:rFonts w:ascii="Times New Roman" w:hAnsi="Times New Roman"/>
          <w:sz w:val="28"/>
          <w:szCs w:val="28"/>
          <w:lang w:val="en-US"/>
        </w:rPr>
        <w:t>, Ervik M</w:t>
      </w:r>
      <w:r>
        <w:rPr>
          <w:rFonts w:ascii="Times New Roman" w:hAnsi="Times New Roman"/>
          <w:sz w:val="28"/>
          <w:szCs w:val="28"/>
          <w:lang w:val="en-US"/>
        </w:rPr>
        <w:t>.</w:t>
      </w:r>
      <w:r w:rsidRPr="007B4A75">
        <w:rPr>
          <w:rFonts w:ascii="Times New Roman" w:hAnsi="Times New Roman"/>
          <w:sz w:val="28"/>
          <w:szCs w:val="28"/>
          <w:lang w:val="en-US"/>
        </w:rPr>
        <w:t>, et al. Global Cancer</w:t>
      </w:r>
      <w:r>
        <w:rPr>
          <w:rFonts w:ascii="Times New Roman" w:hAnsi="Times New Roman"/>
          <w:sz w:val="28"/>
          <w:szCs w:val="28"/>
          <w:lang w:val="kk-KZ"/>
        </w:rPr>
        <w:t xml:space="preserve"> </w:t>
      </w:r>
      <w:r w:rsidRPr="007B4A75">
        <w:rPr>
          <w:rFonts w:ascii="Times New Roman" w:hAnsi="Times New Roman"/>
          <w:sz w:val="28"/>
          <w:szCs w:val="28"/>
          <w:lang w:val="en-US"/>
        </w:rPr>
        <w:t>Observatory: Cancer Tomorrow</w:t>
      </w:r>
      <w:r w:rsidRPr="0060528F">
        <w:rPr>
          <w:rFonts w:ascii="Times New Roman" w:hAnsi="Times New Roman"/>
          <w:sz w:val="28"/>
          <w:szCs w:val="28"/>
          <w:lang w:val="en-US"/>
        </w:rPr>
        <w:t xml:space="preserve"> // </w:t>
      </w:r>
      <w:r w:rsidRPr="007B4A75">
        <w:rPr>
          <w:rFonts w:ascii="Times New Roman" w:hAnsi="Times New Roman"/>
          <w:sz w:val="28"/>
          <w:szCs w:val="28"/>
          <w:lang w:val="en-US"/>
        </w:rPr>
        <w:t>Lyon, France: International</w:t>
      </w:r>
      <w:r>
        <w:rPr>
          <w:rFonts w:ascii="Times New Roman" w:hAnsi="Times New Roman"/>
          <w:sz w:val="28"/>
          <w:szCs w:val="28"/>
          <w:lang w:val="kk-KZ"/>
        </w:rPr>
        <w:t xml:space="preserve"> </w:t>
      </w:r>
      <w:r w:rsidRPr="007B4A75">
        <w:rPr>
          <w:rFonts w:ascii="Times New Roman" w:hAnsi="Times New Roman"/>
          <w:sz w:val="28"/>
          <w:szCs w:val="28"/>
          <w:lang w:val="en-US"/>
        </w:rPr>
        <w:t>Agency for Research on Cancer</w:t>
      </w:r>
      <w:r>
        <w:rPr>
          <w:rFonts w:ascii="Times New Roman" w:hAnsi="Times New Roman"/>
          <w:sz w:val="28"/>
          <w:szCs w:val="28"/>
          <w:lang w:val="en-US"/>
        </w:rPr>
        <w:t xml:space="preserve">, 2020. URL: </w:t>
      </w:r>
      <w:r w:rsidRPr="007B4A75">
        <w:rPr>
          <w:rFonts w:ascii="Times New Roman" w:hAnsi="Times New Roman"/>
          <w:sz w:val="28"/>
          <w:szCs w:val="28"/>
          <w:lang w:val="en-US"/>
        </w:rPr>
        <w:t>https</w:t>
      </w:r>
      <w:r w:rsidRPr="00C954CB">
        <w:rPr>
          <w:rFonts w:ascii="Times New Roman" w:hAnsi="Times New Roman"/>
          <w:sz w:val="28"/>
          <w:szCs w:val="28"/>
          <w:lang w:val="en-US"/>
        </w:rPr>
        <w:t>://</w:t>
      </w:r>
      <w:r w:rsidRPr="007B4A75">
        <w:rPr>
          <w:rFonts w:ascii="Times New Roman" w:hAnsi="Times New Roman"/>
          <w:sz w:val="28"/>
          <w:szCs w:val="28"/>
          <w:lang w:val="en-US"/>
        </w:rPr>
        <w:t>gco</w:t>
      </w:r>
      <w:r w:rsidRPr="00C954CB">
        <w:rPr>
          <w:rFonts w:ascii="Times New Roman" w:hAnsi="Times New Roman"/>
          <w:sz w:val="28"/>
          <w:szCs w:val="28"/>
          <w:lang w:val="en-US"/>
        </w:rPr>
        <w:t>.</w:t>
      </w:r>
      <w:r w:rsidRPr="007B4A75">
        <w:rPr>
          <w:rFonts w:ascii="Times New Roman" w:hAnsi="Times New Roman"/>
          <w:sz w:val="28"/>
          <w:szCs w:val="28"/>
          <w:lang w:val="en-US"/>
        </w:rPr>
        <w:t>iarc</w:t>
      </w:r>
      <w:r w:rsidRPr="00C954CB">
        <w:rPr>
          <w:rFonts w:ascii="Times New Roman" w:hAnsi="Times New Roman"/>
          <w:sz w:val="28"/>
          <w:szCs w:val="28"/>
          <w:lang w:val="en-US"/>
        </w:rPr>
        <w:t>.</w:t>
      </w:r>
      <w:r w:rsidRPr="007B4A75">
        <w:rPr>
          <w:rFonts w:ascii="Times New Roman" w:hAnsi="Times New Roman"/>
          <w:sz w:val="28"/>
          <w:szCs w:val="28"/>
          <w:lang w:val="en-US"/>
        </w:rPr>
        <w:t>fr</w:t>
      </w:r>
      <w:r w:rsidRPr="00C954CB">
        <w:rPr>
          <w:rFonts w:ascii="Times New Roman" w:hAnsi="Times New Roman"/>
          <w:sz w:val="28"/>
          <w:szCs w:val="28"/>
          <w:lang w:val="en-US"/>
        </w:rPr>
        <w:t>/</w:t>
      </w:r>
      <w:r w:rsidRPr="007B4A75">
        <w:rPr>
          <w:rFonts w:ascii="Times New Roman" w:hAnsi="Times New Roman"/>
          <w:sz w:val="28"/>
          <w:szCs w:val="28"/>
          <w:lang w:val="en-US"/>
        </w:rPr>
        <w:t>tomorrow</w:t>
      </w:r>
      <w:r>
        <w:rPr>
          <w:rFonts w:ascii="Times New Roman" w:hAnsi="Times New Roman"/>
          <w:sz w:val="28"/>
          <w:szCs w:val="28"/>
          <w:lang w:val="en-US"/>
        </w:rPr>
        <w:t xml:space="preserve">. </w:t>
      </w:r>
      <w:r w:rsidRPr="00C954CB">
        <w:rPr>
          <w:rFonts w:ascii="Times New Roman" w:hAnsi="Times New Roman"/>
          <w:sz w:val="28"/>
          <w:szCs w:val="28"/>
          <w:lang w:val="en-US"/>
        </w:rPr>
        <w:t>(дата обращения: 0</w:t>
      </w:r>
      <w:r>
        <w:rPr>
          <w:rFonts w:ascii="Times New Roman" w:hAnsi="Times New Roman"/>
          <w:sz w:val="28"/>
          <w:szCs w:val="28"/>
          <w:lang w:val="en-US"/>
        </w:rPr>
        <w:t>6</w:t>
      </w:r>
      <w:r w:rsidRPr="00C954CB">
        <w:rPr>
          <w:rFonts w:ascii="Times New Roman" w:hAnsi="Times New Roman"/>
          <w:sz w:val="28"/>
          <w:szCs w:val="28"/>
          <w:lang w:val="en-US"/>
        </w:rPr>
        <w:t>.03.2022)</w:t>
      </w:r>
      <w:r w:rsidRPr="0060528F">
        <w:rPr>
          <w:rFonts w:ascii="Times New Roman" w:hAnsi="Times New Roman"/>
          <w:sz w:val="28"/>
          <w:szCs w:val="28"/>
          <w:lang w:val="en-US"/>
        </w:rPr>
        <w:t>.</w:t>
      </w:r>
    </w:p>
    <w:p w14:paraId="2EEF2AA9" w14:textId="77777777" w:rsidR="00BB318A" w:rsidRPr="00287F22"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55 Cassidy J., Bissett D. Oxford Handbook of Oncology. – London:</w:t>
      </w:r>
      <w:r w:rsidRPr="0060528F">
        <w:rPr>
          <w:rFonts w:ascii="Times New Roman" w:hAnsi="Times New Roman"/>
          <w:sz w:val="28"/>
          <w:szCs w:val="28"/>
          <w:shd w:val="clear" w:color="auto" w:fill="FFFFFF"/>
          <w:lang w:val="en-US"/>
        </w:rPr>
        <w:t xml:space="preserve"> </w:t>
      </w:r>
      <w:r w:rsidRPr="0060528F">
        <w:rPr>
          <w:rStyle w:val="a-text-bold"/>
          <w:rFonts w:ascii="Times New Roman" w:hAnsi="Times New Roman"/>
          <w:sz w:val="28"/>
          <w:szCs w:val="28"/>
          <w:shd w:val="clear" w:color="auto" w:fill="FFFFFF"/>
          <w:lang w:val="en-US"/>
        </w:rPr>
        <w:t>Oxford</w:t>
      </w:r>
      <w:r w:rsidRPr="0060528F">
        <w:rPr>
          <w:rFonts w:ascii="Times New Roman" w:hAnsi="Times New Roman"/>
          <w:sz w:val="28"/>
          <w:szCs w:val="28"/>
          <w:shd w:val="clear" w:color="auto" w:fill="FFFFFF"/>
          <w:lang w:val="en-US"/>
        </w:rPr>
        <w:t xml:space="preserve"> University Press, </w:t>
      </w:r>
      <w:r w:rsidRPr="0060528F">
        <w:rPr>
          <w:rFonts w:ascii="Times New Roman" w:hAnsi="Times New Roman"/>
          <w:sz w:val="28"/>
          <w:szCs w:val="28"/>
          <w:lang w:val="en-US"/>
        </w:rPr>
        <w:t xml:space="preserve">2010. – 896 </w:t>
      </w:r>
      <w:r w:rsidRPr="0060528F">
        <w:rPr>
          <w:rFonts w:ascii="Times New Roman" w:hAnsi="Times New Roman"/>
          <w:sz w:val="28"/>
          <w:szCs w:val="28"/>
        </w:rPr>
        <w:t>р</w:t>
      </w:r>
      <w:r>
        <w:rPr>
          <w:rFonts w:ascii="Times New Roman" w:hAnsi="Times New Roman"/>
          <w:sz w:val="28"/>
          <w:szCs w:val="28"/>
          <w:lang w:val="en-US"/>
        </w:rPr>
        <w:t>.</w:t>
      </w:r>
    </w:p>
    <w:p w14:paraId="28446E30" w14:textId="77777777" w:rsidR="00BB318A" w:rsidRPr="004F2438" w:rsidRDefault="00BB318A" w:rsidP="00BB318A">
      <w:pPr>
        <w:pStyle w:val="a7"/>
        <w:ind w:left="0" w:firstLine="567"/>
        <w:jc w:val="both"/>
        <w:rPr>
          <w:rFonts w:ascii="Times New Roman" w:hAnsi="Times New Roman"/>
          <w:sz w:val="28"/>
          <w:szCs w:val="28"/>
        </w:rPr>
      </w:pPr>
      <w:r w:rsidRPr="00FA6A1F">
        <w:rPr>
          <w:rFonts w:ascii="Times New Roman" w:hAnsi="Times New Roman"/>
          <w:sz w:val="28"/>
          <w:szCs w:val="28"/>
        </w:rPr>
        <w:t>56</w:t>
      </w:r>
      <w:r>
        <w:rPr>
          <w:rFonts w:ascii="Times New Roman" w:hAnsi="Times New Roman"/>
          <w:sz w:val="28"/>
          <w:szCs w:val="28"/>
        </w:rPr>
        <w:t xml:space="preserve"> </w:t>
      </w:r>
      <w:r w:rsidRPr="0060528F">
        <w:rPr>
          <w:rFonts w:ascii="Times New Roman" w:hAnsi="Times New Roman"/>
          <w:sz w:val="28"/>
          <w:szCs w:val="28"/>
        </w:rPr>
        <w:t>Алдиярова А.Е., Сембаев Д.Р., Рутжанова Ж.Ю., Бекишева А.Т. Опыт применения панитумумаба в лечении 1 линии метастатического колоректального рака //</w:t>
      </w:r>
      <w:r w:rsidRPr="0060528F">
        <w:rPr>
          <w:rFonts w:ascii="Times New Roman" w:hAnsi="Times New Roman"/>
          <w:sz w:val="28"/>
          <w:szCs w:val="28"/>
          <w:lang w:val="kk-KZ"/>
        </w:rPr>
        <w:t xml:space="preserve"> С</w:t>
      </w:r>
      <w:r w:rsidRPr="0060528F">
        <w:rPr>
          <w:rFonts w:ascii="Times New Roman" w:hAnsi="Times New Roman"/>
          <w:sz w:val="28"/>
          <w:szCs w:val="28"/>
        </w:rPr>
        <w:t>б. тез. междунар. науч.-практ. конф. молодых ученых и студентов, приуроченная к 30-летию Независимости</w:t>
      </w:r>
      <w:r w:rsidRPr="004F2438">
        <w:rPr>
          <w:rFonts w:ascii="Times New Roman" w:hAnsi="Times New Roman"/>
          <w:sz w:val="28"/>
          <w:szCs w:val="28"/>
        </w:rPr>
        <w:t xml:space="preserve"> </w:t>
      </w:r>
      <w:r w:rsidRPr="0060528F">
        <w:rPr>
          <w:rFonts w:ascii="Times New Roman" w:hAnsi="Times New Roman"/>
          <w:sz w:val="28"/>
          <w:szCs w:val="28"/>
        </w:rPr>
        <w:t>Республики</w:t>
      </w:r>
      <w:r w:rsidRPr="004F2438">
        <w:rPr>
          <w:rFonts w:ascii="Times New Roman" w:hAnsi="Times New Roman"/>
          <w:sz w:val="28"/>
          <w:szCs w:val="28"/>
        </w:rPr>
        <w:t xml:space="preserve"> </w:t>
      </w:r>
      <w:r w:rsidRPr="0060528F">
        <w:rPr>
          <w:rFonts w:ascii="Times New Roman" w:hAnsi="Times New Roman"/>
          <w:sz w:val="28"/>
          <w:szCs w:val="28"/>
        </w:rPr>
        <w:t>Казахстан</w:t>
      </w:r>
      <w:r w:rsidRPr="004F2438">
        <w:rPr>
          <w:rFonts w:ascii="Times New Roman" w:hAnsi="Times New Roman"/>
          <w:sz w:val="28"/>
          <w:szCs w:val="28"/>
        </w:rPr>
        <w:t xml:space="preserve">. – </w:t>
      </w:r>
      <w:r w:rsidRPr="0060528F">
        <w:rPr>
          <w:rFonts w:ascii="Times New Roman" w:hAnsi="Times New Roman"/>
          <w:sz w:val="28"/>
          <w:szCs w:val="28"/>
          <w:lang w:val="kk-KZ"/>
        </w:rPr>
        <w:t>Нур-Султан</w:t>
      </w:r>
      <w:r w:rsidRPr="004F2438">
        <w:rPr>
          <w:rFonts w:ascii="Times New Roman" w:hAnsi="Times New Roman"/>
          <w:sz w:val="28"/>
          <w:szCs w:val="28"/>
        </w:rPr>
        <w:t xml:space="preserve">, 2021. – </w:t>
      </w:r>
      <w:r w:rsidRPr="0060528F">
        <w:rPr>
          <w:rFonts w:ascii="Times New Roman" w:hAnsi="Times New Roman"/>
          <w:sz w:val="28"/>
          <w:szCs w:val="28"/>
        </w:rPr>
        <w:t>С</w:t>
      </w:r>
      <w:r w:rsidRPr="004F2438">
        <w:rPr>
          <w:rFonts w:ascii="Times New Roman" w:hAnsi="Times New Roman"/>
          <w:sz w:val="28"/>
          <w:szCs w:val="28"/>
        </w:rPr>
        <w:t>. 448-449.</w:t>
      </w:r>
    </w:p>
    <w:p w14:paraId="6443E447" w14:textId="77777777" w:rsidR="00BB318A" w:rsidRPr="00C954CB" w:rsidRDefault="00BB318A" w:rsidP="00BB318A">
      <w:pPr>
        <w:pStyle w:val="a7"/>
        <w:ind w:left="0" w:firstLine="567"/>
        <w:jc w:val="both"/>
        <w:rPr>
          <w:rFonts w:ascii="Times New Roman" w:hAnsi="Times New Roman"/>
          <w:sz w:val="28"/>
          <w:szCs w:val="28"/>
          <w:lang w:val="en-US"/>
        </w:rPr>
      </w:pPr>
      <w:r w:rsidRPr="004F2438">
        <w:rPr>
          <w:rFonts w:ascii="Times New Roman" w:hAnsi="Times New Roman"/>
          <w:sz w:val="28"/>
          <w:szCs w:val="28"/>
        </w:rPr>
        <w:t xml:space="preserve">57 </w:t>
      </w:r>
      <w:r w:rsidRPr="00FA6A1F">
        <w:rPr>
          <w:rFonts w:ascii="Times New Roman" w:hAnsi="Times New Roman"/>
          <w:sz w:val="28"/>
          <w:szCs w:val="28"/>
          <w:lang w:val="en-US"/>
        </w:rPr>
        <w:t>Chung</w:t>
      </w:r>
      <w:r w:rsidRPr="004F2438">
        <w:rPr>
          <w:rFonts w:ascii="Times New Roman" w:hAnsi="Times New Roman"/>
          <w:sz w:val="28"/>
          <w:szCs w:val="28"/>
        </w:rPr>
        <w:t xml:space="preserve"> </w:t>
      </w:r>
      <w:r w:rsidRPr="00FA6A1F">
        <w:rPr>
          <w:rFonts w:ascii="Times New Roman" w:hAnsi="Times New Roman"/>
          <w:sz w:val="28"/>
          <w:szCs w:val="28"/>
          <w:lang w:val="en-US"/>
        </w:rPr>
        <w:t>K</w:t>
      </w:r>
      <w:r w:rsidRPr="004F2438">
        <w:rPr>
          <w:rFonts w:ascii="Times New Roman" w:hAnsi="Times New Roman"/>
          <w:sz w:val="28"/>
          <w:szCs w:val="28"/>
        </w:rPr>
        <w:t xml:space="preserve">., </w:t>
      </w:r>
      <w:r w:rsidRPr="00FA6A1F">
        <w:rPr>
          <w:rFonts w:ascii="Times New Roman" w:hAnsi="Times New Roman"/>
          <w:sz w:val="28"/>
          <w:szCs w:val="28"/>
          <w:lang w:val="en-US"/>
        </w:rPr>
        <w:t>Lee</w:t>
      </w:r>
      <w:r w:rsidRPr="004F2438">
        <w:rPr>
          <w:rFonts w:ascii="Times New Roman" w:hAnsi="Times New Roman"/>
          <w:sz w:val="28"/>
          <w:szCs w:val="28"/>
        </w:rPr>
        <w:t xml:space="preserve"> </w:t>
      </w:r>
      <w:r w:rsidRPr="00FA6A1F">
        <w:rPr>
          <w:rFonts w:ascii="Times New Roman" w:hAnsi="Times New Roman"/>
          <w:sz w:val="28"/>
          <w:szCs w:val="28"/>
          <w:lang w:val="en-US"/>
        </w:rPr>
        <w:t>K</w:t>
      </w:r>
      <w:r w:rsidRPr="004F2438">
        <w:rPr>
          <w:rFonts w:ascii="Times New Roman" w:hAnsi="Times New Roman"/>
          <w:sz w:val="28"/>
          <w:szCs w:val="28"/>
        </w:rPr>
        <w:t xml:space="preserve">., </w:t>
      </w:r>
      <w:r w:rsidRPr="00FA6A1F">
        <w:rPr>
          <w:rFonts w:ascii="Times New Roman" w:hAnsi="Times New Roman"/>
          <w:sz w:val="28"/>
          <w:szCs w:val="28"/>
          <w:lang w:val="en-US"/>
        </w:rPr>
        <w:t>Chen</w:t>
      </w:r>
      <w:r w:rsidRPr="004F2438">
        <w:rPr>
          <w:rFonts w:ascii="Times New Roman" w:hAnsi="Times New Roman"/>
          <w:sz w:val="28"/>
          <w:szCs w:val="28"/>
        </w:rPr>
        <w:t xml:space="preserve"> </w:t>
      </w:r>
      <w:r w:rsidRPr="00FA6A1F">
        <w:rPr>
          <w:rFonts w:ascii="Times New Roman" w:hAnsi="Times New Roman"/>
          <w:sz w:val="28"/>
          <w:szCs w:val="28"/>
          <w:lang w:val="en-US"/>
        </w:rPr>
        <w:t>H</w:t>
      </w:r>
      <w:r w:rsidRPr="004F2438">
        <w:rPr>
          <w:rFonts w:ascii="Times New Roman" w:hAnsi="Times New Roman"/>
          <w:sz w:val="28"/>
          <w:szCs w:val="28"/>
        </w:rPr>
        <w:t xml:space="preserve">., </w:t>
      </w:r>
      <w:r>
        <w:rPr>
          <w:rFonts w:ascii="Times New Roman" w:hAnsi="Times New Roman"/>
          <w:sz w:val="28"/>
          <w:szCs w:val="28"/>
          <w:lang w:val="en-US"/>
        </w:rPr>
        <w:t>et</w:t>
      </w:r>
      <w:r w:rsidRPr="004F2438">
        <w:rPr>
          <w:rFonts w:ascii="Times New Roman" w:hAnsi="Times New Roman"/>
          <w:sz w:val="28"/>
          <w:szCs w:val="28"/>
        </w:rPr>
        <w:t xml:space="preserve"> </w:t>
      </w:r>
      <w:r>
        <w:rPr>
          <w:rFonts w:ascii="Times New Roman" w:hAnsi="Times New Roman"/>
          <w:sz w:val="28"/>
          <w:szCs w:val="28"/>
          <w:lang w:val="en-US"/>
        </w:rPr>
        <w:t>al</w:t>
      </w:r>
      <w:r w:rsidRPr="004F2438">
        <w:rPr>
          <w:rFonts w:ascii="Times New Roman" w:hAnsi="Times New Roman"/>
          <w:sz w:val="28"/>
          <w:szCs w:val="28"/>
        </w:rPr>
        <w:t xml:space="preserve">. </w:t>
      </w:r>
      <w:r w:rsidRPr="00FA6A1F">
        <w:rPr>
          <w:rFonts w:ascii="Times New Roman" w:hAnsi="Times New Roman"/>
          <w:sz w:val="28"/>
          <w:szCs w:val="28"/>
          <w:lang w:val="en-US"/>
        </w:rPr>
        <w:t>Differential short-term outcomes of laparoscopic resection in colon and rectal cancer patients aged 80 and older: an analysis of Nationwide Inpatient Sample</w:t>
      </w:r>
      <w:r w:rsidRPr="00287F22">
        <w:rPr>
          <w:rFonts w:ascii="Times New Roman" w:hAnsi="Times New Roman"/>
          <w:sz w:val="28"/>
          <w:szCs w:val="28"/>
          <w:lang w:val="en-US"/>
        </w:rPr>
        <w:t xml:space="preserve"> //</w:t>
      </w:r>
      <w:r w:rsidRPr="0060528F">
        <w:rPr>
          <w:rFonts w:ascii="Times New Roman" w:hAnsi="Times New Roman"/>
          <w:sz w:val="28"/>
          <w:szCs w:val="28"/>
          <w:lang w:val="kk-KZ"/>
        </w:rPr>
        <w:t xml:space="preserve"> </w:t>
      </w:r>
      <w:r w:rsidRPr="00053305">
        <w:rPr>
          <w:rFonts w:ascii="Times New Roman" w:hAnsi="Times New Roman"/>
          <w:sz w:val="28"/>
          <w:szCs w:val="28"/>
          <w:lang w:val="en-US"/>
        </w:rPr>
        <w:t>Surgical endoscopy</w:t>
      </w:r>
      <w:r w:rsidRPr="0060528F">
        <w:rPr>
          <w:rFonts w:ascii="Times New Roman" w:hAnsi="Times New Roman"/>
          <w:sz w:val="28"/>
          <w:szCs w:val="28"/>
          <w:lang w:val="en-US"/>
        </w:rPr>
        <w:t xml:space="preserve">. – </w:t>
      </w:r>
      <w:r w:rsidRPr="00FA6A1F">
        <w:rPr>
          <w:rFonts w:ascii="Times New Roman" w:hAnsi="Times New Roman"/>
          <w:sz w:val="28"/>
          <w:szCs w:val="28"/>
          <w:lang w:val="en-US"/>
        </w:rPr>
        <w:t>2021</w:t>
      </w:r>
      <w:r>
        <w:rPr>
          <w:rFonts w:ascii="Times New Roman" w:hAnsi="Times New Roman"/>
          <w:sz w:val="28"/>
          <w:szCs w:val="28"/>
          <w:lang w:val="en-US"/>
        </w:rPr>
        <w:t>.</w:t>
      </w:r>
      <w:r w:rsidRPr="0060528F">
        <w:rPr>
          <w:rFonts w:ascii="Times New Roman" w:hAnsi="Times New Roman"/>
          <w:sz w:val="28"/>
          <w:szCs w:val="28"/>
          <w:lang w:val="en-US"/>
        </w:rPr>
        <w:t xml:space="preserve"> – Vol. </w:t>
      </w:r>
      <w:r w:rsidRPr="00FA6A1F">
        <w:rPr>
          <w:rFonts w:ascii="Times New Roman" w:hAnsi="Times New Roman"/>
          <w:sz w:val="28"/>
          <w:szCs w:val="28"/>
          <w:lang w:val="en-US"/>
        </w:rPr>
        <w:t>35</w:t>
      </w:r>
      <w:r w:rsidRPr="0060528F">
        <w:rPr>
          <w:rFonts w:ascii="Times New Roman" w:hAnsi="Times New Roman"/>
          <w:sz w:val="28"/>
          <w:szCs w:val="28"/>
          <w:lang w:val="en-US"/>
        </w:rPr>
        <w:t>. – P.</w:t>
      </w:r>
      <w:r w:rsidRPr="00FA6A1F">
        <w:rPr>
          <w:rFonts w:ascii="Times New Roman" w:hAnsi="Times New Roman"/>
          <w:sz w:val="28"/>
          <w:szCs w:val="28"/>
          <w:lang w:val="en-US"/>
        </w:rPr>
        <w:t xml:space="preserve"> 872-883.</w:t>
      </w:r>
    </w:p>
    <w:p w14:paraId="1B996484" w14:textId="77777777" w:rsidR="00BB318A" w:rsidRPr="00FA6A1F" w:rsidRDefault="00BB318A" w:rsidP="00BB318A">
      <w:pPr>
        <w:pStyle w:val="a7"/>
        <w:ind w:left="0" w:firstLine="567"/>
        <w:jc w:val="both"/>
        <w:rPr>
          <w:rFonts w:ascii="Times New Roman" w:hAnsi="Times New Roman"/>
          <w:sz w:val="28"/>
          <w:szCs w:val="28"/>
          <w:lang w:val="en-US"/>
        </w:rPr>
      </w:pPr>
      <w:r w:rsidRPr="00FA6A1F">
        <w:rPr>
          <w:rFonts w:ascii="Times New Roman" w:hAnsi="Times New Roman"/>
          <w:sz w:val="28"/>
          <w:szCs w:val="28"/>
          <w:lang w:val="en-US"/>
        </w:rPr>
        <w:t>58 Park S</w:t>
      </w:r>
      <w:r>
        <w:rPr>
          <w:rFonts w:ascii="Times New Roman" w:hAnsi="Times New Roman"/>
          <w:sz w:val="28"/>
          <w:szCs w:val="28"/>
          <w:lang w:val="en-US"/>
        </w:rPr>
        <w:t>.</w:t>
      </w:r>
      <w:r w:rsidRPr="00FA6A1F">
        <w:rPr>
          <w:rFonts w:ascii="Times New Roman" w:hAnsi="Times New Roman"/>
          <w:sz w:val="28"/>
          <w:szCs w:val="28"/>
          <w:lang w:val="en-US"/>
        </w:rPr>
        <w:t>J</w:t>
      </w:r>
      <w:r>
        <w:rPr>
          <w:rFonts w:ascii="Times New Roman" w:hAnsi="Times New Roman"/>
          <w:sz w:val="28"/>
          <w:szCs w:val="28"/>
          <w:lang w:val="en-US"/>
        </w:rPr>
        <w:t>.</w:t>
      </w:r>
      <w:r w:rsidRPr="00FA6A1F">
        <w:rPr>
          <w:rFonts w:ascii="Times New Roman" w:hAnsi="Times New Roman"/>
          <w:sz w:val="28"/>
          <w:szCs w:val="28"/>
          <w:lang w:val="en-US"/>
        </w:rPr>
        <w:t>, Lee K</w:t>
      </w:r>
      <w:r>
        <w:rPr>
          <w:rFonts w:ascii="Times New Roman" w:hAnsi="Times New Roman"/>
          <w:sz w:val="28"/>
          <w:szCs w:val="28"/>
          <w:lang w:val="en-US"/>
        </w:rPr>
        <w:t>.</w:t>
      </w:r>
      <w:r w:rsidRPr="00FA6A1F">
        <w:rPr>
          <w:rFonts w:ascii="Times New Roman" w:hAnsi="Times New Roman"/>
          <w:sz w:val="28"/>
          <w:szCs w:val="28"/>
          <w:lang w:val="en-US"/>
        </w:rPr>
        <w:t>Y</w:t>
      </w:r>
      <w:r>
        <w:rPr>
          <w:rFonts w:ascii="Times New Roman" w:hAnsi="Times New Roman"/>
          <w:sz w:val="28"/>
          <w:szCs w:val="28"/>
          <w:lang w:val="en-US"/>
        </w:rPr>
        <w:t>.</w:t>
      </w:r>
      <w:r w:rsidRPr="00FA6A1F">
        <w:rPr>
          <w:rFonts w:ascii="Times New Roman" w:hAnsi="Times New Roman"/>
          <w:sz w:val="28"/>
          <w:szCs w:val="28"/>
          <w:lang w:val="en-US"/>
        </w:rPr>
        <w:t>, Lee S</w:t>
      </w:r>
      <w:r>
        <w:rPr>
          <w:rFonts w:ascii="Times New Roman" w:hAnsi="Times New Roman"/>
          <w:sz w:val="28"/>
          <w:szCs w:val="28"/>
          <w:lang w:val="en-US"/>
        </w:rPr>
        <w:t>.</w:t>
      </w:r>
      <w:r w:rsidRPr="00FA6A1F">
        <w:rPr>
          <w:rFonts w:ascii="Times New Roman" w:hAnsi="Times New Roman"/>
          <w:sz w:val="28"/>
          <w:szCs w:val="28"/>
          <w:lang w:val="en-US"/>
        </w:rPr>
        <w:t>H. Laparoscopic Surgery for Colorectal Cancer in Korea: Nationwide Data from 2013 to 2018</w:t>
      </w:r>
      <w:r w:rsidRPr="00287F22">
        <w:rPr>
          <w:rFonts w:ascii="Times New Roman" w:hAnsi="Times New Roman"/>
          <w:sz w:val="28"/>
          <w:szCs w:val="28"/>
          <w:lang w:val="en-US"/>
        </w:rPr>
        <w:t xml:space="preserve"> //</w:t>
      </w:r>
      <w:r w:rsidRPr="0060528F">
        <w:rPr>
          <w:rFonts w:ascii="Times New Roman" w:hAnsi="Times New Roman"/>
          <w:sz w:val="28"/>
          <w:szCs w:val="28"/>
          <w:lang w:val="kk-KZ"/>
        </w:rPr>
        <w:t xml:space="preserve"> </w:t>
      </w:r>
      <w:r w:rsidRPr="00053305">
        <w:rPr>
          <w:rFonts w:ascii="Times New Roman" w:hAnsi="Times New Roman"/>
          <w:sz w:val="28"/>
          <w:szCs w:val="28"/>
          <w:lang w:val="en-US"/>
        </w:rPr>
        <w:t>Cancer research and treatment</w:t>
      </w:r>
      <w:r w:rsidRPr="0060528F">
        <w:rPr>
          <w:rFonts w:ascii="Times New Roman" w:hAnsi="Times New Roman"/>
          <w:sz w:val="28"/>
          <w:szCs w:val="28"/>
          <w:lang w:val="en-US"/>
        </w:rPr>
        <w:t xml:space="preserve">. – </w:t>
      </w:r>
      <w:r w:rsidRPr="00FA6A1F">
        <w:rPr>
          <w:rFonts w:ascii="Times New Roman" w:hAnsi="Times New Roman"/>
          <w:sz w:val="28"/>
          <w:szCs w:val="28"/>
          <w:lang w:val="en-US"/>
        </w:rPr>
        <w:t>2020</w:t>
      </w:r>
      <w:r>
        <w:rPr>
          <w:rFonts w:ascii="Times New Roman" w:hAnsi="Times New Roman"/>
          <w:sz w:val="28"/>
          <w:szCs w:val="28"/>
          <w:lang w:val="en-US"/>
        </w:rPr>
        <w:t>.</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FA6A1F">
        <w:rPr>
          <w:rFonts w:ascii="Times New Roman" w:hAnsi="Times New Roman"/>
          <w:sz w:val="28"/>
          <w:szCs w:val="28"/>
          <w:lang w:val="en-US"/>
        </w:rPr>
        <w:t>52</w:t>
      </w:r>
      <w:r w:rsidRPr="0060528F">
        <w:rPr>
          <w:rFonts w:ascii="Times New Roman" w:hAnsi="Times New Roman"/>
          <w:sz w:val="28"/>
          <w:szCs w:val="28"/>
          <w:lang w:val="en-US"/>
        </w:rPr>
        <w:t>. – P.</w:t>
      </w:r>
      <w:r>
        <w:rPr>
          <w:rFonts w:ascii="Times New Roman" w:hAnsi="Times New Roman"/>
          <w:sz w:val="28"/>
          <w:szCs w:val="28"/>
          <w:lang w:val="en-US"/>
        </w:rPr>
        <w:t xml:space="preserve"> </w:t>
      </w:r>
      <w:r w:rsidRPr="00FA6A1F">
        <w:rPr>
          <w:rFonts w:ascii="Times New Roman" w:hAnsi="Times New Roman"/>
          <w:sz w:val="28"/>
          <w:szCs w:val="28"/>
          <w:lang w:val="en-US"/>
        </w:rPr>
        <w:t>938-944.</w:t>
      </w:r>
    </w:p>
    <w:p w14:paraId="66B1E4EE" w14:textId="77777777" w:rsidR="00BB318A" w:rsidRPr="00FA6A1F" w:rsidRDefault="00BB318A" w:rsidP="00BB318A">
      <w:pPr>
        <w:pStyle w:val="a7"/>
        <w:ind w:left="0" w:firstLine="567"/>
        <w:jc w:val="both"/>
        <w:rPr>
          <w:rFonts w:ascii="Times New Roman" w:hAnsi="Times New Roman"/>
          <w:sz w:val="28"/>
          <w:szCs w:val="28"/>
          <w:lang w:val="en-US"/>
        </w:rPr>
      </w:pPr>
      <w:r w:rsidRPr="00FA6A1F">
        <w:rPr>
          <w:rFonts w:ascii="Times New Roman" w:hAnsi="Times New Roman"/>
          <w:sz w:val="28"/>
          <w:szCs w:val="28"/>
          <w:lang w:val="en-US"/>
        </w:rPr>
        <w:t>59 Huang Y</w:t>
      </w:r>
      <w:r>
        <w:rPr>
          <w:rFonts w:ascii="Times New Roman" w:hAnsi="Times New Roman"/>
          <w:sz w:val="28"/>
          <w:szCs w:val="28"/>
          <w:lang w:val="en-US"/>
        </w:rPr>
        <w:t>.</w:t>
      </w:r>
      <w:r w:rsidRPr="00FA6A1F">
        <w:rPr>
          <w:rFonts w:ascii="Times New Roman" w:hAnsi="Times New Roman"/>
          <w:sz w:val="28"/>
          <w:szCs w:val="28"/>
          <w:lang w:val="en-US"/>
        </w:rPr>
        <w:t>, Lee Y</w:t>
      </w:r>
      <w:r>
        <w:rPr>
          <w:rFonts w:ascii="Times New Roman" w:hAnsi="Times New Roman"/>
          <w:sz w:val="28"/>
          <w:szCs w:val="28"/>
          <w:lang w:val="en-US"/>
        </w:rPr>
        <w:t>.</w:t>
      </w:r>
      <w:r w:rsidRPr="00FA6A1F">
        <w:rPr>
          <w:rFonts w:ascii="Times New Roman" w:hAnsi="Times New Roman"/>
          <w:sz w:val="28"/>
          <w:szCs w:val="28"/>
          <w:lang w:val="en-US"/>
        </w:rPr>
        <w:t>, Huang Y</w:t>
      </w:r>
      <w:r>
        <w:rPr>
          <w:rFonts w:ascii="Times New Roman" w:hAnsi="Times New Roman"/>
          <w:sz w:val="28"/>
          <w:szCs w:val="28"/>
          <w:lang w:val="en-US"/>
        </w:rPr>
        <w:t>.</w:t>
      </w:r>
      <w:r w:rsidRPr="00FA6A1F">
        <w:rPr>
          <w:rFonts w:ascii="Times New Roman" w:hAnsi="Times New Roman"/>
          <w:sz w:val="28"/>
          <w:szCs w:val="28"/>
          <w:lang w:val="en-US"/>
        </w:rPr>
        <w:t>, Wei P. Comparison of clinical outcomes between laparoscopic and open surgery for left-sided colon cancer: a nationwide population-based study</w:t>
      </w:r>
      <w:r w:rsidRPr="00287F22">
        <w:rPr>
          <w:rFonts w:ascii="Times New Roman" w:hAnsi="Times New Roman"/>
          <w:sz w:val="28"/>
          <w:szCs w:val="28"/>
          <w:lang w:val="en-US"/>
        </w:rPr>
        <w:t xml:space="preserve"> //</w:t>
      </w:r>
      <w:r w:rsidRPr="0060528F">
        <w:rPr>
          <w:rFonts w:ascii="Times New Roman" w:hAnsi="Times New Roman"/>
          <w:sz w:val="28"/>
          <w:szCs w:val="28"/>
          <w:lang w:val="kk-KZ"/>
        </w:rPr>
        <w:t xml:space="preserve"> </w:t>
      </w:r>
      <w:r w:rsidRPr="00053305">
        <w:rPr>
          <w:rFonts w:ascii="Times New Roman" w:hAnsi="Times New Roman"/>
          <w:sz w:val="28"/>
          <w:szCs w:val="28"/>
          <w:lang w:val="en-US"/>
        </w:rPr>
        <w:t>Scientific reports</w:t>
      </w:r>
      <w:r w:rsidRPr="0060528F">
        <w:rPr>
          <w:rFonts w:ascii="Times New Roman" w:hAnsi="Times New Roman"/>
          <w:sz w:val="28"/>
          <w:szCs w:val="28"/>
          <w:lang w:val="en-US"/>
        </w:rPr>
        <w:t xml:space="preserve">. – </w:t>
      </w:r>
      <w:r w:rsidRPr="00FA6A1F">
        <w:rPr>
          <w:rFonts w:ascii="Times New Roman" w:hAnsi="Times New Roman"/>
          <w:sz w:val="28"/>
          <w:szCs w:val="28"/>
          <w:lang w:val="en-US"/>
        </w:rPr>
        <w:t>2020</w:t>
      </w:r>
      <w:r>
        <w:rPr>
          <w:rFonts w:ascii="Times New Roman" w:hAnsi="Times New Roman"/>
          <w:sz w:val="28"/>
          <w:szCs w:val="28"/>
          <w:lang w:val="en-US"/>
        </w:rPr>
        <w:t>.</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FA6A1F">
        <w:rPr>
          <w:rFonts w:ascii="Times New Roman" w:hAnsi="Times New Roman"/>
          <w:sz w:val="28"/>
          <w:szCs w:val="28"/>
          <w:lang w:val="en-US"/>
        </w:rPr>
        <w:t>10</w:t>
      </w:r>
      <w:r>
        <w:rPr>
          <w:rFonts w:ascii="Times New Roman" w:hAnsi="Times New Roman"/>
          <w:sz w:val="28"/>
          <w:szCs w:val="28"/>
          <w:lang w:val="en-US"/>
        </w:rPr>
        <w:t>.</w:t>
      </w:r>
      <w:r w:rsidRPr="0060528F">
        <w:rPr>
          <w:rFonts w:ascii="Times New Roman" w:hAnsi="Times New Roman"/>
          <w:sz w:val="28"/>
          <w:szCs w:val="28"/>
          <w:lang w:val="en-US"/>
        </w:rPr>
        <w:t xml:space="preserve"> – P.</w:t>
      </w:r>
      <w:r w:rsidRPr="00FA6A1F">
        <w:rPr>
          <w:rFonts w:ascii="Times New Roman" w:hAnsi="Times New Roman"/>
          <w:sz w:val="28"/>
          <w:szCs w:val="28"/>
          <w:lang w:val="en-US"/>
        </w:rPr>
        <w:t xml:space="preserve"> 1-7.</w:t>
      </w:r>
    </w:p>
    <w:p w14:paraId="51A87B84" w14:textId="77777777" w:rsidR="00BB318A" w:rsidRPr="00FA6A1F" w:rsidRDefault="00BB318A" w:rsidP="00BB318A">
      <w:pPr>
        <w:pStyle w:val="a7"/>
        <w:ind w:left="0" w:firstLine="567"/>
        <w:jc w:val="both"/>
        <w:rPr>
          <w:rFonts w:ascii="Times New Roman" w:hAnsi="Times New Roman"/>
          <w:sz w:val="28"/>
          <w:szCs w:val="28"/>
          <w:lang w:val="en-US"/>
        </w:rPr>
      </w:pPr>
      <w:r w:rsidRPr="00FA6A1F">
        <w:rPr>
          <w:rFonts w:ascii="Times New Roman" w:hAnsi="Times New Roman"/>
          <w:sz w:val="28"/>
          <w:szCs w:val="28"/>
          <w:lang w:val="en-US"/>
        </w:rPr>
        <w:t>60 Mocan L. Laparoscopic surgery for the treatment of colon cancer: the new standard?</w:t>
      </w:r>
      <w:r w:rsidRPr="00287F22">
        <w:rPr>
          <w:rFonts w:ascii="Times New Roman" w:hAnsi="Times New Roman"/>
          <w:sz w:val="28"/>
          <w:szCs w:val="28"/>
          <w:lang w:val="en-US"/>
        </w:rPr>
        <w:t xml:space="preserve"> //</w:t>
      </w:r>
      <w:r w:rsidRPr="0060528F">
        <w:rPr>
          <w:rFonts w:ascii="Times New Roman" w:hAnsi="Times New Roman"/>
          <w:sz w:val="28"/>
          <w:szCs w:val="28"/>
          <w:lang w:val="kk-KZ"/>
        </w:rPr>
        <w:t xml:space="preserve"> </w:t>
      </w:r>
      <w:r w:rsidRPr="00FA6A1F">
        <w:rPr>
          <w:rFonts w:ascii="Times New Roman" w:hAnsi="Times New Roman"/>
          <w:sz w:val="28"/>
          <w:szCs w:val="28"/>
          <w:lang w:val="en-US"/>
        </w:rPr>
        <w:t>European review for medical and pharmacological sciences</w:t>
      </w:r>
      <w:r w:rsidRPr="0060528F">
        <w:rPr>
          <w:rFonts w:ascii="Times New Roman" w:hAnsi="Times New Roman"/>
          <w:sz w:val="28"/>
          <w:szCs w:val="28"/>
          <w:lang w:val="en-US"/>
        </w:rPr>
        <w:t xml:space="preserve">. – </w:t>
      </w:r>
      <w:r w:rsidRPr="00FA6A1F">
        <w:rPr>
          <w:rFonts w:ascii="Times New Roman" w:hAnsi="Times New Roman"/>
          <w:sz w:val="28"/>
          <w:szCs w:val="28"/>
          <w:lang w:val="en-US"/>
        </w:rPr>
        <w:t>2021</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w:t>
      </w:r>
      <w:r w:rsidRPr="00713F2E">
        <w:rPr>
          <w:rFonts w:ascii="Times New Roman" w:hAnsi="Times New Roman"/>
          <w:sz w:val="28"/>
          <w:szCs w:val="28"/>
          <w:lang w:val="en-US"/>
        </w:rPr>
        <w:t xml:space="preserve"> </w:t>
      </w:r>
      <w:r w:rsidRPr="0060528F">
        <w:rPr>
          <w:rFonts w:ascii="Times New Roman" w:hAnsi="Times New Roman"/>
          <w:sz w:val="28"/>
          <w:szCs w:val="28"/>
          <w:lang w:val="en-US"/>
        </w:rPr>
        <w:t> </w:t>
      </w:r>
      <w:r w:rsidRPr="00FA6A1F">
        <w:rPr>
          <w:rFonts w:ascii="Times New Roman" w:hAnsi="Times New Roman"/>
          <w:sz w:val="28"/>
          <w:szCs w:val="28"/>
          <w:lang w:val="en-US"/>
        </w:rPr>
        <w:t>25</w:t>
      </w:r>
      <w:r w:rsidRPr="0060528F">
        <w:rPr>
          <w:rFonts w:ascii="Times New Roman" w:hAnsi="Times New Roman"/>
          <w:sz w:val="28"/>
          <w:szCs w:val="28"/>
          <w:lang w:val="en-US"/>
        </w:rPr>
        <w:t>, №</w:t>
      </w:r>
      <w:r>
        <w:rPr>
          <w:rFonts w:ascii="Times New Roman" w:hAnsi="Times New Roman"/>
          <w:sz w:val="28"/>
          <w:szCs w:val="28"/>
          <w:lang w:val="en-US"/>
        </w:rPr>
        <w:t xml:space="preserve"> </w:t>
      </w:r>
      <w:r w:rsidRPr="00FA6A1F">
        <w:rPr>
          <w:rFonts w:ascii="Times New Roman" w:hAnsi="Times New Roman"/>
          <w:sz w:val="28"/>
          <w:szCs w:val="28"/>
          <w:lang w:val="en-US"/>
        </w:rPr>
        <w:t>12</w:t>
      </w:r>
      <w:r>
        <w:rPr>
          <w:rFonts w:ascii="Times New Roman" w:hAnsi="Times New Roman"/>
          <w:sz w:val="28"/>
          <w:szCs w:val="28"/>
          <w:lang w:val="en-US"/>
        </w:rPr>
        <w:t>.</w:t>
      </w:r>
      <w:r w:rsidRPr="0060528F">
        <w:rPr>
          <w:rFonts w:ascii="Times New Roman" w:hAnsi="Times New Roman"/>
          <w:sz w:val="28"/>
          <w:szCs w:val="28"/>
          <w:lang w:val="en-US"/>
        </w:rPr>
        <w:t xml:space="preserve"> – P.</w:t>
      </w:r>
      <w:r>
        <w:rPr>
          <w:rFonts w:ascii="Times New Roman" w:hAnsi="Times New Roman"/>
          <w:sz w:val="28"/>
          <w:szCs w:val="28"/>
          <w:lang w:val="en-US"/>
        </w:rPr>
        <w:t xml:space="preserve"> </w:t>
      </w:r>
      <w:r w:rsidRPr="00FA6A1F">
        <w:rPr>
          <w:rFonts w:ascii="Times New Roman" w:hAnsi="Times New Roman"/>
          <w:sz w:val="28"/>
          <w:szCs w:val="28"/>
          <w:lang w:val="en-US"/>
        </w:rPr>
        <w:t>4228–4235.</w:t>
      </w:r>
    </w:p>
    <w:p w14:paraId="479756DC" w14:textId="77777777" w:rsidR="00BB318A" w:rsidRPr="00FA6A1F" w:rsidRDefault="00BB318A" w:rsidP="00BB318A">
      <w:pPr>
        <w:pStyle w:val="a7"/>
        <w:ind w:left="0" w:firstLine="567"/>
        <w:jc w:val="both"/>
        <w:rPr>
          <w:rFonts w:ascii="Times New Roman" w:hAnsi="Times New Roman"/>
          <w:sz w:val="28"/>
          <w:szCs w:val="28"/>
          <w:lang w:val="en-US"/>
        </w:rPr>
      </w:pPr>
      <w:r w:rsidRPr="00FA6A1F">
        <w:rPr>
          <w:rFonts w:ascii="Times New Roman" w:hAnsi="Times New Roman"/>
          <w:sz w:val="28"/>
          <w:szCs w:val="28"/>
          <w:lang w:val="en-US"/>
        </w:rPr>
        <w:t xml:space="preserve">61 Lu J.Y., Xu L., Xue H.D., </w:t>
      </w:r>
      <w:r>
        <w:rPr>
          <w:rFonts w:ascii="Times New Roman" w:hAnsi="Times New Roman"/>
          <w:sz w:val="28"/>
          <w:szCs w:val="28"/>
          <w:lang w:val="en-US"/>
        </w:rPr>
        <w:t>et al</w:t>
      </w:r>
      <w:r w:rsidRPr="00FA6A1F">
        <w:rPr>
          <w:rFonts w:ascii="Times New Roman" w:hAnsi="Times New Roman"/>
          <w:sz w:val="28"/>
          <w:szCs w:val="28"/>
          <w:lang w:val="en-US"/>
        </w:rPr>
        <w:t>. The Radical Extent of lymphadenectomy - D2 dissection versus complete mesocolic excision of LAparoscopic Right Colectomy for right-sided colon cancer (RELARC) trial: study protocol for a randomized controlled trial</w:t>
      </w:r>
      <w:r w:rsidRPr="00287F22">
        <w:rPr>
          <w:rFonts w:ascii="Times New Roman" w:hAnsi="Times New Roman"/>
          <w:sz w:val="28"/>
          <w:szCs w:val="28"/>
          <w:lang w:val="en-US"/>
        </w:rPr>
        <w:t xml:space="preserve"> //</w:t>
      </w:r>
      <w:r w:rsidRPr="0060528F">
        <w:rPr>
          <w:rFonts w:ascii="Times New Roman" w:hAnsi="Times New Roman"/>
          <w:sz w:val="28"/>
          <w:szCs w:val="28"/>
          <w:lang w:val="kk-KZ"/>
        </w:rPr>
        <w:t xml:space="preserve"> </w:t>
      </w:r>
      <w:r w:rsidRPr="00FA6A1F">
        <w:rPr>
          <w:rFonts w:ascii="Times New Roman" w:hAnsi="Times New Roman"/>
          <w:sz w:val="28"/>
          <w:szCs w:val="28"/>
          <w:lang w:val="en-US"/>
        </w:rPr>
        <w:t>Trials</w:t>
      </w:r>
      <w:r>
        <w:rPr>
          <w:rFonts w:ascii="Times New Roman" w:hAnsi="Times New Roman"/>
          <w:sz w:val="28"/>
          <w:szCs w:val="28"/>
          <w:lang w:val="en-US"/>
        </w:rPr>
        <w:t>.</w:t>
      </w:r>
      <w:r w:rsidRPr="0060528F">
        <w:rPr>
          <w:rFonts w:ascii="Times New Roman" w:hAnsi="Times New Roman"/>
          <w:sz w:val="28"/>
          <w:szCs w:val="28"/>
          <w:lang w:val="en-US"/>
        </w:rPr>
        <w:t xml:space="preserve"> – </w:t>
      </w:r>
      <w:r w:rsidRPr="00FA6A1F">
        <w:rPr>
          <w:rFonts w:ascii="Times New Roman" w:hAnsi="Times New Roman"/>
          <w:sz w:val="28"/>
          <w:szCs w:val="28"/>
          <w:lang w:val="en-US"/>
        </w:rPr>
        <w:t>2016.</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w:t>
      </w:r>
      <w:r w:rsidRPr="00FA6A1F">
        <w:rPr>
          <w:rFonts w:ascii="Times New Roman" w:hAnsi="Times New Roman"/>
          <w:sz w:val="28"/>
          <w:szCs w:val="28"/>
          <w:lang w:val="en-US"/>
        </w:rPr>
        <w:t xml:space="preserve"> 17</w:t>
      </w:r>
      <w:r w:rsidRPr="0060528F">
        <w:rPr>
          <w:rFonts w:ascii="Times New Roman" w:hAnsi="Times New Roman"/>
          <w:sz w:val="28"/>
          <w:szCs w:val="28"/>
          <w:lang w:val="en-US"/>
        </w:rPr>
        <w:t>, №</w:t>
      </w:r>
      <w:r>
        <w:rPr>
          <w:rFonts w:ascii="Times New Roman" w:hAnsi="Times New Roman"/>
          <w:sz w:val="28"/>
          <w:szCs w:val="28"/>
          <w:lang w:val="en-US"/>
        </w:rPr>
        <w:t xml:space="preserve"> </w:t>
      </w:r>
      <w:r w:rsidRPr="00FA6A1F">
        <w:rPr>
          <w:rFonts w:ascii="Times New Roman" w:hAnsi="Times New Roman"/>
          <w:sz w:val="28"/>
          <w:szCs w:val="28"/>
          <w:lang w:val="en-US"/>
        </w:rPr>
        <w:t>1</w:t>
      </w:r>
      <w:r>
        <w:rPr>
          <w:rFonts w:ascii="Times New Roman" w:hAnsi="Times New Roman"/>
          <w:sz w:val="28"/>
          <w:szCs w:val="28"/>
          <w:lang w:val="en-US"/>
        </w:rPr>
        <w:t>.</w:t>
      </w:r>
      <w:r w:rsidRPr="00FA6A1F">
        <w:rPr>
          <w:rFonts w:ascii="Times New Roman" w:hAnsi="Times New Roman"/>
          <w:sz w:val="28"/>
          <w:szCs w:val="28"/>
          <w:lang w:val="en-US"/>
        </w:rPr>
        <w:t xml:space="preserve"> – 582</w:t>
      </w:r>
      <w:r>
        <w:rPr>
          <w:rFonts w:ascii="Times New Roman" w:hAnsi="Times New Roman"/>
          <w:sz w:val="28"/>
          <w:szCs w:val="28"/>
          <w:lang w:val="en-US"/>
        </w:rPr>
        <w:t xml:space="preserve"> </w:t>
      </w:r>
      <w:r w:rsidRPr="0060528F">
        <w:rPr>
          <w:rFonts w:ascii="Times New Roman" w:hAnsi="Times New Roman"/>
          <w:sz w:val="28"/>
          <w:szCs w:val="28"/>
        </w:rPr>
        <w:t>р</w:t>
      </w:r>
      <w:r w:rsidRPr="00FA6A1F">
        <w:rPr>
          <w:rFonts w:ascii="Times New Roman" w:hAnsi="Times New Roman"/>
          <w:sz w:val="28"/>
          <w:szCs w:val="28"/>
          <w:lang w:val="en-US"/>
        </w:rPr>
        <w:t>.</w:t>
      </w:r>
    </w:p>
    <w:p w14:paraId="13EC22F2" w14:textId="77777777" w:rsidR="00BB318A" w:rsidRPr="00F55573" w:rsidRDefault="00BB318A" w:rsidP="00BB318A">
      <w:pPr>
        <w:pStyle w:val="a7"/>
        <w:ind w:left="0" w:firstLine="567"/>
        <w:jc w:val="both"/>
        <w:rPr>
          <w:rFonts w:ascii="Times New Roman" w:hAnsi="Times New Roman"/>
          <w:sz w:val="28"/>
          <w:szCs w:val="28"/>
          <w:lang w:val="en-US"/>
        </w:rPr>
      </w:pPr>
      <w:r w:rsidRPr="00FA6A1F">
        <w:rPr>
          <w:rFonts w:ascii="Times New Roman" w:hAnsi="Times New Roman"/>
          <w:sz w:val="28"/>
          <w:szCs w:val="28"/>
          <w:lang w:val="en-US"/>
        </w:rPr>
        <w:t>62</w:t>
      </w:r>
      <w:r w:rsidRPr="00F55573">
        <w:rPr>
          <w:rFonts w:ascii="Times New Roman" w:hAnsi="Times New Roman"/>
          <w:sz w:val="28"/>
          <w:szCs w:val="28"/>
          <w:lang w:val="en-US"/>
        </w:rPr>
        <w:t xml:space="preserve"> Hohenberger W</w:t>
      </w:r>
      <w:r>
        <w:rPr>
          <w:rFonts w:ascii="Times New Roman" w:hAnsi="Times New Roman"/>
          <w:sz w:val="28"/>
          <w:szCs w:val="28"/>
          <w:lang w:val="en-US"/>
        </w:rPr>
        <w:t>.</w:t>
      </w:r>
      <w:r w:rsidRPr="00F55573">
        <w:rPr>
          <w:rFonts w:ascii="Times New Roman" w:hAnsi="Times New Roman"/>
          <w:sz w:val="28"/>
          <w:szCs w:val="28"/>
          <w:lang w:val="en-US"/>
        </w:rPr>
        <w:t>, Weber K</w:t>
      </w:r>
      <w:r>
        <w:rPr>
          <w:rFonts w:ascii="Times New Roman" w:hAnsi="Times New Roman"/>
          <w:sz w:val="28"/>
          <w:szCs w:val="28"/>
          <w:lang w:val="en-US"/>
        </w:rPr>
        <w:t>.</w:t>
      </w:r>
      <w:r w:rsidRPr="00F55573">
        <w:rPr>
          <w:rFonts w:ascii="Times New Roman" w:hAnsi="Times New Roman"/>
          <w:sz w:val="28"/>
          <w:szCs w:val="28"/>
          <w:lang w:val="en-US"/>
        </w:rPr>
        <w:t>, Matzel K</w:t>
      </w:r>
      <w:r>
        <w:rPr>
          <w:rFonts w:ascii="Times New Roman" w:hAnsi="Times New Roman"/>
          <w:sz w:val="28"/>
          <w:szCs w:val="28"/>
          <w:lang w:val="en-US"/>
        </w:rPr>
        <w:t>.</w:t>
      </w:r>
      <w:r w:rsidRPr="00F55573">
        <w:rPr>
          <w:rFonts w:ascii="Times New Roman" w:hAnsi="Times New Roman"/>
          <w:sz w:val="28"/>
          <w:szCs w:val="28"/>
          <w:lang w:val="en-US"/>
        </w:rPr>
        <w:t>, Papadopoulos T</w:t>
      </w:r>
      <w:r>
        <w:rPr>
          <w:rFonts w:ascii="Times New Roman" w:hAnsi="Times New Roman"/>
          <w:sz w:val="28"/>
          <w:szCs w:val="28"/>
          <w:lang w:val="en-US"/>
        </w:rPr>
        <w:t>.</w:t>
      </w:r>
      <w:r w:rsidRPr="00F55573">
        <w:rPr>
          <w:rFonts w:ascii="Times New Roman" w:hAnsi="Times New Roman"/>
          <w:sz w:val="28"/>
          <w:szCs w:val="28"/>
          <w:lang w:val="en-US"/>
        </w:rPr>
        <w:t>, Merkel S. Standardized surgery for colonic cancer: complete mesocolic excision and central ligationtechnical notes and outcome</w:t>
      </w:r>
      <w:r w:rsidRPr="00287F22">
        <w:rPr>
          <w:rFonts w:ascii="Times New Roman" w:hAnsi="Times New Roman"/>
          <w:sz w:val="28"/>
          <w:szCs w:val="28"/>
          <w:lang w:val="en-US"/>
        </w:rPr>
        <w:t xml:space="preserve"> //</w:t>
      </w:r>
      <w:r w:rsidRPr="0060528F">
        <w:rPr>
          <w:rFonts w:ascii="Times New Roman" w:hAnsi="Times New Roman"/>
          <w:sz w:val="28"/>
          <w:szCs w:val="28"/>
          <w:lang w:val="kk-KZ"/>
        </w:rPr>
        <w:t xml:space="preserve"> </w:t>
      </w:r>
      <w:r w:rsidRPr="00053305">
        <w:rPr>
          <w:rFonts w:ascii="Times New Roman" w:hAnsi="Times New Roman"/>
          <w:sz w:val="28"/>
          <w:szCs w:val="28"/>
          <w:lang w:val="en-US"/>
        </w:rPr>
        <w:t>Colorectal disease: the official journal of the Association of Coloproctology of Great Britain and Ireland</w:t>
      </w:r>
      <w:r>
        <w:rPr>
          <w:rFonts w:ascii="Times New Roman" w:hAnsi="Times New Roman"/>
          <w:sz w:val="28"/>
          <w:szCs w:val="28"/>
          <w:lang w:val="en-US"/>
        </w:rPr>
        <w:t>.</w:t>
      </w:r>
      <w:r w:rsidRPr="0060528F">
        <w:rPr>
          <w:rFonts w:ascii="Times New Roman" w:hAnsi="Times New Roman"/>
          <w:sz w:val="28"/>
          <w:szCs w:val="28"/>
          <w:lang w:val="en-US"/>
        </w:rPr>
        <w:t xml:space="preserve"> – </w:t>
      </w:r>
      <w:r w:rsidRPr="00F55573">
        <w:rPr>
          <w:rFonts w:ascii="Times New Roman" w:hAnsi="Times New Roman"/>
          <w:sz w:val="28"/>
          <w:szCs w:val="28"/>
          <w:lang w:val="en-US"/>
        </w:rPr>
        <w:t>2009</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w:t>
      </w:r>
      <w:r w:rsidRPr="00F55573">
        <w:rPr>
          <w:rFonts w:ascii="Times New Roman" w:hAnsi="Times New Roman"/>
          <w:sz w:val="28"/>
          <w:szCs w:val="28"/>
          <w:lang w:val="en-US"/>
        </w:rPr>
        <w:t xml:space="preserve"> 11</w:t>
      </w:r>
      <w:r w:rsidRPr="0060528F">
        <w:rPr>
          <w:rFonts w:ascii="Times New Roman" w:hAnsi="Times New Roman"/>
          <w:sz w:val="28"/>
          <w:szCs w:val="28"/>
          <w:lang w:val="en-US"/>
        </w:rPr>
        <w:t>, №</w:t>
      </w:r>
      <w:r>
        <w:rPr>
          <w:rFonts w:ascii="Times New Roman" w:hAnsi="Times New Roman"/>
          <w:sz w:val="28"/>
          <w:szCs w:val="28"/>
          <w:lang w:val="en-US"/>
        </w:rPr>
        <w:t xml:space="preserve"> </w:t>
      </w:r>
      <w:r w:rsidRPr="00F55573">
        <w:rPr>
          <w:rFonts w:ascii="Times New Roman" w:hAnsi="Times New Roman"/>
          <w:sz w:val="28"/>
          <w:szCs w:val="28"/>
          <w:lang w:val="en-US"/>
        </w:rPr>
        <w:t>4</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F55573">
        <w:rPr>
          <w:rFonts w:ascii="Times New Roman" w:hAnsi="Times New Roman"/>
          <w:sz w:val="28"/>
          <w:szCs w:val="28"/>
          <w:lang w:val="en-US"/>
        </w:rPr>
        <w:t>364-355.</w:t>
      </w:r>
    </w:p>
    <w:p w14:paraId="65055C67" w14:textId="77777777" w:rsidR="00BB318A" w:rsidRPr="00C954CB" w:rsidRDefault="00BB318A" w:rsidP="00BB318A">
      <w:pPr>
        <w:pStyle w:val="a7"/>
        <w:ind w:left="0" w:firstLine="567"/>
        <w:jc w:val="both"/>
        <w:rPr>
          <w:rFonts w:ascii="Times New Roman" w:hAnsi="Times New Roman"/>
          <w:sz w:val="28"/>
          <w:szCs w:val="28"/>
          <w:lang w:val="en-US"/>
        </w:rPr>
      </w:pPr>
      <w:r w:rsidRPr="00F55573">
        <w:rPr>
          <w:rFonts w:ascii="Times New Roman" w:hAnsi="Times New Roman"/>
          <w:sz w:val="28"/>
          <w:szCs w:val="28"/>
          <w:lang w:val="en-US"/>
        </w:rPr>
        <w:t xml:space="preserve">63 Mastalier B., Tihon C., Ghiţă B., </w:t>
      </w:r>
      <w:r>
        <w:rPr>
          <w:rFonts w:ascii="Times New Roman" w:hAnsi="Times New Roman"/>
          <w:sz w:val="28"/>
          <w:szCs w:val="28"/>
          <w:lang w:val="en-US"/>
        </w:rPr>
        <w:t>et al</w:t>
      </w:r>
      <w:r w:rsidRPr="00F55573">
        <w:rPr>
          <w:rFonts w:ascii="Times New Roman" w:hAnsi="Times New Roman"/>
          <w:sz w:val="28"/>
          <w:szCs w:val="28"/>
          <w:lang w:val="en-US"/>
        </w:rPr>
        <w:t>. Surgical treatment of colon cancer: Colentina surgical clinic experience</w:t>
      </w:r>
      <w:r w:rsidRPr="00287F22">
        <w:rPr>
          <w:rFonts w:ascii="Times New Roman" w:hAnsi="Times New Roman"/>
          <w:sz w:val="28"/>
          <w:szCs w:val="28"/>
          <w:lang w:val="en-US"/>
        </w:rPr>
        <w:t xml:space="preserve"> //</w:t>
      </w:r>
      <w:r w:rsidRPr="0060528F">
        <w:rPr>
          <w:rFonts w:ascii="Times New Roman" w:hAnsi="Times New Roman"/>
          <w:sz w:val="28"/>
          <w:szCs w:val="28"/>
          <w:lang w:val="kk-KZ"/>
        </w:rPr>
        <w:t xml:space="preserve"> </w:t>
      </w:r>
      <w:r w:rsidRPr="00F55573">
        <w:rPr>
          <w:rFonts w:ascii="Times New Roman" w:hAnsi="Times New Roman"/>
          <w:sz w:val="28"/>
          <w:szCs w:val="28"/>
          <w:lang w:val="en-US"/>
        </w:rPr>
        <w:t>Journal of medicine and life</w:t>
      </w:r>
      <w:r>
        <w:rPr>
          <w:rFonts w:ascii="Times New Roman" w:hAnsi="Times New Roman"/>
          <w:sz w:val="28"/>
          <w:szCs w:val="28"/>
          <w:lang w:val="en-US"/>
        </w:rPr>
        <w:t>.</w:t>
      </w:r>
      <w:r w:rsidRPr="0060528F">
        <w:rPr>
          <w:rFonts w:ascii="Times New Roman" w:hAnsi="Times New Roman"/>
          <w:sz w:val="28"/>
          <w:szCs w:val="28"/>
          <w:lang w:val="en-US"/>
        </w:rPr>
        <w:t xml:space="preserve"> – </w:t>
      </w:r>
      <w:r w:rsidRPr="00F55573">
        <w:rPr>
          <w:rFonts w:ascii="Times New Roman" w:hAnsi="Times New Roman"/>
          <w:sz w:val="28"/>
          <w:szCs w:val="28"/>
          <w:lang w:val="en-US"/>
        </w:rPr>
        <w:t>2012.</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w:t>
      </w:r>
      <w:r w:rsidRPr="00F55573">
        <w:rPr>
          <w:rFonts w:ascii="Times New Roman" w:hAnsi="Times New Roman"/>
          <w:sz w:val="28"/>
          <w:szCs w:val="28"/>
          <w:lang w:val="en-US"/>
        </w:rPr>
        <w:t xml:space="preserve"> 5</w:t>
      </w:r>
      <w:r>
        <w:rPr>
          <w:rFonts w:ascii="Times New Roman" w:hAnsi="Times New Roman"/>
          <w:sz w:val="28"/>
          <w:szCs w:val="28"/>
          <w:lang w:val="en-US"/>
        </w:rPr>
        <w:t xml:space="preserve">, </w:t>
      </w:r>
      <w:r w:rsidRPr="0060528F">
        <w:rPr>
          <w:rFonts w:ascii="Times New Roman" w:hAnsi="Times New Roman"/>
          <w:sz w:val="28"/>
          <w:szCs w:val="28"/>
          <w:lang w:val="en-US"/>
        </w:rPr>
        <w:t>№</w:t>
      </w:r>
      <w:r>
        <w:rPr>
          <w:rFonts w:ascii="Times New Roman" w:hAnsi="Times New Roman"/>
          <w:sz w:val="28"/>
          <w:szCs w:val="28"/>
          <w:lang w:val="en-US"/>
        </w:rPr>
        <w:t xml:space="preserve"> </w:t>
      </w:r>
      <w:r w:rsidRPr="00F55573">
        <w:rPr>
          <w:rFonts w:ascii="Times New Roman" w:hAnsi="Times New Roman"/>
          <w:sz w:val="28"/>
          <w:szCs w:val="28"/>
          <w:lang w:val="en-US"/>
        </w:rPr>
        <w:t>3</w:t>
      </w:r>
      <w:r>
        <w:rPr>
          <w:rFonts w:ascii="Times New Roman" w:hAnsi="Times New Roman"/>
          <w:sz w:val="28"/>
          <w:szCs w:val="28"/>
          <w:lang w:val="en-US"/>
        </w:rPr>
        <w:t>.</w:t>
      </w:r>
      <w:r w:rsidRPr="0060528F">
        <w:rPr>
          <w:rFonts w:ascii="Times New Roman" w:hAnsi="Times New Roman"/>
          <w:sz w:val="28"/>
          <w:szCs w:val="28"/>
          <w:lang w:val="en-US"/>
        </w:rPr>
        <w:t xml:space="preserve"> – P.</w:t>
      </w:r>
      <w:r>
        <w:rPr>
          <w:rFonts w:ascii="Times New Roman" w:hAnsi="Times New Roman"/>
          <w:sz w:val="28"/>
          <w:szCs w:val="28"/>
          <w:lang w:val="en-US"/>
        </w:rPr>
        <w:t xml:space="preserve"> </w:t>
      </w:r>
      <w:r w:rsidRPr="00F55573">
        <w:rPr>
          <w:rFonts w:ascii="Times New Roman" w:hAnsi="Times New Roman"/>
          <w:sz w:val="28"/>
          <w:szCs w:val="28"/>
          <w:lang w:val="en-US"/>
        </w:rPr>
        <w:t>348–353.</w:t>
      </w:r>
    </w:p>
    <w:p w14:paraId="19B6C7FE" w14:textId="77777777" w:rsidR="00BB318A" w:rsidRPr="00C954CB" w:rsidRDefault="00BB318A" w:rsidP="00BB318A">
      <w:pPr>
        <w:pStyle w:val="a7"/>
        <w:ind w:left="0" w:firstLine="567"/>
        <w:jc w:val="both"/>
        <w:rPr>
          <w:rFonts w:ascii="Times New Roman" w:hAnsi="Times New Roman"/>
          <w:sz w:val="28"/>
          <w:szCs w:val="28"/>
          <w:lang w:val="en-US"/>
        </w:rPr>
      </w:pPr>
      <w:r w:rsidRPr="00F55573">
        <w:rPr>
          <w:rFonts w:ascii="Times New Roman" w:hAnsi="Times New Roman"/>
          <w:sz w:val="28"/>
          <w:szCs w:val="28"/>
          <w:lang w:val="en-US"/>
        </w:rPr>
        <w:t>64 Włodarczyk M</w:t>
      </w:r>
      <w:r>
        <w:rPr>
          <w:rFonts w:ascii="Times New Roman" w:hAnsi="Times New Roman"/>
          <w:sz w:val="28"/>
          <w:szCs w:val="28"/>
          <w:lang w:val="en-US"/>
        </w:rPr>
        <w:t>.</w:t>
      </w:r>
      <w:r w:rsidRPr="00F55573">
        <w:rPr>
          <w:rFonts w:ascii="Times New Roman" w:hAnsi="Times New Roman"/>
          <w:sz w:val="28"/>
          <w:szCs w:val="28"/>
          <w:lang w:val="en-US"/>
        </w:rPr>
        <w:t>, Włodarczyk J</w:t>
      </w:r>
      <w:r>
        <w:rPr>
          <w:rFonts w:ascii="Times New Roman" w:hAnsi="Times New Roman"/>
          <w:sz w:val="28"/>
          <w:szCs w:val="28"/>
          <w:lang w:val="en-US"/>
        </w:rPr>
        <w:t>.</w:t>
      </w:r>
      <w:r w:rsidRPr="00F55573">
        <w:rPr>
          <w:rFonts w:ascii="Times New Roman" w:hAnsi="Times New Roman"/>
          <w:sz w:val="28"/>
          <w:szCs w:val="28"/>
          <w:lang w:val="en-US"/>
        </w:rPr>
        <w:t>, Trzcinski R</w:t>
      </w:r>
      <w:r>
        <w:rPr>
          <w:rFonts w:ascii="Times New Roman" w:hAnsi="Times New Roman"/>
          <w:sz w:val="28"/>
          <w:szCs w:val="28"/>
          <w:lang w:val="en-US"/>
        </w:rPr>
        <w:t>.</w:t>
      </w:r>
      <w:r w:rsidRPr="00F55573">
        <w:rPr>
          <w:rFonts w:ascii="Times New Roman" w:hAnsi="Times New Roman"/>
          <w:sz w:val="28"/>
          <w:szCs w:val="28"/>
          <w:lang w:val="en-US"/>
        </w:rPr>
        <w:t xml:space="preserve">, </w:t>
      </w:r>
      <w:r>
        <w:rPr>
          <w:rFonts w:ascii="Times New Roman" w:hAnsi="Times New Roman"/>
          <w:sz w:val="28"/>
          <w:szCs w:val="28"/>
          <w:lang w:val="en-US"/>
        </w:rPr>
        <w:t>et al</w:t>
      </w:r>
      <w:r w:rsidRPr="00F55573">
        <w:rPr>
          <w:rFonts w:ascii="Times New Roman" w:hAnsi="Times New Roman"/>
          <w:sz w:val="28"/>
          <w:szCs w:val="28"/>
          <w:lang w:val="en-US"/>
        </w:rPr>
        <w:t>. D3 lymphadenectomy for right colon cancer</w:t>
      </w:r>
      <w:r w:rsidRPr="00287F22">
        <w:rPr>
          <w:rFonts w:ascii="Times New Roman" w:hAnsi="Times New Roman"/>
          <w:sz w:val="28"/>
          <w:szCs w:val="28"/>
          <w:lang w:val="en-US"/>
        </w:rPr>
        <w:t xml:space="preserve"> //</w:t>
      </w:r>
      <w:r w:rsidRPr="0060528F">
        <w:rPr>
          <w:rFonts w:ascii="Times New Roman" w:hAnsi="Times New Roman"/>
          <w:sz w:val="28"/>
          <w:szCs w:val="28"/>
          <w:lang w:val="kk-KZ"/>
        </w:rPr>
        <w:t xml:space="preserve"> </w:t>
      </w:r>
      <w:r w:rsidRPr="005050E8">
        <w:rPr>
          <w:rFonts w:ascii="Times New Roman" w:hAnsi="Times New Roman"/>
          <w:sz w:val="28"/>
          <w:szCs w:val="28"/>
          <w:lang w:val="en-US"/>
        </w:rPr>
        <w:t>Annals of Laparoscopic and Endoscopic Surgery</w:t>
      </w:r>
      <w:r>
        <w:rPr>
          <w:rFonts w:ascii="Times New Roman" w:hAnsi="Times New Roman"/>
          <w:sz w:val="28"/>
          <w:szCs w:val="28"/>
          <w:lang w:val="en-US"/>
        </w:rPr>
        <w:t>.</w:t>
      </w:r>
      <w:r w:rsidRPr="0060528F">
        <w:rPr>
          <w:rFonts w:ascii="Times New Roman" w:hAnsi="Times New Roman"/>
          <w:sz w:val="28"/>
          <w:szCs w:val="28"/>
          <w:lang w:val="en-US"/>
        </w:rPr>
        <w:t xml:space="preserve"> – </w:t>
      </w:r>
      <w:r w:rsidRPr="00F55573">
        <w:rPr>
          <w:rFonts w:ascii="Times New Roman" w:hAnsi="Times New Roman"/>
          <w:sz w:val="28"/>
          <w:szCs w:val="28"/>
          <w:lang w:val="en-US"/>
        </w:rPr>
        <w:t>2019</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w:t>
      </w:r>
      <w:r w:rsidRPr="00713F2E">
        <w:rPr>
          <w:rFonts w:ascii="Times New Roman" w:hAnsi="Times New Roman"/>
          <w:sz w:val="28"/>
          <w:szCs w:val="28"/>
          <w:lang w:val="en-US"/>
        </w:rPr>
        <w:t xml:space="preserve"> </w:t>
      </w:r>
      <w:r w:rsidRPr="0060528F">
        <w:rPr>
          <w:rFonts w:ascii="Times New Roman" w:hAnsi="Times New Roman"/>
          <w:sz w:val="28"/>
          <w:szCs w:val="28"/>
          <w:lang w:val="en-US"/>
        </w:rPr>
        <w:t> </w:t>
      </w:r>
      <w:r w:rsidRPr="00F55573">
        <w:rPr>
          <w:rFonts w:ascii="Times New Roman" w:hAnsi="Times New Roman"/>
          <w:sz w:val="28"/>
          <w:szCs w:val="28"/>
          <w:lang w:val="en-US"/>
        </w:rPr>
        <w:t>4.</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96-105.</w:t>
      </w:r>
    </w:p>
    <w:p w14:paraId="14231652" w14:textId="77777777" w:rsidR="00BB318A" w:rsidRPr="00C954CB" w:rsidRDefault="00BB318A" w:rsidP="00BB318A">
      <w:pPr>
        <w:pStyle w:val="a7"/>
        <w:ind w:left="0" w:firstLine="567"/>
        <w:jc w:val="both"/>
        <w:rPr>
          <w:rFonts w:ascii="Times New Roman" w:hAnsi="Times New Roman"/>
          <w:sz w:val="28"/>
          <w:szCs w:val="28"/>
          <w:lang w:val="en-US"/>
        </w:rPr>
      </w:pPr>
      <w:r w:rsidRPr="00F55573">
        <w:rPr>
          <w:rFonts w:ascii="Times New Roman" w:hAnsi="Times New Roman"/>
          <w:sz w:val="28"/>
          <w:szCs w:val="28"/>
          <w:lang w:val="en-US"/>
        </w:rPr>
        <w:t>65 Kotake K</w:t>
      </w:r>
      <w:r>
        <w:rPr>
          <w:rFonts w:ascii="Times New Roman" w:hAnsi="Times New Roman"/>
          <w:sz w:val="28"/>
          <w:szCs w:val="28"/>
          <w:lang w:val="en-US"/>
        </w:rPr>
        <w:t>.</w:t>
      </w:r>
      <w:r w:rsidRPr="00F55573">
        <w:rPr>
          <w:rFonts w:ascii="Times New Roman" w:hAnsi="Times New Roman"/>
          <w:sz w:val="28"/>
          <w:szCs w:val="28"/>
          <w:lang w:val="en-US"/>
        </w:rPr>
        <w:t>, Mizuguchi T</w:t>
      </w:r>
      <w:r>
        <w:rPr>
          <w:rFonts w:ascii="Times New Roman" w:hAnsi="Times New Roman"/>
          <w:sz w:val="28"/>
          <w:szCs w:val="28"/>
          <w:lang w:val="en-US"/>
        </w:rPr>
        <w:t>.</w:t>
      </w:r>
      <w:r w:rsidRPr="00F55573">
        <w:rPr>
          <w:rFonts w:ascii="Times New Roman" w:hAnsi="Times New Roman"/>
          <w:sz w:val="28"/>
          <w:szCs w:val="28"/>
          <w:lang w:val="en-US"/>
        </w:rPr>
        <w:t>, Moritani K</w:t>
      </w:r>
      <w:r>
        <w:rPr>
          <w:rFonts w:ascii="Times New Roman" w:hAnsi="Times New Roman"/>
          <w:sz w:val="28"/>
          <w:szCs w:val="28"/>
          <w:lang w:val="en-US"/>
        </w:rPr>
        <w:t>.</w:t>
      </w:r>
      <w:r w:rsidRPr="00F55573">
        <w:rPr>
          <w:rFonts w:ascii="Times New Roman" w:hAnsi="Times New Roman"/>
          <w:sz w:val="28"/>
          <w:szCs w:val="28"/>
          <w:lang w:val="en-US"/>
        </w:rPr>
        <w:t>, et al. Impact of D3 lymph node dissection on survival for patients with T3 and T4 colon cancer</w:t>
      </w:r>
      <w:r w:rsidRPr="00287F22">
        <w:rPr>
          <w:rFonts w:ascii="Times New Roman" w:hAnsi="Times New Roman"/>
          <w:sz w:val="28"/>
          <w:szCs w:val="28"/>
          <w:lang w:val="en-US"/>
        </w:rPr>
        <w:t xml:space="preserve"> //</w:t>
      </w:r>
      <w:r w:rsidRPr="0060528F">
        <w:rPr>
          <w:rFonts w:ascii="Times New Roman" w:hAnsi="Times New Roman"/>
          <w:sz w:val="28"/>
          <w:szCs w:val="28"/>
          <w:lang w:val="kk-KZ"/>
        </w:rPr>
        <w:t xml:space="preserve"> </w:t>
      </w:r>
      <w:r w:rsidRPr="005050E8">
        <w:rPr>
          <w:rFonts w:ascii="Times New Roman" w:hAnsi="Times New Roman"/>
          <w:sz w:val="28"/>
          <w:szCs w:val="28"/>
          <w:lang w:val="en-US"/>
        </w:rPr>
        <w:t>International journal of colorectal disease</w:t>
      </w:r>
      <w:r>
        <w:rPr>
          <w:rFonts w:ascii="Times New Roman" w:hAnsi="Times New Roman"/>
          <w:sz w:val="28"/>
          <w:szCs w:val="28"/>
          <w:lang w:val="en-US"/>
        </w:rPr>
        <w:t>.</w:t>
      </w:r>
      <w:r w:rsidRPr="0060528F">
        <w:rPr>
          <w:rFonts w:ascii="Times New Roman" w:hAnsi="Times New Roman"/>
          <w:sz w:val="28"/>
          <w:szCs w:val="28"/>
          <w:lang w:val="en-US"/>
        </w:rPr>
        <w:t xml:space="preserve"> – </w:t>
      </w:r>
      <w:r w:rsidRPr="00F55573">
        <w:rPr>
          <w:rFonts w:ascii="Times New Roman" w:hAnsi="Times New Roman"/>
          <w:sz w:val="28"/>
          <w:szCs w:val="28"/>
          <w:lang w:val="en-US"/>
        </w:rPr>
        <w:t>2014</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w:t>
      </w:r>
      <w:r w:rsidRPr="00FA6A1F">
        <w:rPr>
          <w:rFonts w:ascii="Times New Roman" w:hAnsi="Times New Roman"/>
          <w:sz w:val="28"/>
          <w:szCs w:val="28"/>
          <w:lang w:val="en-US"/>
        </w:rPr>
        <w:t xml:space="preserve"> </w:t>
      </w:r>
      <w:r w:rsidRPr="00F55573">
        <w:rPr>
          <w:rFonts w:ascii="Times New Roman" w:hAnsi="Times New Roman"/>
          <w:sz w:val="28"/>
          <w:szCs w:val="28"/>
          <w:lang w:val="en-US"/>
        </w:rPr>
        <w:t>29</w:t>
      </w:r>
      <w:r w:rsidRPr="0060528F">
        <w:rPr>
          <w:rFonts w:ascii="Times New Roman" w:hAnsi="Times New Roman"/>
          <w:sz w:val="28"/>
          <w:szCs w:val="28"/>
          <w:lang w:val="en-US"/>
        </w:rPr>
        <w:t>, №</w:t>
      </w:r>
      <w:r>
        <w:rPr>
          <w:rFonts w:ascii="Times New Roman" w:hAnsi="Times New Roman"/>
          <w:sz w:val="28"/>
          <w:szCs w:val="28"/>
          <w:lang w:val="en-US"/>
        </w:rPr>
        <w:t xml:space="preserve"> </w:t>
      </w:r>
      <w:r w:rsidRPr="00F55573">
        <w:rPr>
          <w:rFonts w:ascii="Times New Roman" w:hAnsi="Times New Roman"/>
          <w:sz w:val="28"/>
          <w:szCs w:val="28"/>
          <w:lang w:val="en-US"/>
        </w:rPr>
        <w:t>7</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F55573">
        <w:rPr>
          <w:rFonts w:ascii="Times New Roman" w:hAnsi="Times New Roman"/>
          <w:sz w:val="28"/>
          <w:szCs w:val="28"/>
          <w:lang w:val="en-US"/>
        </w:rPr>
        <w:t>847</w:t>
      </w:r>
      <w:r>
        <w:rPr>
          <w:rFonts w:ascii="Times New Roman" w:hAnsi="Times New Roman"/>
          <w:sz w:val="28"/>
          <w:szCs w:val="28"/>
          <w:lang w:val="en-US"/>
        </w:rPr>
        <w:t>-8</w:t>
      </w:r>
      <w:r w:rsidRPr="00F55573">
        <w:rPr>
          <w:rFonts w:ascii="Times New Roman" w:hAnsi="Times New Roman"/>
          <w:sz w:val="28"/>
          <w:szCs w:val="28"/>
          <w:lang w:val="en-US"/>
        </w:rPr>
        <w:t>52.</w:t>
      </w:r>
    </w:p>
    <w:p w14:paraId="211C005D" w14:textId="77777777" w:rsidR="00BB318A" w:rsidRDefault="00BB318A" w:rsidP="00BB318A">
      <w:pPr>
        <w:pStyle w:val="a7"/>
        <w:ind w:left="0" w:firstLine="567"/>
        <w:jc w:val="both"/>
        <w:rPr>
          <w:rFonts w:ascii="Times New Roman" w:hAnsi="Times New Roman"/>
          <w:sz w:val="28"/>
          <w:szCs w:val="28"/>
          <w:lang w:val="en-US"/>
        </w:rPr>
      </w:pPr>
      <w:r w:rsidRPr="00F55573">
        <w:rPr>
          <w:rFonts w:ascii="Times New Roman" w:hAnsi="Times New Roman"/>
          <w:sz w:val="28"/>
          <w:szCs w:val="28"/>
          <w:lang w:val="en-US"/>
        </w:rPr>
        <w:lastRenderedPageBreak/>
        <w:t xml:space="preserve">66 </w:t>
      </w:r>
      <w:r w:rsidRPr="00B4101C">
        <w:rPr>
          <w:rFonts w:ascii="Times New Roman" w:hAnsi="Times New Roman"/>
          <w:sz w:val="28"/>
          <w:szCs w:val="28"/>
          <w:lang w:val="en-US"/>
        </w:rPr>
        <w:t>De Salvo G.L., Gava C., Pucciarelli S., Lise</w:t>
      </w:r>
      <w:r w:rsidRPr="00FA6A1F">
        <w:rPr>
          <w:rFonts w:ascii="Times New Roman" w:hAnsi="Times New Roman"/>
          <w:sz w:val="28"/>
          <w:szCs w:val="28"/>
          <w:lang w:val="en-US"/>
        </w:rPr>
        <w:t xml:space="preserve">. </w:t>
      </w:r>
      <w:r w:rsidRPr="0060528F">
        <w:rPr>
          <w:rFonts w:ascii="Times New Roman" w:hAnsi="Times New Roman"/>
          <w:sz w:val="28"/>
          <w:szCs w:val="28"/>
          <w:lang w:val="en-US"/>
        </w:rPr>
        <w:t xml:space="preserve">Curative surgery for obstruction from primary left colorectal carcinoma: Primary or staged resection? // Cochrane Database of Systematic Reviews. – 2010. </w:t>
      </w:r>
      <w:r w:rsidRPr="0060528F">
        <w:rPr>
          <w:rFonts w:ascii="Times New Roman" w:hAnsi="Times New Roman"/>
          <w:sz w:val="28"/>
          <w:szCs w:val="28"/>
          <w:lang w:val="kk-KZ"/>
        </w:rPr>
        <w:t>–</w:t>
      </w:r>
      <w:r w:rsidRPr="0060528F">
        <w:rPr>
          <w:rFonts w:ascii="Times New Roman" w:hAnsi="Times New Roman"/>
          <w:sz w:val="28"/>
          <w:szCs w:val="28"/>
          <w:lang w:val="en-US"/>
        </w:rPr>
        <w:t xml:space="preserve"> Vol. 2. – P. 1-10.</w:t>
      </w:r>
    </w:p>
    <w:p w14:paraId="4A46A895" w14:textId="77777777" w:rsidR="00BB318A" w:rsidRPr="00F55573" w:rsidRDefault="00BB318A" w:rsidP="00BB318A">
      <w:pPr>
        <w:pStyle w:val="a7"/>
        <w:ind w:left="0" w:firstLine="567"/>
        <w:jc w:val="both"/>
        <w:rPr>
          <w:rFonts w:ascii="Times New Roman" w:hAnsi="Times New Roman"/>
          <w:sz w:val="28"/>
          <w:szCs w:val="28"/>
          <w:lang w:val="en-US"/>
        </w:rPr>
      </w:pPr>
      <w:r w:rsidRPr="00F55573">
        <w:rPr>
          <w:rFonts w:ascii="Times New Roman" w:hAnsi="Times New Roman"/>
          <w:sz w:val="28"/>
          <w:szCs w:val="28"/>
          <w:lang w:val="en-US"/>
        </w:rPr>
        <w:t>67 Juo Y</w:t>
      </w:r>
      <w:r>
        <w:rPr>
          <w:rFonts w:ascii="Times New Roman" w:hAnsi="Times New Roman"/>
          <w:sz w:val="28"/>
          <w:szCs w:val="28"/>
          <w:lang w:val="en-US"/>
        </w:rPr>
        <w:t>.</w:t>
      </w:r>
      <w:r w:rsidRPr="00F55573">
        <w:rPr>
          <w:rFonts w:ascii="Times New Roman" w:hAnsi="Times New Roman"/>
          <w:sz w:val="28"/>
          <w:szCs w:val="28"/>
          <w:lang w:val="en-US"/>
        </w:rPr>
        <w:t>Y</w:t>
      </w:r>
      <w:r>
        <w:rPr>
          <w:rFonts w:ascii="Times New Roman" w:hAnsi="Times New Roman"/>
          <w:sz w:val="28"/>
          <w:szCs w:val="28"/>
          <w:lang w:val="en-US"/>
        </w:rPr>
        <w:t>.</w:t>
      </w:r>
      <w:r w:rsidRPr="00F55573">
        <w:rPr>
          <w:rFonts w:ascii="Times New Roman" w:hAnsi="Times New Roman"/>
          <w:sz w:val="28"/>
          <w:szCs w:val="28"/>
          <w:lang w:val="en-US"/>
        </w:rPr>
        <w:t>, Hyder O</w:t>
      </w:r>
      <w:r>
        <w:rPr>
          <w:rFonts w:ascii="Times New Roman" w:hAnsi="Times New Roman"/>
          <w:sz w:val="28"/>
          <w:szCs w:val="28"/>
          <w:lang w:val="en-US"/>
        </w:rPr>
        <w:t>.</w:t>
      </w:r>
      <w:r w:rsidRPr="00F55573">
        <w:rPr>
          <w:rFonts w:ascii="Times New Roman" w:hAnsi="Times New Roman"/>
          <w:sz w:val="28"/>
          <w:szCs w:val="28"/>
          <w:lang w:val="en-US"/>
        </w:rPr>
        <w:t>, Haider A</w:t>
      </w:r>
      <w:r>
        <w:rPr>
          <w:rFonts w:ascii="Times New Roman" w:hAnsi="Times New Roman"/>
          <w:sz w:val="28"/>
          <w:szCs w:val="28"/>
          <w:lang w:val="en-US"/>
        </w:rPr>
        <w:t>.</w:t>
      </w:r>
      <w:r w:rsidRPr="00F55573">
        <w:rPr>
          <w:rFonts w:ascii="Times New Roman" w:hAnsi="Times New Roman"/>
          <w:sz w:val="28"/>
          <w:szCs w:val="28"/>
          <w:lang w:val="en-US"/>
        </w:rPr>
        <w:t>H</w:t>
      </w:r>
      <w:r>
        <w:rPr>
          <w:rFonts w:ascii="Times New Roman" w:hAnsi="Times New Roman"/>
          <w:sz w:val="28"/>
          <w:szCs w:val="28"/>
          <w:lang w:val="en-US"/>
        </w:rPr>
        <w:t>.</w:t>
      </w:r>
      <w:r w:rsidRPr="00F55573">
        <w:rPr>
          <w:rFonts w:ascii="Times New Roman" w:hAnsi="Times New Roman"/>
          <w:sz w:val="28"/>
          <w:szCs w:val="28"/>
          <w:lang w:val="en-US"/>
        </w:rPr>
        <w:t xml:space="preserve">, </w:t>
      </w:r>
      <w:r>
        <w:rPr>
          <w:rFonts w:ascii="Times New Roman" w:hAnsi="Times New Roman"/>
          <w:sz w:val="28"/>
          <w:szCs w:val="28"/>
          <w:lang w:val="en-US"/>
        </w:rPr>
        <w:t>et al</w:t>
      </w:r>
      <w:r w:rsidRPr="00F55573">
        <w:rPr>
          <w:rFonts w:ascii="Times New Roman" w:hAnsi="Times New Roman"/>
          <w:sz w:val="28"/>
          <w:szCs w:val="28"/>
          <w:lang w:val="en-US"/>
        </w:rPr>
        <w:t>. Is minimally invasive colon resection better than traditional approaches?: First comprehensive national examination with propensity score matching</w:t>
      </w:r>
      <w:r w:rsidRPr="0060528F">
        <w:rPr>
          <w:rFonts w:ascii="Times New Roman" w:hAnsi="Times New Roman"/>
          <w:sz w:val="28"/>
          <w:szCs w:val="28"/>
          <w:lang w:val="en-US"/>
        </w:rPr>
        <w:t xml:space="preserve"> // </w:t>
      </w:r>
      <w:r w:rsidRPr="00F55573">
        <w:rPr>
          <w:rFonts w:ascii="Times New Roman" w:hAnsi="Times New Roman"/>
          <w:sz w:val="28"/>
          <w:szCs w:val="28"/>
          <w:lang w:val="en-US"/>
        </w:rPr>
        <w:t xml:space="preserve">JAMA </w:t>
      </w:r>
      <w:r w:rsidRPr="005050E8">
        <w:rPr>
          <w:rFonts w:ascii="Times New Roman" w:hAnsi="Times New Roman"/>
          <w:sz w:val="28"/>
          <w:szCs w:val="28"/>
          <w:lang w:val="en-US"/>
        </w:rPr>
        <w:t>surgery</w:t>
      </w:r>
      <w:r w:rsidRPr="0060528F">
        <w:rPr>
          <w:rFonts w:ascii="Times New Roman" w:hAnsi="Times New Roman"/>
          <w:sz w:val="28"/>
          <w:szCs w:val="28"/>
          <w:lang w:val="en-US"/>
        </w:rPr>
        <w:t xml:space="preserve">. – </w:t>
      </w:r>
      <w:r w:rsidRPr="00F55573">
        <w:rPr>
          <w:rFonts w:ascii="Times New Roman" w:hAnsi="Times New Roman"/>
          <w:sz w:val="28"/>
          <w:szCs w:val="28"/>
          <w:lang w:val="en-US"/>
        </w:rPr>
        <w:t>2014</w:t>
      </w:r>
      <w:r>
        <w:rPr>
          <w:rFonts w:ascii="Times New Roman" w:hAnsi="Times New Roman"/>
          <w:sz w:val="28"/>
          <w:szCs w:val="28"/>
          <w:lang w:val="en-US"/>
        </w:rPr>
        <w:t>.</w:t>
      </w:r>
      <w:r w:rsidRPr="0060528F">
        <w:rPr>
          <w:rFonts w:ascii="Times New Roman" w:hAnsi="Times New Roman"/>
          <w:sz w:val="28"/>
          <w:szCs w:val="28"/>
          <w:lang w:val="en-US"/>
        </w:rPr>
        <w:t xml:space="preserve"> </w:t>
      </w:r>
      <w:r w:rsidRPr="0060528F">
        <w:rPr>
          <w:rFonts w:ascii="Times New Roman" w:hAnsi="Times New Roman"/>
          <w:sz w:val="28"/>
          <w:szCs w:val="28"/>
          <w:lang w:val="kk-KZ"/>
        </w:rPr>
        <w:t>–</w:t>
      </w:r>
      <w:r w:rsidRPr="0060528F">
        <w:rPr>
          <w:rFonts w:ascii="Times New Roman" w:hAnsi="Times New Roman"/>
          <w:sz w:val="28"/>
          <w:szCs w:val="28"/>
          <w:lang w:val="en-US"/>
        </w:rPr>
        <w:t xml:space="preserve"> Vol.</w:t>
      </w:r>
      <w:r>
        <w:rPr>
          <w:rFonts w:ascii="Times New Roman" w:hAnsi="Times New Roman"/>
          <w:sz w:val="28"/>
          <w:szCs w:val="28"/>
          <w:lang w:val="en-US"/>
        </w:rPr>
        <w:t xml:space="preserve"> </w:t>
      </w:r>
      <w:r w:rsidRPr="00F55573">
        <w:rPr>
          <w:rFonts w:ascii="Times New Roman" w:hAnsi="Times New Roman"/>
          <w:sz w:val="28"/>
          <w:szCs w:val="28"/>
          <w:lang w:val="en-US"/>
        </w:rPr>
        <w:t>149</w:t>
      </w:r>
      <w:r w:rsidRPr="0060528F">
        <w:rPr>
          <w:rFonts w:ascii="Times New Roman" w:hAnsi="Times New Roman"/>
          <w:sz w:val="28"/>
          <w:szCs w:val="28"/>
          <w:lang w:val="en-US"/>
        </w:rPr>
        <w:t>, №</w:t>
      </w:r>
      <w:r>
        <w:rPr>
          <w:rFonts w:ascii="Times New Roman" w:hAnsi="Times New Roman"/>
          <w:sz w:val="28"/>
          <w:szCs w:val="28"/>
          <w:lang w:val="en-US"/>
        </w:rPr>
        <w:t xml:space="preserve"> </w:t>
      </w:r>
      <w:r w:rsidRPr="00F55573">
        <w:rPr>
          <w:rFonts w:ascii="Times New Roman" w:hAnsi="Times New Roman"/>
          <w:sz w:val="28"/>
          <w:szCs w:val="28"/>
          <w:lang w:val="en-US"/>
        </w:rPr>
        <w:t>2</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F55573">
        <w:rPr>
          <w:rFonts w:ascii="Times New Roman" w:hAnsi="Times New Roman"/>
          <w:sz w:val="28"/>
          <w:szCs w:val="28"/>
          <w:lang w:val="en-US"/>
        </w:rPr>
        <w:t>177–184.</w:t>
      </w:r>
    </w:p>
    <w:p w14:paraId="13BE29D5" w14:textId="77777777" w:rsidR="00BB318A" w:rsidRDefault="00BB318A" w:rsidP="00BB318A">
      <w:pPr>
        <w:spacing w:after="0" w:line="240" w:lineRule="auto"/>
        <w:ind w:firstLine="567"/>
        <w:jc w:val="both"/>
        <w:rPr>
          <w:rFonts w:ascii="Times New Roman" w:hAnsi="Times New Roman"/>
          <w:sz w:val="28"/>
          <w:szCs w:val="28"/>
          <w:lang w:val="en-US"/>
        </w:rPr>
      </w:pPr>
      <w:r w:rsidRPr="00F55573">
        <w:rPr>
          <w:rFonts w:ascii="Times New Roman" w:hAnsi="Times New Roman"/>
          <w:sz w:val="28"/>
          <w:szCs w:val="28"/>
          <w:lang w:val="en-US"/>
        </w:rPr>
        <w:t xml:space="preserve">68 Kwak H.D., Ju J.K., Yeom S.S., </w:t>
      </w:r>
      <w:r>
        <w:rPr>
          <w:rFonts w:ascii="Times New Roman" w:hAnsi="Times New Roman"/>
          <w:sz w:val="28"/>
          <w:szCs w:val="28"/>
          <w:lang w:val="en-US"/>
        </w:rPr>
        <w:t>et al</w:t>
      </w:r>
      <w:r w:rsidRPr="00F55573">
        <w:rPr>
          <w:rFonts w:ascii="Times New Roman" w:hAnsi="Times New Roman"/>
          <w:sz w:val="28"/>
          <w:szCs w:val="28"/>
          <w:lang w:val="en-US"/>
        </w:rPr>
        <w:t>. Is radical surgery for clinical stage I right-sided colon cancer relevant? A retrospective review</w:t>
      </w:r>
      <w:r w:rsidRPr="0060528F">
        <w:rPr>
          <w:rFonts w:ascii="Times New Roman" w:hAnsi="Times New Roman"/>
          <w:sz w:val="28"/>
          <w:szCs w:val="28"/>
          <w:lang w:val="en-US"/>
        </w:rPr>
        <w:t xml:space="preserve"> // </w:t>
      </w:r>
      <w:r w:rsidRPr="00F55573">
        <w:rPr>
          <w:rFonts w:ascii="Times New Roman" w:hAnsi="Times New Roman"/>
          <w:sz w:val="28"/>
          <w:szCs w:val="28"/>
          <w:lang w:val="en-US"/>
        </w:rPr>
        <w:t>Annals of surgical treatment and research</w:t>
      </w:r>
      <w:r w:rsidRPr="0060528F">
        <w:rPr>
          <w:rFonts w:ascii="Times New Roman" w:hAnsi="Times New Roman"/>
          <w:sz w:val="28"/>
          <w:szCs w:val="28"/>
          <w:lang w:val="en-US"/>
        </w:rPr>
        <w:t xml:space="preserve">. – </w:t>
      </w:r>
      <w:r w:rsidRPr="00F55573">
        <w:rPr>
          <w:rFonts w:ascii="Times New Roman" w:hAnsi="Times New Roman"/>
          <w:sz w:val="28"/>
          <w:szCs w:val="28"/>
          <w:lang w:val="en-US"/>
        </w:rPr>
        <w:t>2020.</w:t>
      </w:r>
      <w:r w:rsidRPr="0060528F">
        <w:rPr>
          <w:rFonts w:ascii="Times New Roman" w:hAnsi="Times New Roman"/>
          <w:sz w:val="28"/>
          <w:szCs w:val="28"/>
          <w:lang w:val="en-US"/>
        </w:rPr>
        <w:t xml:space="preserve"> </w:t>
      </w:r>
      <w:r w:rsidRPr="0060528F">
        <w:rPr>
          <w:rFonts w:ascii="Times New Roman" w:hAnsi="Times New Roman"/>
          <w:sz w:val="28"/>
          <w:szCs w:val="28"/>
          <w:lang w:val="kk-KZ"/>
        </w:rPr>
        <w:t>–</w:t>
      </w:r>
      <w:r w:rsidRPr="0060528F">
        <w:rPr>
          <w:rFonts w:ascii="Times New Roman" w:hAnsi="Times New Roman"/>
          <w:sz w:val="28"/>
          <w:szCs w:val="28"/>
          <w:lang w:val="en-US"/>
        </w:rPr>
        <w:t xml:space="preserve"> Vol.</w:t>
      </w:r>
      <w:r>
        <w:rPr>
          <w:rFonts w:ascii="Times New Roman" w:hAnsi="Times New Roman"/>
          <w:sz w:val="28"/>
          <w:szCs w:val="28"/>
          <w:lang w:val="en-US"/>
        </w:rPr>
        <w:t xml:space="preserve"> </w:t>
      </w:r>
      <w:r w:rsidRPr="00F55573">
        <w:rPr>
          <w:rFonts w:ascii="Times New Roman" w:hAnsi="Times New Roman"/>
          <w:sz w:val="28"/>
          <w:szCs w:val="28"/>
          <w:lang w:val="en-US"/>
        </w:rPr>
        <w:t>98</w:t>
      </w:r>
      <w:r w:rsidRPr="0060528F">
        <w:rPr>
          <w:rFonts w:ascii="Times New Roman" w:hAnsi="Times New Roman"/>
          <w:sz w:val="28"/>
          <w:szCs w:val="28"/>
          <w:lang w:val="en-US"/>
        </w:rPr>
        <w:t>, №</w:t>
      </w:r>
      <w:r>
        <w:rPr>
          <w:rFonts w:ascii="Times New Roman" w:hAnsi="Times New Roman"/>
          <w:sz w:val="28"/>
          <w:szCs w:val="28"/>
          <w:lang w:val="en-US"/>
        </w:rPr>
        <w:t xml:space="preserve"> </w:t>
      </w:r>
      <w:r w:rsidRPr="00F55573">
        <w:rPr>
          <w:rFonts w:ascii="Times New Roman" w:hAnsi="Times New Roman"/>
          <w:sz w:val="28"/>
          <w:szCs w:val="28"/>
          <w:lang w:val="en-US"/>
        </w:rPr>
        <w:t>3</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F55573">
        <w:rPr>
          <w:rFonts w:ascii="Times New Roman" w:hAnsi="Times New Roman"/>
          <w:sz w:val="28"/>
          <w:szCs w:val="28"/>
          <w:lang w:val="en-US"/>
        </w:rPr>
        <w:t>139–145.</w:t>
      </w:r>
    </w:p>
    <w:p w14:paraId="015791B8" w14:textId="77777777" w:rsidR="00BB318A" w:rsidRPr="0060528F" w:rsidRDefault="00BB318A" w:rsidP="00BB318A">
      <w:pPr>
        <w:pStyle w:val="a7"/>
        <w:ind w:left="0" w:firstLine="567"/>
        <w:jc w:val="both"/>
        <w:rPr>
          <w:rFonts w:ascii="Times New Roman" w:hAnsi="Times New Roman"/>
          <w:sz w:val="28"/>
          <w:szCs w:val="28"/>
          <w:lang w:val="en-US"/>
        </w:rPr>
      </w:pPr>
      <w:r w:rsidRPr="00AD6C83">
        <w:rPr>
          <w:rFonts w:ascii="Times New Roman" w:hAnsi="Times New Roman"/>
          <w:sz w:val="28"/>
          <w:szCs w:val="28"/>
          <w:lang w:val="en-US"/>
        </w:rPr>
        <w:t>6</w:t>
      </w:r>
      <w:r w:rsidRPr="0060528F">
        <w:rPr>
          <w:rFonts w:ascii="Times New Roman" w:hAnsi="Times New Roman"/>
          <w:sz w:val="28"/>
          <w:szCs w:val="28"/>
          <w:lang w:val="en-US"/>
        </w:rPr>
        <w:t xml:space="preserve">9 </w:t>
      </w:r>
      <w:r w:rsidRPr="003B7DB0">
        <w:rPr>
          <w:rFonts w:ascii="Times New Roman" w:hAnsi="Times New Roman"/>
          <w:sz w:val="28"/>
          <w:szCs w:val="28"/>
          <w:lang w:val="en-US"/>
        </w:rPr>
        <w:t xml:space="preserve">Kim J.W., Kim J.Y., Kang B.M., </w:t>
      </w:r>
      <w:r>
        <w:rPr>
          <w:rFonts w:ascii="Times New Roman" w:hAnsi="Times New Roman"/>
          <w:sz w:val="28"/>
          <w:szCs w:val="28"/>
          <w:lang w:val="en-US"/>
        </w:rPr>
        <w:t>et al</w:t>
      </w:r>
      <w:r w:rsidRPr="003B7DB0">
        <w:rPr>
          <w:rFonts w:ascii="Times New Roman" w:hAnsi="Times New Roman"/>
          <w:sz w:val="28"/>
          <w:szCs w:val="28"/>
          <w:lang w:val="en-US"/>
        </w:rPr>
        <w:t>. Short- and long-term outcomes of laparoscopic surgery vs open surgery for transverse colon cancer: a retrospective multicenter study</w:t>
      </w:r>
      <w:r w:rsidRPr="0060528F">
        <w:rPr>
          <w:rFonts w:ascii="Times New Roman" w:hAnsi="Times New Roman"/>
          <w:sz w:val="28"/>
          <w:szCs w:val="28"/>
          <w:lang w:val="en-US"/>
        </w:rPr>
        <w:t xml:space="preserve"> // </w:t>
      </w:r>
      <w:r w:rsidRPr="003B7DB0">
        <w:rPr>
          <w:rFonts w:ascii="Times New Roman" w:hAnsi="Times New Roman"/>
          <w:sz w:val="28"/>
          <w:szCs w:val="28"/>
          <w:lang w:val="en-US"/>
        </w:rPr>
        <w:t>OncoTargets and therapy</w:t>
      </w:r>
      <w:r w:rsidRPr="0060528F">
        <w:rPr>
          <w:rFonts w:ascii="Times New Roman" w:hAnsi="Times New Roman"/>
          <w:sz w:val="28"/>
          <w:szCs w:val="28"/>
          <w:lang w:val="en-US"/>
        </w:rPr>
        <w:t xml:space="preserve">. – </w:t>
      </w:r>
      <w:r w:rsidRPr="003B7DB0">
        <w:rPr>
          <w:rFonts w:ascii="Times New Roman" w:hAnsi="Times New Roman"/>
          <w:sz w:val="28"/>
          <w:szCs w:val="28"/>
          <w:lang w:val="en-US"/>
        </w:rPr>
        <w:t>2016.</w:t>
      </w:r>
      <w:r w:rsidRPr="0060528F">
        <w:rPr>
          <w:rFonts w:ascii="Times New Roman" w:hAnsi="Times New Roman"/>
          <w:sz w:val="28"/>
          <w:szCs w:val="28"/>
          <w:lang w:val="en-US"/>
        </w:rPr>
        <w:t xml:space="preserve"> </w:t>
      </w:r>
      <w:r w:rsidRPr="0060528F">
        <w:rPr>
          <w:rFonts w:ascii="Times New Roman" w:hAnsi="Times New Roman"/>
          <w:sz w:val="28"/>
          <w:szCs w:val="28"/>
          <w:lang w:val="kk-KZ"/>
        </w:rPr>
        <w:t>–</w:t>
      </w:r>
      <w:r w:rsidRPr="0060528F">
        <w:rPr>
          <w:rFonts w:ascii="Times New Roman" w:hAnsi="Times New Roman"/>
          <w:sz w:val="28"/>
          <w:szCs w:val="28"/>
          <w:lang w:val="en-US"/>
        </w:rPr>
        <w:t xml:space="preserve"> Vol.</w:t>
      </w:r>
      <w:r>
        <w:rPr>
          <w:rFonts w:ascii="Times New Roman" w:hAnsi="Times New Roman"/>
          <w:sz w:val="28"/>
          <w:szCs w:val="28"/>
          <w:lang w:val="en-US"/>
        </w:rPr>
        <w:t xml:space="preserve"> </w:t>
      </w:r>
      <w:r w:rsidRPr="003B7DB0">
        <w:rPr>
          <w:rFonts w:ascii="Times New Roman" w:hAnsi="Times New Roman"/>
          <w:sz w:val="28"/>
          <w:szCs w:val="28"/>
          <w:lang w:val="en-US"/>
        </w:rPr>
        <w:t>9</w:t>
      </w:r>
      <w:r>
        <w:rPr>
          <w:rFonts w:ascii="Times New Roman" w:hAnsi="Times New Roman"/>
          <w:sz w:val="28"/>
          <w:szCs w:val="28"/>
          <w:lang w:val="en-US"/>
        </w:rPr>
        <w:t>.</w:t>
      </w:r>
      <w:r w:rsidRPr="003B7DB0">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3B7DB0">
        <w:rPr>
          <w:rFonts w:ascii="Times New Roman" w:hAnsi="Times New Roman"/>
          <w:sz w:val="28"/>
          <w:szCs w:val="28"/>
          <w:lang w:val="en-US"/>
        </w:rPr>
        <w:t>2203–2209.</w:t>
      </w:r>
    </w:p>
    <w:p w14:paraId="177E024F" w14:textId="77777777" w:rsidR="00BB318A" w:rsidRPr="00C954CB" w:rsidRDefault="00BB318A" w:rsidP="00BB318A">
      <w:pPr>
        <w:spacing w:after="0" w:line="240" w:lineRule="auto"/>
        <w:ind w:firstLine="567"/>
        <w:jc w:val="both"/>
        <w:rPr>
          <w:rFonts w:ascii="Times New Roman" w:hAnsi="Times New Roman"/>
          <w:sz w:val="28"/>
          <w:szCs w:val="28"/>
          <w:lang w:val="en-US"/>
        </w:rPr>
      </w:pPr>
      <w:r w:rsidRPr="00794DAF">
        <w:rPr>
          <w:rFonts w:ascii="Times New Roman" w:hAnsi="Times New Roman"/>
          <w:sz w:val="28"/>
          <w:szCs w:val="28"/>
          <w:lang w:val="en-US"/>
        </w:rPr>
        <w:t>7</w:t>
      </w:r>
      <w:r w:rsidRPr="004D1A16">
        <w:rPr>
          <w:rFonts w:ascii="Times New Roman" w:hAnsi="Times New Roman"/>
          <w:sz w:val="28"/>
          <w:szCs w:val="28"/>
          <w:lang w:val="en-US"/>
        </w:rPr>
        <w:t>0 Siani L.M., Lucchi A., Berti P., Garulli G. Laparoscopic complete mesocolic excision with central vascular ligation in 600 right total mesocolectomies: Safety, prognostic factors and oncologic outcome</w:t>
      </w:r>
      <w:r w:rsidRPr="0060528F">
        <w:rPr>
          <w:rFonts w:ascii="Times New Roman" w:hAnsi="Times New Roman"/>
          <w:sz w:val="28"/>
          <w:szCs w:val="28"/>
          <w:lang w:val="en-US"/>
        </w:rPr>
        <w:t xml:space="preserve"> // </w:t>
      </w:r>
      <w:r w:rsidRPr="004D1A16">
        <w:rPr>
          <w:rFonts w:ascii="Times New Roman" w:hAnsi="Times New Roman"/>
          <w:sz w:val="28"/>
          <w:szCs w:val="28"/>
          <w:lang w:val="en-US"/>
        </w:rPr>
        <w:t>The American Journal of Surgery</w:t>
      </w:r>
      <w:r w:rsidRPr="0060528F">
        <w:rPr>
          <w:rFonts w:ascii="Times New Roman" w:hAnsi="Times New Roman"/>
          <w:sz w:val="28"/>
          <w:szCs w:val="28"/>
          <w:lang w:val="en-US"/>
        </w:rPr>
        <w:t xml:space="preserve">. – </w:t>
      </w:r>
      <w:r w:rsidRPr="004D1A16">
        <w:rPr>
          <w:rFonts w:ascii="Times New Roman" w:hAnsi="Times New Roman"/>
          <w:sz w:val="28"/>
          <w:szCs w:val="28"/>
          <w:lang w:val="en-US"/>
        </w:rPr>
        <w:t>2017.</w:t>
      </w:r>
      <w:r>
        <w:rPr>
          <w:rFonts w:ascii="Times New Roman" w:hAnsi="Times New Roman"/>
          <w:sz w:val="28"/>
          <w:szCs w:val="28"/>
          <w:lang w:val="en-US"/>
        </w:rPr>
        <w:t xml:space="preserve"> </w:t>
      </w:r>
      <w:r w:rsidRPr="0060528F">
        <w:rPr>
          <w:rFonts w:ascii="Times New Roman" w:hAnsi="Times New Roman"/>
          <w:sz w:val="28"/>
          <w:szCs w:val="28"/>
          <w:lang w:val="kk-KZ"/>
        </w:rPr>
        <w:t>–</w:t>
      </w:r>
      <w:r w:rsidRPr="0060528F">
        <w:rPr>
          <w:rFonts w:ascii="Times New Roman" w:hAnsi="Times New Roman"/>
          <w:sz w:val="28"/>
          <w:szCs w:val="28"/>
          <w:lang w:val="en-US"/>
        </w:rPr>
        <w:t xml:space="preserve"> Vol.</w:t>
      </w:r>
      <w:r>
        <w:rPr>
          <w:rFonts w:ascii="Times New Roman" w:hAnsi="Times New Roman"/>
          <w:sz w:val="28"/>
          <w:szCs w:val="28"/>
          <w:lang w:val="en-US"/>
        </w:rPr>
        <w:t xml:space="preserve"> </w:t>
      </w:r>
      <w:r w:rsidRPr="004D1A16">
        <w:rPr>
          <w:rFonts w:ascii="Times New Roman" w:hAnsi="Times New Roman"/>
          <w:sz w:val="28"/>
          <w:szCs w:val="28"/>
          <w:lang w:val="en-US"/>
        </w:rPr>
        <w:t>214</w:t>
      </w:r>
      <w:r w:rsidRPr="0060528F">
        <w:rPr>
          <w:rFonts w:ascii="Times New Roman" w:hAnsi="Times New Roman"/>
          <w:sz w:val="28"/>
          <w:szCs w:val="28"/>
          <w:lang w:val="en-US"/>
        </w:rPr>
        <w:t>, №</w:t>
      </w:r>
      <w:r>
        <w:rPr>
          <w:rFonts w:ascii="Times New Roman" w:hAnsi="Times New Roman"/>
          <w:sz w:val="28"/>
          <w:szCs w:val="28"/>
          <w:lang w:val="en-US"/>
        </w:rPr>
        <w:t xml:space="preserve"> </w:t>
      </w:r>
      <w:r w:rsidRPr="004D1A16">
        <w:rPr>
          <w:rFonts w:ascii="Times New Roman" w:hAnsi="Times New Roman"/>
          <w:sz w:val="28"/>
          <w:szCs w:val="28"/>
          <w:lang w:val="en-US"/>
        </w:rPr>
        <w:t>2</w:t>
      </w:r>
      <w:r>
        <w:rPr>
          <w:rFonts w:ascii="Times New Roman" w:hAnsi="Times New Roman"/>
          <w:sz w:val="28"/>
          <w:szCs w:val="28"/>
          <w:lang w:val="en-US"/>
        </w:rPr>
        <w:t>.</w:t>
      </w:r>
      <w:r w:rsidRPr="004D1A16">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4D1A16">
        <w:rPr>
          <w:rFonts w:ascii="Times New Roman" w:hAnsi="Times New Roman"/>
          <w:sz w:val="28"/>
          <w:szCs w:val="28"/>
          <w:lang w:val="en-US"/>
        </w:rPr>
        <w:t>222–227.</w:t>
      </w:r>
    </w:p>
    <w:p w14:paraId="582B4899" w14:textId="77777777" w:rsidR="00BB318A" w:rsidRPr="00C954CB" w:rsidRDefault="00BB318A" w:rsidP="00BB318A">
      <w:pPr>
        <w:spacing w:after="0" w:line="240" w:lineRule="auto"/>
        <w:ind w:firstLine="567"/>
        <w:jc w:val="both"/>
        <w:rPr>
          <w:rFonts w:ascii="Times New Roman" w:hAnsi="Times New Roman"/>
          <w:sz w:val="28"/>
          <w:szCs w:val="28"/>
          <w:lang w:val="en-US"/>
        </w:rPr>
      </w:pPr>
      <w:r w:rsidRPr="00794DAF">
        <w:rPr>
          <w:rFonts w:ascii="Times New Roman" w:hAnsi="Times New Roman"/>
          <w:sz w:val="28"/>
          <w:szCs w:val="28"/>
          <w:lang w:val="en-US"/>
        </w:rPr>
        <w:t>71 Chang G</w:t>
      </w:r>
      <w:r>
        <w:rPr>
          <w:rFonts w:ascii="Times New Roman" w:hAnsi="Times New Roman"/>
          <w:sz w:val="28"/>
          <w:szCs w:val="28"/>
          <w:lang w:val="en-US"/>
        </w:rPr>
        <w:t>.</w:t>
      </w:r>
      <w:r w:rsidRPr="00794DAF">
        <w:rPr>
          <w:rFonts w:ascii="Times New Roman" w:hAnsi="Times New Roman"/>
          <w:sz w:val="28"/>
          <w:szCs w:val="28"/>
          <w:lang w:val="en-US"/>
        </w:rPr>
        <w:t>J</w:t>
      </w:r>
      <w:r>
        <w:rPr>
          <w:rFonts w:ascii="Times New Roman" w:hAnsi="Times New Roman"/>
          <w:sz w:val="28"/>
          <w:szCs w:val="28"/>
          <w:lang w:val="en-US"/>
        </w:rPr>
        <w:t>.</w:t>
      </w:r>
      <w:r w:rsidRPr="00794DAF">
        <w:rPr>
          <w:rFonts w:ascii="Times New Roman" w:hAnsi="Times New Roman"/>
          <w:sz w:val="28"/>
          <w:szCs w:val="28"/>
          <w:lang w:val="en-US"/>
        </w:rPr>
        <w:t>, Kaiser A</w:t>
      </w:r>
      <w:r>
        <w:rPr>
          <w:rFonts w:ascii="Times New Roman" w:hAnsi="Times New Roman"/>
          <w:sz w:val="28"/>
          <w:szCs w:val="28"/>
          <w:lang w:val="en-US"/>
        </w:rPr>
        <w:t>.</w:t>
      </w:r>
      <w:r w:rsidRPr="00794DAF">
        <w:rPr>
          <w:rFonts w:ascii="Times New Roman" w:hAnsi="Times New Roman"/>
          <w:sz w:val="28"/>
          <w:szCs w:val="28"/>
          <w:lang w:val="en-US"/>
        </w:rPr>
        <w:t>M</w:t>
      </w:r>
      <w:r>
        <w:rPr>
          <w:rFonts w:ascii="Times New Roman" w:hAnsi="Times New Roman"/>
          <w:sz w:val="28"/>
          <w:szCs w:val="28"/>
          <w:lang w:val="en-US"/>
        </w:rPr>
        <w:t>.</w:t>
      </w:r>
      <w:r w:rsidRPr="00794DAF">
        <w:rPr>
          <w:rFonts w:ascii="Times New Roman" w:hAnsi="Times New Roman"/>
          <w:sz w:val="28"/>
          <w:szCs w:val="28"/>
          <w:lang w:val="en-US"/>
        </w:rPr>
        <w:t>, Mills S</w:t>
      </w:r>
      <w:r>
        <w:rPr>
          <w:rFonts w:ascii="Times New Roman" w:hAnsi="Times New Roman"/>
          <w:sz w:val="28"/>
          <w:szCs w:val="28"/>
          <w:lang w:val="en-US"/>
        </w:rPr>
        <w:t>.</w:t>
      </w:r>
      <w:r w:rsidRPr="00794DAF">
        <w:rPr>
          <w:rFonts w:ascii="Times New Roman" w:hAnsi="Times New Roman"/>
          <w:sz w:val="28"/>
          <w:szCs w:val="28"/>
          <w:lang w:val="en-US"/>
        </w:rPr>
        <w:t>, Raferty J</w:t>
      </w:r>
      <w:r>
        <w:rPr>
          <w:rFonts w:ascii="Times New Roman" w:hAnsi="Times New Roman"/>
          <w:sz w:val="28"/>
          <w:szCs w:val="28"/>
          <w:lang w:val="en-US"/>
        </w:rPr>
        <w:t>.</w:t>
      </w:r>
      <w:r w:rsidRPr="00794DAF">
        <w:rPr>
          <w:rFonts w:ascii="Times New Roman" w:hAnsi="Times New Roman"/>
          <w:sz w:val="28"/>
          <w:szCs w:val="28"/>
          <w:lang w:val="en-US"/>
        </w:rPr>
        <w:t>S</w:t>
      </w:r>
      <w:r>
        <w:rPr>
          <w:rFonts w:ascii="Times New Roman" w:hAnsi="Times New Roman"/>
          <w:sz w:val="28"/>
          <w:szCs w:val="28"/>
          <w:lang w:val="en-US"/>
        </w:rPr>
        <w:t>.</w:t>
      </w:r>
      <w:r w:rsidRPr="00794DAF">
        <w:rPr>
          <w:rFonts w:ascii="Times New Roman" w:hAnsi="Times New Roman"/>
          <w:sz w:val="28"/>
          <w:szCs w:val="28"/>
          <w:lang w:val="en-US"/>
        </w:rPr>
        <w:t>, Buie WD, on behalf of the Standards Practice Task Force of the American Society of Colon and Rectal Surgeons. Practice parameters for the management of colon cancer</w:t>
      </w:r>
      <w:r w:rsidRPr="0060528F">
        <w:rPr>
          <w:rFonts w:ascii="Times New Roman" w:hAnsi="Times New Roman"/>
          <w:sz w:val="28"/>
          <w:szCs w:val="28"/>
          <w:lang w:val="en-US"/>
        </w:rPr>
        <w:t xml:space="preserve"> // </w:t>
      </w:r>
      <w:r w:rsidRPr="005050E8">
        <w:rPr>
          <w:rFonts w:ascii="Times New Roman" w:hAnsi="Times New Roman"/>
          <w:sz w:val="28"/>
          <w:szCs w:val="28"/>
          <w:lang w:val="en-US"/>
        </w:rPr>
        <w:t>Diseases of the colon and rectum</w:t>
      </w:r>
      <w:r w:rsidRPr="0060528F">
        <w:rPr>
          <w:rFonts w:ascii="Times New Roman" w:hAnsi="Times New Roman"/>
          <w:sz w:val="28"/>
          <w:szCs w:val="28"/>
          <w:lang w:val="en-US"/>
        </w:rPr>
        <w:t xml:space="preserve">. – </w:t>
      </w:r>
      <w:r w:rsidRPr="00794DAF">
        <w:rPr>
          <w:rFonts w:ascii="Times New Roman" w:hAnsi="Times New Roman"/>
          <w:sz w:val="28"/>
          <w:szCs w:val="28"/>
          <w:lang w:val="en-US"/>
        </w:rPr>
        <w:t>2012</w:t>
      </w:r>
      <w:r w:rsidRPr="003B7DB0">
        <w:rPr>
          <w:rFonts w:ascii="Times New Roman" w:hAnsi="Times New Roman"/>
          <w:sz w:val="28"/>
          <w:szCs w:val="28"/>
          <w:lang w:val="en-US"/>
        </w:rPr>
        <w:t>.</w:t>
      </w:r>
      <w:r w:rsidRPr="0060528F">
        <w:rPr>
          <w:rFonts w:ascii="Times New Roman" w:hAnsi="Times New Roman"/>
          <w:sz w:val="28"/>
          <w:szCs w:val="28"/>
          <w:lang w:val="en-US"/>
        </w:rPr>
        <w:t xml:space="preserve"> </w:t>
      </w:r>
      <w:r w:rsidRPr="0060528F">
        <w:rPr>
          <w:rFonts w:ascii="Times New Roman" w:hAnsi="Times New Roman"/>
          <w:sz w:val="28"/>
          <w:szCs w:val="28"/>
          <w:lang w:val="kk-KZ"/>
        </w:rPr>
        <w:t>–</w:t>
      </w:r>
      <w:r w:rsidRPr="0060528F">
        <w:rPr>
          <w:rFonts w:ascii="Times New Roman" w:hAnsi="Times New Roman"/>
          <w:sz w:val="28"/>
          <w:szCs w:val="28"/>
          <w:lang w:val="en-US"/>
        </w:rPr>
        <w:t xml:space="preserve"> Vol.</w:t>
      </w:r>
      <w:r>
        <w:rPr>
          <w:rFonts w:ascii="Times New Roman" w:hAnsi="Times New Roman"/>
          <w:sz w:val="28"/>
          <w:szCs w:val="28"/>
          <w:lang w:val="en-US"/>
        </w:rPr>
        <w:t xml:space="preserve"> </w:t>
      </w:r>
      <w:r w:rsidRPr="00794DAF">
        <w:rPr>
          <w:rFonts w:ascii="Times New Roman" w:hAnsi="Times New Roman"/>
          <w:sz w:val="28"/>
          <w:szCs w:val="28"/>
          <w:lang w:val="en-US"/>
        </w:rPr>
        <w:t>55</w:t>
      </w:r>
      <w:r>
        <w:rPr>
          <w:rFonts w:ascii="Times New Roman" w:hAnsi="Times New Roman"/>
          <w:sz w:val="28"/>
          <w:szCs w:val="28"/>
          <w:lang w:val="en-US"/>
        </w:rPr>
        <w:t>.</w:t>
      </w:r>
      <w:r w:rsidRPr="003B7DB0">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794DAF">
        <w:rPr>
          <w:rFonts w:ascii="Times New Roman" w:hAnsi="Times New Roman"/>
          <w:sz w:val="28"/>
          <w:szCs w:val="28"/>
          <w:lang w:val="en-US"/>
        </w:rPr>
        <w:t>831–43.</w:t>
      </w:r>
    </w:p>
    <w:p w14:paraId="0F8CE7E5" w14:textId="77777777" w:rsidR="00BB318A" w:rsidRPr="00C954CB" w:rsidRDefault="00BB318A" w:rsidP="00BB318A">
      <w:pPr>
        <w:spacing w:after="0" w:line="240" w:lineRule="auto"/>
        <w:ind w:firstLine="567"/>
        <w:jc w:val="both"/>
        <w:rPr>
          <w:rFonts w:ascii="Times New Roman" w:hAnsi="Times New Roman"/>
          <w:sz w:val="28"/>
          <w:szCs w:val="28"/>
          <w:lang w:val="en-US"/>
        </w:rPr>
      </w:pPr>
      <w:r w:rsidRPr="00612997">
        <w:rPr>
          <w:rFonts w:ascii="Times New Roman" w:hAnsi="Times New Roman"/>
          <w:sz w:val="28"/>
          <w:szCs w:val="28"/>
          <w:lang w:val="en-US"/>
        </w:rPr>
        <w:t xml:space="preserve">72 </w:t>
      </w:r>
      <w:r w:rsidRPr="008613BD">
        <w:rPr>
          <w:rFonts w:ascii="Times New Roman" w:hAnsi="Times New Roman"/>
          <w:sz w:val="28"/>
          <w:szCs w:val="28"/>
          <w:lang w:val="en-US"/>
        </w:rPr>
        <w:t>Clavien P.A., Barkun J., de Oliveira M.L.,</w:t>
      </w:r>
      <w:r w:rsidRPr="001D7290">
        <w:rPr>
          <w:rFonts w:ascii="Times New Roman" w:hAnsi="Times New Roman"/>
          <w:sz w:val="28"/>
          <w:szCs w:val="28"/>
          <w:lang w:val="en-US"/>
        </w:rPr>
        <w:t xml:space="preserve"> et al. The Clavien-Dindo classification of surgical complications: five-year experience</w:t>
      </w:r>
      <w:r w:rsidRPr="0060528F">
        <w:rPr>
          <w:rFonts w:ascii="Times New Roman" w:hAnsi="Times New Roman"/>
          <w:sz w:val="28"/>
          <w:szCs w:val="28"/>
          <w:lang w:val="en-US"/>
        </w:rPr>
        <w:t xml:space="preserve"> // </w:t>
      </w:r>
      <w:r w:rsidRPr="005050E8">
        <w:rPr>
          <w:rFonts w:ascii="Times New Roman" w:hAnsi="Times New Roman"/>
          <w:sz w:val="28"/>
          <w:szCs w:val="28"/>
          <w:lang w:val="en-US"/>
        </w:rPr>
        <w:t>Annals of surgery</w:t>
      </w:r>
      <w:r w:rsidRPr="0060528F">
        <w:rPr>
          <w:rFonts w:ascii="Times New Roman" w:hAnsi="Times New Roman"/>
          <w:sz w:val="28"/>
          <w:szCs w:val="28"/>
          <w:lang w:val="en-US"/>
        </w:rPr>
        <w:t xml:space="preserve">. – </w:t>
      </w:r>
      <w:r w:rsidRPr="001D7290">
        <w:rPr>
          <w:rFonts w:ascii="Times New Roman" w:hAnsi="Times New Roman"/>
          <w:sz w:val="28"/>
          <w:szCs w:val="28"/>
          <w:lang w:val="en-US"/>
        </w:rPr>
        <w:t>2009</w:t>
      </w:r>
      <w:r w:rsidRPr="003B7DB0">
        <w:rPr>
          <w:rFonts w:ascii="Times New Roman" w:hAnsi="Times New Roman"/>
          <w:sz w:val="28"/>
          <w:szCs w:val="28"/>
          <w:lang w:val="en-US"/>
        </w:rPr>
        <w:t>.</w:t>
      </w:r>
      <w:r w:rsidRPr="0060528F">
        <w:rPr>
          <w:rFonts w:ascii="Times New Roman" w:hAnsi="Times New Roman"/>
          <w:sz w:val="28"/>
          <w:szCs w:val="28"/>
          <w:lang w:val="en-US"/>
        </w:rPr>
        <w:t xml:space="preserve"> </w:t>
      </w:r>
      <w:r w:rsidRPr="0060528F">
        <w:rPr>
          <w:rFonts w:ascii="Times New Roman" w:hAnsi="Times New Roman"/>
          <w:sz w:val="28"/>
          <w:szCs w:val="28"/>
          <w:lang w:val="kk-KZ"/>
        </w:rPr>
        <w:t>–</w:t>
      </w:r>
      <w:r w:rsidRPr="0060528F">
        <w:rPr>
          <w:rFonts w:ascii="Times New Roman" w:hAnsi="Times New Roman"/>
          <w:sz w:val="28"/>
          <w:szCs w:val="28"/>
          <w:lang w:val="en-US"/>
        </w:rPr>
        <w:t xml:space="preserve"> Vol.</w:t>
      </w:r>
      <w:r>
        <w:rPr>
          <w:rFonts w:ascii="Times New Roman" w:hAnsi="Times New Roman"/>
          <w:sz w:val="28"/>
          <w:szCs w:val="28"/>
          <w:lang w:val="en-US"/>
        </w:rPr>
        <w:t xml:space="preserve"> </w:t>
      </w:r>
      <w:r w:rsidRPr="001D7290">
        <w:rPr>
          <w:rFonts w:ascii="Times New Roman" w:hAnsi="Times New Roman"/>
          <w:sz w:val="28"/>
          <w:szCs w:val="28"/>
          <w:lang w:val="en-US"/>
        </w:rPr>
        <w:t>250</w:t>
      </w:r>
      <w:r w:rsidRPr="0060528F">
        <w:rPr>
          <w:rFonts w:ascii="Times New Roman" w:hAnsi="Times New Roman"/>
          <w:sz w:val="28"/>
          <w:szCs w:val="28"/>
          <w:lang w:val="en-US"/>
        </w:rPr>
        <w:t>, №</w:t>
      </w:r>
      <w:r>
        <w:rPr>
          <w:rFonts w:ascii="Times New Roman" w:hAnsi="Times New Roman"/>
          <w:sz w:val="28"/>
          <w:szCs w:val="28"/>
          <w:lang w:val="en-US"/>
        </w:rPr>
        <w:t xml:space="preserve"> </w:t>
      </w:r>
      <w:r w:rsidRPr="001D7290">
        <w:rPr>
          <w:rFonts w:ascii="Times New Roman" w:hAnsi="Times New Roman"/>
          <w:sz w:val="28"/>
          <w:szCs w:val="28"/>
          <w:lang w:val="en-US"/>
        </w:rPr>
        <w:t>2</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1D7290">
        <w:rPr>
          <w:rFonts w:ascii="Times New Roman" w:hAnsi="Times New Roman"/>
          <w:sz w:val="28"/>
          <w:szCs w:val="28"/>
          <w:lang w:val="en-US"/>
        </w:rPr>
        <w:t>187–196.</w:t>
      </w:r>
    </w:p>
    <w:p w14:paraId="2BA8F0F1" w14:textId="77777777" w:rsidR="00BB318A" w:rsidRDefault="00BB318A" w:rsidP="00BB318A">
      <w:pPr>
        <w:spacing w:after="0" w:line="240" w:lineRule="auto"/>
        <w:ind w:firstLine="567"/>
        <w:jc w:val="both"/>
        <w:rPr>
          <w:rFonts w:ascii="Times New Roman" w:hAnsi="Times New Roman"/>
          <w:sz w:val="28"/>
          <w:szCs w:val="28"/>
          <w:lang w:val="en-US"/>
        </w:rPr>
      </w:pPr>
      <w:r w:rsidRPr="00612997">
        <w:rPr>
          <w:rFonts w:ascii="Times New Roman" w:hAnsi="Times New Roman"/>
          <w:sz w:val="28"/>
          <w:szCs w:val="28"/>
          <w:lang w:val="en-US"/>
        </w:rPr>
        <w:t xml:space="preserve">73 </w:t>
      </w:r>
      <w:r w:rsidRPr="0083063F">
        <w:rPr>
          <w:rFonts w:ascii="Times New Roman" w:hAnsi="Times New Roman"/>
          <w:sz w:val="28"/>
          <w:szCs w:val="28"/>
          <w:lang w:val="en-US"/>
        </w:rPr>
        <w:t>Cienfuegos J.A., Baixauli J., Beorlegui C.,</w:t>
      </w:r>
      <w:r w:rsidRPr="0060528F">
        <w:rPr>
          <w:rFonts w:ascii="Times New Roman" w:hAnsi="Times New Roman"/>
          <w:sz w:val="28"/>
          <w:szCs w:val="28"/>
          <w:lang w:val="en-US"/>
        </w:rPr>
        <w:t xml:space="preserve"> et al. The impact of major postoperative complications on long-term outcomes following curative resection of colon cancer // International Journal of Surgery. – 2018. – Vol. 52. – P. 303-308.</w:t>
      </w:r>
    </w:p>
    <w:p w14:paraId="0B302299" w14:textId="77777777" w:rsidR="00BB318A" w:rsidRPr="00612997" w:rsidRDefault="00BB318A" w:rsidP="00BB318A">
      <w:pPr>
        <w:spacing w:after="0" w:line="240" w:lineRule="auto"/>
        <w:ind w:firstLine="567"/>
        <w:jc w:val="both"/>
        <w:rPr>
          <w:rFonts w:ascii="Times New Roman" w:hAnsi="Times New Roman"/>
          <w:sz w:val="28"/>
          <w:szCs w:val="28"/>
          <w:lang w:val="en-US"/>
        </w:rPr>
      </w:pPr>
      <w:r w:rsidRPr="00612997">
        <w:rPr>
          <w:rFonts w:ascii="Times New Roman" w:hAnsi="Times New Roman"/>
          <w:sz w:val="28"/>
          <w:szCs w:val="28"/>
          <w:lang w:val="en-US"/>
        </w:rPr>
        <w:t xml:space="preserve">74 Furnes B., Storli K.E., Forsmo H.M., </w:t>
      </w:r>
      <w:r>
        <w:rPr>
          <w:rFonts w:ascii="Times New Roman" w:hAnsi="Times New Roman"/>
          <w:sz w:val="28"/>
          <w:szCs w:val="28"/>
          <w:lang w:val="en-US"/>
        </w:rPr>
        <w:t>et al</w:t>
      </w:r>
      <w:r w:rsidRPr="00612997">
        <w:rPr>
          <w:rFonts w:ascii="Times New Roman" w:hAnsi="Times New Roman"/>
          <w:sz w:val="28"/>
          <w:szCs w:val="28"/>
          <w:lang w:val="en-US"/>
        </w:rPr>
        <w:t>. Risk Factors for Complications following Introduction of Radical Surgery for Colon Cancer: A Consecutive Patient Series</w:t>
      </w:r>
      <w:r w:rsidRPr="0060528F">
        <w:rPr>
          <w:rFonts w:ascii="Times New Roman" w:hAnsi="Times New Roman"/>
          <w:sz w:val="28"/>
          <w:szCs w:val="28"/>
          <w:lang w:val="en-US"/>
        </w:rPr>
        <w:t xml:space="preserve"> // </w:t>
      </w:r>
      <w:r w:rsidRPr="0083063F">
        <w:rPr>
          <w:rFonts w:ascii="Times New Roman" w:hAnsi="Times New Roman"/>
          <w:sz w:val="28"/>
          <w:szCs w:val="28"/>
          <w:lang w:val="en-US"/>
        </w:rPr>
        <w:t>Scandinavian journal of surgery: SJS: official organ for the Finnish Surgical Society and the Scandinavian Surgical Society</w:t>
      </w:r>
      <w:r w:rsidRPr="0060528F">
        <w:rPr>
          <w:rFonts w:ascii="Times New Roman" w:hAnsi="Times New Roman"/>
          <w:sz w:val="28"/>
          <w:szCs w:val="28"/>
          <w:lang w:val="en-US"/>
        </w:rPr>
        <w:t xml:space="preserve">. – </w:t>
      </w:r>
      <w:r w:rsidRPr="00612997">
        <w:rPr>
          <w:rFonts w:ascii="Times New Roman" w:hAnsi="Times New Roman"/>
          <w:sz w:val="28"/>
          <w:szCs w:val="28"/>
          <w:lang w:val="en-US"/>
        </w:rPr>
        <w:t>2018.</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 xml:space="preserve"> </w:t>
      </w:r>
      <w:r w:rsidRPr="0083063F">
        <w:rPr>
          <w:rFonts w:ascii="Times New Roman" w:hAnsi="Times New Roman"/>
          <w:sz w:val="28"/>
          <w:szCs w:val="28"/>
          <w:lang w:val="en-US"/>
        </w:rPr>
        <w:t>108</w:t>
      </w:r>
      <w:r w:rsidRPr="0060528F">
        <w:rPr>
          <w:rFonts w:ascii="Times New Roman" w:hAnsi="Times New Roman"/>
          <w:sz w:val="28"/>
          <w:szCs w:val="28"/>
          <w:lang w:val="en-US"/>
        </w:rPr>
        <w:t>, №</w:t>
      </w:r>
      <w:r>
        <w:rPr>
          <w:rFonts w:ascii="Times New Roman" w:hAnsi="Times New Roman"/>
          <w:sz w:val="28"/>
          <w:szCs w:val="28"/>
          <w:lang w:val="en-US"/>
        </w:rPr>
        <w:t xml:space="preserve"> </w:t>
      </w:r>
      <w:r w:rsidRPr="0083063F">
        <w:rPr>
          <w:rFonts w:ascii="Times New Roman" w:hAnsi="Times New Roman"/>
          <w:sz w:val="28"/>
          <w:szCs w:val="28"/>
          <w:lang w:val="en-US"/>
        </w:rPr>
        <w:t>2</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83063F">
        <w:rPr>
          <w:rFonts w:ascii="Times New Roman" w:hAnsi="Times New Roman"/>
          <w:sz w:val="28"/>
          <w:szCs w:val="28"/>
          <w:lang w:val="en-US"/>
        </w:rPr>
        <w:t>144–151.</w:t>
      </w:r>
    </w:p>
    <w:p w14:paraId="50AC0147" w14:textId="77777777" w:rsidR="00BB318A" w:rsidRPr="00C954CB" w:rsidRDefault="00BB318A" w:rsidP="00BB318A">
      <w:pPr>
        <w:spacing w:after="0" w:line="240" w:lineRule="auto"/>
        <w:ind w:firstLine="567"/>
        <w:jc w:val="both"/>
        <w:rPr>
          <w:rFonts w:ascii="Times New Roman" w:hAnsi="Times New Roman"/>
          <w:sz w:val="28"/>
          <w:szCs w:val="28"/>
          <w:lang w:val="en-US"/>
        </w:rPr>
      </w:pPr>
      <w:r w:rsidRPr="00612997">
        <w:rPr>
          <w:rFonts w:ascii="Times New Roman" w:hAnsi="Times New Roman"/>
          <w:sz w:val="28"/>
          <w:szCs w:val="28"/>
          <w:lang w:val="en-US"/>
        </w:rPr>
        <w:t xml:space="preserve">75 </w:t>
      </w:r>
      <w:r w:rsidRPr="0083063F">
        <w:rPr>
          <w:rFonts w:ascii="Times New Roman" w:hAnsi="Times New Roman"/>
          <w:sz w:val="28"/>
          <w:szCs w:val="28"/>
          <w:lang w:val="en-US"/>
        </w:rPr>
        <w:t>Kirchhoff P., Clavien P.A., Hahnloser D.</w:t>
      </w:r>
      <w:r w:rsidRPr="00612997">
        <w:rPr>
          <w:rFonts w:ascii="Times New Roman" w:hAnsi="Times New Roman"/>
          <w:sz w:val="28"/>
          <w:szCs w:val="28"/>
          <w:lang w:val="en-US"/>
        </w:rPr>
        <w:t xml:space="preserve"> Complications in colorectal surgery: Risk factors and preventive strategies</w:t>
      </w:r>
      <w:r w:rsidRPr="0060528F">
        <w:rPr>
          <w:rFonts w:ascii="Times New Roman" w:hAnsi="Times New Roman"/>
          <w:sz w:val="28"/>
          <w:szCs w:val="28"/>
          <w:lang w:val="en-US"/>
        </w:rPr>
        <w:t xml:space="preserve"> // </w:t>
      </w:r>
      <w:r w:rsidRPr="00AC4571">
        <w:rPr>
          <w:rFonts w:ascii="Times New Roman" w:hAnsi="Times New Roman"/>
          <w:sz w:val="28"/>
          <w:szCs w:val="28"/>
          <w:lang w:val="en-US"/>
        </w:rPr>
        <w:t>Patient safety in surgery</w:t>
      </w:r>
      <w:r w:rsidRPr="0060528F">
        <w:rPr>
          <w:rFonts w:ascii="Times New Roman" w:hAnsi="Times New Roman"/>
          <w:sz w:val="28"/>
          <w:szCs w:val="28"/>
          <w:lang w:val="en-US"/>
        </w:rPr>
        <w:t xml:space="preserve">. – </w:t>
      </w:r>
      <w:r w:rsidRPr="00612997">
        <w:rPr>
          <w:rFonts w:ascii="Times New Roman" w:hAnsi="Times New Roman"/>
          <w:sz w:val="28"/>
          <w:szCs w:val="28"/>
          <w:lang w:val="en-US"/>
        </w:rPr>
        <w:t>2010</w:t>
      </w:r>
      <w:r>
        <w:rPr>
          <w:rFonts w:ascii="Times New Roman" w:hAnsi="Times New Roman"/>
          <w:sz w:val="28"/>
          <w:szCs w:val="28"/>
          <w:lang w:val="en-US"/>
        </w:rPr>
        <w:t>.</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612997">
        <w:rPr>
          <w:rFonts w:ascii="Times New Roman" w:hAnsi="Times New Roman"/>
          <w:sz w:val="28"/>
          <w:szCs w:val="28"/>
          <w:lang w:val="en-US"/>
        </w:rPr>
        <w:t>4</w:t>
      </w:r>
      <w:r w:rsidRPr="0060528F">
        <w:rPr>
          <w:rFonts w:ascii="Times New Roman" w:hAnsi="Times New Roman"/>
          <w:sz w:val="28"/>
          <w:szCs w:val="28"/>
          <w:lang w:val="en-US"/>
        </w:rPr>
        <w:t>, №</w:t>
      </w:r>
      <w:r>
        <w:rPr>
          <w:rFonts w:ascii="Times New Roman" w:hAnsi="Times New Roman"/>
          <w:sz w:val="28"/>
          <w:szCs w:val="28"/>
          <w:lang w:val="en-US"/>
        </w:rPr>
        <w:t xml:space="preserve"> 1.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612997">
        <w:rPr>
          <w:rFonts w:ascii="Times New Roman" w:hAnsi="Times New Roman"/>
          <w:sz w:val="28"/>
          <w:szCs w:val="28"/>
          <w:lang w:val="en-US"/>
        </w:rPr>
        <w:t>5</w:t>
      </w:r>
      <w:r>
        <w:rPr>
          <w:rFonts w:ascii="Times New Roman" w:hAnsi="Times New Roman"/>
          <w:sz w:val="28"/>
          <w:szCs w:val="28"/>
          <w:lang w:val="en-US"/>
        </w:rPr>
        <w:t>-10</w:t>
      </w:r>
      <w:r w:rsidRPr="00612997">
        <w:rPr>
          <w:rFonts w:ascii="Times New Roman" w:hAnsi="Times New Roman"/>
          <w:sz w:val="28"/>
          <w:szCs w:val="28"/>
          <w:lang w:val="en-US"/>
        </w:rPr>
        <w:t>.</w:t>
      </w:r>
    </w:p>
    <w:p w14:paraId="71B9D562" w14:textId="77777777" w:rsidR="00BB318A" w:rsidRPr="00C954CB" w:rsidRDefault="00BB318A" w:rsidP="00BB318A">
      <w:pPr>
        <w:spacing w:after="0" w:line="240" w:lineRule="auto"/>
        <w:ind w:firstLine="567"/>
        <w:jc w:val="both"/>
        <w:rPr>
          <w:rFonts w:ascii="Times New Roman" w:hAnsi="Times New Roman"/>
          <w:sz w:val="28"/>
          <w:szCs w:val="28"/>
          <w:lang w:val="en-US"/>
        </w:rPr>
      </w:pPr>
      <w:r w:rsidRPr="00612997">
        <w:rPr>
          <w:rFonts w:ascii="Times New Roman" w:hAnsi="Times New Roman"/>
          <w:sz w:val="28"/>
          <w:szCs w:val="28"/>
          <w:lang w:val="en-US"/>
        </w:rPr>
        <w:t>76 Leichtle S</w:t>
      </w:r>
      <w:r>
        <w:rPr>
          <w:rFonts w:ascii="Times New Roman" w:hAnsi="Times New Roman"/>
          <w:sz w:val="28"/>
          <w:szCs w:val="28"/>
          <w:lang w:val="en-US"/>
        </w:rPr>
        <w:t>.</w:t>
      </w:r>
      <w:r w:rsidRPr="00612997">
        <w:rPr>
          <w:rFonts w:ascii="Times New Roman" w:hAnsi="Times New Roman"/>
          <w:sz w:val="28"/>
          <w:szCs w:val="28"/>
          <w:lang w:val="en-US"/>
        </w:rPr>
        <w:t>W</w:t>
      </w:r>
      <w:r>
        <w:rPr>
          <w:rFonts w:ascii="Times New Roman" w:hAnsi="Times New Roman"/>
          <w:sz w:val="28"/>
          <w:szCs w:val="28"/>
          <w:lang w:val="en-US"/>
        </w:rPr>
        <w:t>.</w:t>
      </w:r>
      <w:r w:rsidRPr="00612997">
        <w:rPr>
          <w:rFonts w:ascii="Times New Roman" w:hAnsi="Times New Roman"/>
          <w:sz w:val="28"/>
          <w:szCs w:val="28"/>
          <w:lang w:val="en-US"/>
        </w:rPr>
        <w:t>, Mouawad N</w:t>
      </w:r>
      <w:r>
        <w:rPr>
          <w:rFonts w:ascii="Times New Roman" w:hAnsi="Times New Roman"/>
          <w:sz w:val="28"/>
          <w:szCs w:val="28"/>
          <w:lang w:val="en-US"/>
        </w:rPr>
        <w:t>.</w:t>
      </w:r>
      <w:r w:rsidRPr="00612997">
        <w:rPr>
          <w:rFonts w:ascii="Times New Roman" w:hAnsi="Times New Roman"/>
          <w:sz w:val="28"/>
          <w:szCs w:val="28"/>
          <w:lang w:val="en-US"/>
        </w:rPr>
        <w:t>J</w:t>
      </w:r>
      <w:r>
        <w:rPr>
          <w:rFonts w:ascii="Times New Roman" w:hAnsi="Times New Roman"/>
          <w:sz w:val="28"/>
          <w:szCs w:val="28"/>
          <w:lang w:val="en-US"/>
        </w:rPr>
        <w:t>.</w:t>
      </w:r>
      <w:r w:rsidRPr="00612997">
        <w:rPr>
          <w:rFonts w:ascii="Times New Roman" w:hAnsi="Times New Roman"/>
          <w:sz w:val="28"/>
          <w:szCs w:val="28"/>
          <w:lang w:val="en-US"/>
        </w:rPr>
        <w:t>, Lampman R</w:t>
      </w:r>
      <w:r>
        <w:rPr>
          <w:rFonts w:ascii="Times New Roman" w:hAnsi="Times New Roman"/>
          <w:sz w:val="28"/>
          <w:szCs w:val="28"/>
          <w:lang w:val="en-US"/>
        </w:rPr>
        <w:t>.,</w:t>
      </w:r>
      <w:r w:rsidRPr="00612997">
        <w:rPr>
          <w:rFonts w:ascii="Times New Roman" w:hAnsi="Times New Roman"/>
          <w:sz w:val="28"/>
          <w:szCs w:val="28"/>
          <w:lang w:val="en-US"/>
        </w:rPr>
        <w:t xml:space="preserve"> et al</w:t>
      </w:r>
      <w:r>
        <w:rPr>
          <w:rFonts w:ascii="Times New Roman" w:hAnsi="Times New Roman"/>
          <w:sz w:val="28"/>
          <w:szCs w:val="28"/>
          <w:lang w:val="en-US"/>
        </w:rPr>
        <w:t>.</w:t>
      </w:r>
      <w:r w:rsidRPr="00612997">
        <w:rPr>
          <w:rFonts w:ascii="Times New Roman" w:hAnsi="Times New Roman"/>
          <w:sz w:val="28"/>
          <w:szCs w:val="28"/>
          <w:lang w:val="en-US"/>
        </w:rPr>
        <w:t xml:space="preserve"> Preoperative anemia adversely affect colon and rectal surgery outcome?</w:t>
      </w:r>
      <w:r w:rsidRPr="0060528F">
        <w:rPr>
          <w:rFonts w:ascii="Times New Roman" w:hAnsi="Times New Roman"/>
          <w:sz w:val="28"/>
          <w:szCs w:val="28"/>
          <w:lang w:val="en-US"/>
        </w:rPr>
        <w:t xml:space="preserve"> // </w:t>
      </w:r>
      <w:r w:rsidRPr="005050E8">
        <w:rPr>
          <w:rFonts w:ascii="Times New Roman" w:hAnsi="Times New Roman"/>
          <w:sz w:val="28"/>
          <w:szCs w:val="28"/>
          <w:lang w:val="en-US"/>
        </w:rPr>
        <w:t>Journal of the American College of Surgeons</w:t>
      </w:r>
      <w:r w:rsidRPr="0060528F">
        <w:rPr>
          <w:rFonts w:ascii="Times New Roman" w:hAnsi="Times New Roman"/>
          <w:sz w:val="28"/>
          <w:szCs w:val="28"/>
          <w:lang w:val="en-US"/>
        </w:rPr>
        <w:t xml:space="preserve">. – </w:t>
      </w:r>
      <w:r w:rsidRPr="00612997">
        <w:rPr>
          <w:rFonts w:ascii="Times New Roman" w:hAnsi="Times New Roman"/>
          <w:sz w:val="28"/>
          <w:szCs w:val="28"/>
          <w:lang w:val="en-US"/>
        </w:rPr>
        <w:t>2011</w:t>
      </w:r>
      <w:r>
        <w:rPr>
          <w:rFonts w:ascii="Times New Roman" w:hAnsi="Times New Roman"/>
          <w:sz w:val="28"/>
          <w:szCs w:val="28"/>
          <w:lang w:val="en-US"/>
        </w:rPr>
        <w:t>.</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612997">
        <w:rPr>
          <w:rFonts w:ascii="Times New Roman" w:hAnsi="Times New Roman"/>
          <w:sz w:val="28"/>
          <w:szCs w:val="28"/>
          <w:lang w:val="en-US"/>
        </w:rPr>
        <w:t>212</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612997">
        <w:rPr>
          <w:rFonts w:ascii="Times New Roman" w:hAnsi="Times New Roman"/>
          <w:sz w:val="28"/>
          <w:szCs w:val="28"/>
          <w:lang w:val="en-US"/>
        </w:rPr>
        <w:t>187–194.</w:t>
      </w:r>
    </w:p>
    <w:p w14:paraId="013C1395" w14:textId="77777777" w:rsidR="00BB318A" w:rsidRDefault="00BB318A" w:rsidP="00BB318A">
      <w:pPr>
        <w:spacing w:after="0" w:line="240" w:lineRule="auto"/>
        <w:ind w:firstLine="567"/>
        <w:jc w:val="both"/>
        <w:rPr>
          <w:rFonts w:ascii="Times New Roman" w:hAnsi="Times New Roman"/>
          <w:sz w:val="28"/>
          <w:szCs w:val="28"/>
          <w:lang w:val="en-US"/>
        </w:rPr>
      </w:pPr>
      <w:r w:rsidRPr="00276A64">
        <w:rPr>
          <w:rFonts w:ascii="Times New Roman" w:hAnsi="Times New Roman"/>
          <w:sz w:val="28"/>
          <w:szCs w:val="28"/>
          <w:lang w:val="en-US"/>
        </w:rPr>
        <w:t>77 Pikarsky A</w:t>
      </w:r>
      <w:r>
        <w:rPr>
          <w:rFonts w:ascii="Times New Roman" w:hAnsi="Times New Roman"/>
          <w:sz w:val="28"/>
          <w:szCs w:val="28"/>
          <w:lang w:val="en-US"/>
        </w:rPr>
        <w:t>.</w:t>
      </w:r>
      <w:r w:rsidRPr="00276A64">
        <w:rPr>
          <w:rFonts w:ascii="Times New Roman" w:hAnsi="Times New Roman"/>
          <w:sz w:val="28"/>
          <w:szCs w:val="28"/>
          <w:lang w:val="en-US"/>
        </w:rPr>
        <w:t>J</w:t>
      </w:r>
      <w:r>
        <w:rPr>
          <w:rFonts w:ascii="Times New Roman" w:hAnsi="Times New Roman"/>
          <w:sz w:val="28"/>
          <w:szCs w:val="28"/>
          <w:lang w:val="en-US"/>
        </w:rPr>
        <w:t>.</w:t>
      </w:r>
      <w:r w:rsidRPr="00276A64">
        <w:rPr>
          <w:rFonts w:ascii="Times New Roman" w:hAnsi="Times New Roman"/>
          <w:sz w:val="28"/>
          <w:szCs w:val="28"/>
          <w:lang w:val="en-US"/>
        </w:rPr>
        <w:t>, Saida Y</w:t>
      </w:r>
      <w:r>
        <w:rPr>
          <w:rFonts w:ascii="Times New Roman" w:hAnsi="Times New Roman"/>
          <w:sz w:val="28"/>
          <w:szCs w:val="28"/>
          <w:lang w:val="en-US"/>
        </w:rPr>
        <w:t>.</w:t>
      </w:r>
      <w:r w:rsidRPr="00276A64">
        <w:rPr>
          <w:rFonts w:ascii="Times New Roman" w:hAnsi="Times New Roman"/>
          <w:sz w:val="28"/>
          <w:szCs w:val="28"/>
          <w:lang w:val="en-US"/>
        </w:rPr>
        <w:t>, Yamaquchi T</w:t>
      </w:r>
      <w:r>
        <w:rPr>
          <w:rFonts w:ascii="Times New Roman" w:hAnsi="Times New Roman"/>
          <w:sz w:val="28"/>
          <w:szCs w:val="28"/>
          <w:lang w:val="en-US"/>
        </w:rPr>
        <w:t>.,</w:t>
      </w:r>
      <w:r w:rsidRPr="00276A64">
        <w:rPr>
          <w:rFonts w:ascii="Times New Roman" w:hAnsi="Times New Roman"/>
          <w:sz w:val="28"/>
          <w:szCs w:val="28"/>
          <w:lang w:val="en-US"/>
        </w:rPr>
        <w:t xml:space="preserve"> et al</w:t>
      </w:r>
      <w:r>
        <w:rPr>
          <w:rFonts w:ascii="Times New Roman" w:hAnsi="Times New Roman"/>
          <w:sz w:val="28"/>
          <w:szCs w:val="28"/>
          <w:lang w:val="en-US"/>
        </w:rPr>
        <w:t>.</w:t>
      </w:r>
      <w:r w:rsidRPr="00276A64">
        <w:rPr>
          <w:rFonts w:ascii="Times New Roman" w:hAnsi="Times New Roman"/>
          <w:sz w:val="28"/>
          <w:szCs w:val="28"/>
          <w:lang w:val="en-US"/>
        </w:rPr>
        <w:t xml:space="preserve"> Is obesity a highrisk factor for laparoscopic colorectal surgery?</w:t>
      </w:r>
      <w:r w:rsidRPr="0060528F">
        <w:rPr>
          <w:rFonts w:ascii="Times New Roman" w:hAnsi="Times New Roman"/>
          <w:sz w:val="28"/>
          <w:szCs w:val="28"/>
          <w:lang w:val="en-US"/>
        </w:rPr>
        <w:t xml:space="preserve"> // </w:t>
      </w:r>
      <w:r w:rsidRPr="005050E8">
        <w:rPr>
          <w:rFonts w:ascii="Times New Roman" w:hAnsi="Times New Roman"/>
          <w:sz w:val="28"/>
          <w:szCs w:val="28"/>
          <w:lang w:val="en-US"/>
        </w:rPr>
        <w:t>Surgical endoscopy</w:t>
      </w:r>
      <w:r w:rsidRPr="0060528F">
        <w:rPr>
          <w:rFonts w:ascii="Times New Roman" w:hAnsi="Times New Roman"/>
          <w:sz w:val="28"/>
          <w:szCs w:val="28"/>
          <w:lang w:val="en-US"/>
        </w:rPr>
        <w:t xml:space="preserve">. – </w:t>
      </w:r>
      <w:r w:rsidRPr="00276A64">
        <w:rPr>
          <w:rFonts w:ascii="Times New Roman" w:hAnsi="Times New Roman"/>
          <w:sz w:val="28"/>
          <w:szCs w:val="28"/>
          <w:lang w:val="en-US"/>
        </w:rPr>
        <w:t>2002</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 xml:space="preserve"> </w:t>
      </w:r>
      <w:r w:rsidRPr="00276A64">
        <w:rPr>
          <w:rFonts w:ascii="Times New Roman" w:hAnsi="Times New Roman"/>
          <w:sz w:val="28"/>
          <w:szCs w:val="28"/>
          <w:lang w:val="en-US"/>
        </w:rPr>
        <w:t>16</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276A64">
        <w:rPr>
          <w:rFonts w:ascii="Times New Roman" w:hAnsi="Times New Roman"/>
          <w:sz w:val="28"/>
          <w:szCs w:val="28"/>
          <w:lang w:val="en-US"/>
        </w:rPr>
        <w:t>855–858.</w:t>
      </w:r>
    </w:p>
    <w:p w14:paraId="78C7DBB8" w14:textId="77777777" w:rsidR="00BB318A" w:rsidRPr="00C954CB" w:rsidRDefault="00BB318A" w:rsidP="00BB318A">
      <w:pPr>
        <w:spacing w:after="0" w:line="240" w:lineRule="auto"/>
        <w:ind w:firstLine="567"/>
        <w:jc w:val="both"/>
        <w:rPr>
          <w:rFonts w:ascii="Times New Roman" w:hAnsi="Times New Roman"/>
          <w:sz w:val="28"/>
          <w:szCs w:val="28"/>
          <w:lang w:val="en-US"/>
        </w:rPr>
      </w:pPr>
      <w:r w:rsidRPr="00276A64">
        <w:rPr>
          <w:rFonts w:ascii="Times New Roman" w:hAnsi="Times New Roman"/>
          <w:sz w:val="28"/>
          <w:szCs w:val="28"/>
          <w:lang w:val="en-US"/>
        </w:rPr>
        <w:t>78 Kim I</w:t>
      </w:r>
      <w:r>
        <w:rPr>
          <w:rFonts w:ascii="Times New Roman" w:hAnsi="Times New Roman"/>
          <w:sz w:val="28"/>
          <w:szCs w:val="28"/>
          <w:lang w:val="en-US"/>
        </w:rPr>
        <w:t>.</w:t>
      </w:r>
      <w:r w:rsidRPr="00276A64">
        <w:rPr>
          <w:rFonts w:ascii="Times New Roman" w:hAnsi="Times New Roman"/>
          <w:sz w:val="28"/>
          <w:szCs w:val="28"/>
          <w:lang w:val="en-US"/>
        </w:rPr>
        <w:t>K</w:t>
      </w:r>
      <w:r>
        <w:rPr>
          <w:rFonts w:ascii="Times New Roman" w:hAnsi="Times New Roman"/>
          <w:sz w:val="28"/>
          <w:szCs w:val="28"/>
          <w:lang w:val="en-US"/>
        </w:rPr>
        <w:t>.</w:t>
      </w:r>
      <w:r w:rsidRPr="00276A64">
        <w:rPr>
          <w:rFonts w:ascii="Times New Roman" w:hAnsi="Times New Roman"/>
          <w:sz w:val="28"/>
          <w:szCs w:val="28"/>
          <w:lang w:val="en-US"/>
        </w:rPr>
        <w:t>, Kim B</w:t>
      </w:r>
      <w:r>
        <w:rPr>
          <w:rFonts w:ascii="Times New Roman" w:hAnsi="Times New Roman"/>
          <w:sz w:val="28"/>
          <w:szCs w:val="28"/>
          <w:lang w:val="en-US"/>
        </w:rPr>
        <w:t>.</w:t>
      </w:r>
      <w:r w:rsidRPr="00276A64">
        <w:rPr>
          <w:rFonts w:ascii="Times New Roman" w:hAnsi="Times New Roman"/>
          <w:sz w:val="28"/>
          <w:szCs w:val="28"/>
          <w:lang w:val="en-US"/>
        </w:rPr>
        <w:t>R</w:t>
      </w:r>
      <w:r>
        <w:rPr>
          <w:rFonts w:ascii="Times New Roman" w:hAnsi="Times New Roman"/>
          <w:sz w:val="28"/>
          <w:szCs w:val="28"/>
          <w:lang w:val="en-US"/>
        </w:rPr>
        <w:t>.</w:t>
      </w:r>
      <w:r w:rsidRPr="00276A64">
        <w:rPr>
          <w:rFonts w:ascii="Times New Roman" w:hAnsi="Times New Roman"/>
          <w:sz w:val="28"/>
          <w:szCs w:val="28"/>
          <w:lang w:val="en-US"/>
        </w:rPr>
        <w:t>, Choi E</w:t>
      </w:r>
      <w:r>
        <w:rPr>
          <w:rFonts w:ascii="Times New Roman" w:hAnsi="Times New Roman"/>
          <w:sz w:val="28"/>
          <w:szCs w:val="28"/>
          <w:lang w:val="en-US"/>
        </w:rPr>
        <w:t>.</w:t>
      </w:r>
      <w:r w:rsidRPr="00276A64">
        <w:rPr>
          <w:rFonts w:ascii="Times New Roman" w:hAnsi="Times New Roman"/>
          <w:sz w:val="28"/>
          <w:szCs w:val="28"/>
          <w:lang w:val="en-US"/>
        </w:rPr>
        <w:t>H</w:t>
      </w:r>
      <w:r>
        <w:rPr>
          <w:rFonts w:ascii="Times New Roman" w:hAnsi="Times New Roman"/>
          <w:sz w:val="28"/>
          <w:szCs w:val="28"/>
          <w:lang w:val="en-US"/>
        </w:rPr>
        <w:t>.,</w:t>
      </w:r>
      <w:r w:rsidRPr="00276A64">
        <w:rPr>
          <w:rFonts w:ascii="Times New Roman" w:hAnsi="Times New Roman"/>
          <w:sz w:val="28"/>
          <w:szCs w:val="28"/>
          <w:lang w:val="en-US"/>
        </w:rPr>
        <w:t xml:space="preserve"> et al</w:t>
      </w:r>
      <w:r>
        <w:rPr>
          <w:rFonts w:ascii="Times New Roman" w:hAnsi="Times New Roman"/>
          <w:sz w:val="28"/>
          <w:szCs w:val="28"/>
          <w:lang w:val="en-US"/>
        </w:rPr>
        <w:t>.</w:t>
      </w:r>
      <w:r w:rsidRPr="00276A64">
        <w:rPr>
          <w:rFonts w:ascii="Times New Roman" w:hAnsi="Times New Roman"/>
          <w:sz w:val="28"/>
          <w:szCs w:val="28"/>
          <w:lang w:val="en-US"/>
        </w:rPr>
        <w:t xml:space="preserve"> Short-term and oncologic outcomes of laparoscopic and open complete mesocolic excision and central ligation</w:t>
      </w:r>
      <w:r w:rsidRPr="0060528F">
        <w:rPr>
          <w:rFonts w:ascii="Times New Roman" w:hAnsi="Times New Roman"/>
          <w:sz w:val="28"/>
          <w:szCs w:val="28"/>
          <w:lang w:val="en-US"/>
        </w:rPr>
        <w:t xml:space="preserve"> // </w:t>
      </w:r>
      <w:r w:rsidRPr="005050E8">
        <w:rPr>
          <w:rFonts w:ascii="Times New Roman" w:hAnsi="Times New Roman"/>
          <w:sz w:val="28"/>
          <w:szCs w:val="28"/>
          <w:lang w:val="en-US"/>
        </w:rPr>
        <w:t>International journal of surgery (London, England)</w:t>
      </w:r>
      <w:r w:rsidRPr="0060528F">
        <w:rPr>
          <w:rFonts w:ascii="Times New Roman" w:hAnsi="Times New Roman"/>
          <w:sz w:val="28"/>
          <w:szCs w:val="28"/>
          <w:lang w:val="en-US"/>
        </w:rPr>
        <w:t xml:space="preserve">. – </w:t>
      </w:r>
      <w:r w:rsidRPr="00276A64">
        <w:rPr>
          <w:rFonts w:ascii="Times New Roman" w:hAnsi="Times New Roman"/>
          <w:sz w:val="28"/>
          <w:szCs w:val="28"/>
          <w:lang w:val="en-US"/>
        </w:rPr>
        <w:t>2016</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 xml:space="preserve"> </w:t>
      </w:r>
      <w:r w:rsidRPr="00276A64">
        <w:rPr>
          <w:rFonts w:ascii="Times New Roman" w:hAnsi="Times New Roman"/>
          <w:sz w:val="28"/>
          <w:szCs w:val="28"/>
          <w:lang w:val="en-US"/>
        </w:rPr>
        <w:t>27</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276A64">
        <w:rPr>
          <w:rFonts w:ascii="Times New Roman" w:hAnsi="Times New Roman"/>
          <w:sz w:val="28"/>
          <w:szCs w:val="28"/>
          <w:lang w:val="en-US"/>
        </w:rPr>
        <w:t>151–157.</w:t>
      </w:r>
    </w:p>
    <w:p w14:paraId="26452293" w14:textId="77777777" w:rsidR="00BB318A" w:rsidRPr="00C954CB" w:rsidRDefault="00BB318A" w:rsidP="00BB318A">
      <w:pPr>
        <w:spacing w:after="0" w:line="240" w:lineRule="auto"/>
        <w:ind w:firstLine="567"/>
        <w:jc w:val="both"/>
        <w:rPr>
          <w:rFonts w:ascii="Times New Roman" w:hAnsi="Times New Roman"/>
          <w:sz w:val="28"/>
          <w:szCs w:val="28"/>
          <w:lang w:val="en-US"/>
        </w:rPr>
      </w:pPr>
      <w:r w:rsidRPr="00276A64">
        <w:rPr>
          <w:rFonts w:ascii="Times New Roman" w:hAnsi="Times New Roman"/>
          <w:sz w:val="28"/>
          <w:szCs w:val="28"/>
          <w:lang w:val="en-US"/>
        </w:rPr>
        <w:t>79 Wang Y</w:t>
      </w:r>
      <w:r>
        <w:rPr>
          <w:rFonts w:ascii="Times New Roman" w:hAnsi="Times New Roman"/>
          <w:sz w:val="28"/>
          <w:szCs w:val="28"/>
          <w:lang w:val="en-US"/>
        </w:rPr>
        <w:t>.</w:t>
      </w:r>
      <w:r w:rsidRPr="00276A64">
        <w:rPr>
          <w:rFonts w:ascii="Times New Roman" w:hAnsi="Times New Roman"/>
          <w:sz w:val="28"/>
          <w:szCs w:val="28"/>
          <w:lang w:val="en-US"/>
        </w:rPr>
        <w:t>, Zhang C</w:t>
      </w:r>
      <w:r>
        <w:rPr>
          <w:rFonts w:ascii="Times New Roman" w:hAnsi="Times New Roman"/>
          <w:sz w:val="28"/>
          <w:szCs w:val="28"/>
          <w:lang w:val="en-US"/>
        </w:rPr>
        <w:t>.</w:t>
      </w:r>
      <w:r w:rsidRPr="00276A64">
        <w:rPr>
          <w:rFonts w:ascii="Times New Roman" w:hAnsi="Times New Roman"/>
          <w:sz w:val="28"/>
          <w:szCs w:val="28"/>
          <w:lang w:val="en-US"/>
        </w:rPr>
        <w:t>, Zhang D</w:t>
      </w:r>
      <w:r>
        <w:rPr>
          <w:rFonts w:ascii="Times New Roman" w:hAnsi="Times New Roman"/>
          <w:sz w:val="28"/>
          <w:szCs w:val="28"/>
          <w:lang w:val="en-US"/>
        </w:rPr>
        <w:t>.,</w:t>
      </w:r>
      <w:r w:rsidRPr="00276A64">
        <w:rPr>
          <w:rFonts w:ascii="Times New Roman" w:hAnsi="Times New Roman"/>
          <w:sz w:val="28"/>
          <w:szCs w:val="28"/>
          <w:lang w:val="en-US"/>
        </w:rPr>
        <w:t xml:space="preserve"> et al: Clinical outcome of laparoscopic complete mesocolic excision in the treatment of right colon cancer</w:t>
      </w:r>
      <w:r w:rsidRPr="0060528F">
        <w:rPr>
          <w:rFonts w:ascii="Times New Roman" w:hAnsi="Times New Roman"/>
          <w:sz w:val="28"/>
          <w:szCs w:val="28"/>
          <w:lang w:val="en-US"/>
        </w:rPr>
        <w:t xml:space="preserve"> // </w:t>
      </w:r>
      <w:r w:rsidRPr="007F1FD7">
        <w:rPr>
          <w:rFonts w:ascii="Times New Roman" w:hAnsi="Times New Roman"/>
          <w:sz w:val="28"/>
          <w:szCs w:val="28"/>
          <w:lang w:val="en-US"/>
        </w:rPr>
        <w:t>World journal of surgical oncology</w:t>
      </w:r>
      <w:r w:rsidRPr="0060528F">
        <w:rPr>
          <w:rFonts w:ascii="Times New Roman" w:hAnsi="Times New Roman"/>
          <w:sz w:val="28"/>
          <w:szCs w:val="28"/>
          <w:lang w:val="en-US"/>
        </w:rPr>
        <w:t xml:space="preserve">. – </w:t>
      </w:r>
      <w:r w:rsidRPr="00276A64">
        <w:rPr>
          <w:rFonts w:ascii="Times New Roman" w:hAnsi="Times New Roman"/>
          <w:sz w:val="28"/>
          <w:szCs w:val="28"/>
          <w:lang w:val="en-US"/>
        </w:rPr>
        <w:t>2017</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 xml:space="preserve"> </w:t>
      </w:r>
      <w:r w:rsidRPr="00276A64">
        <w:rPr>
          <w:rFonts w:ascii="Times New Roman" w:hAnsi="Times New Roman"/>
          <w:sz w:val="28"/>
          <w:szCs w:val="28"/>
          <w:lang w:val="en-US"/>
        </w:rPr>
        <w:t>15</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276A64">
        <w:rPr>
          <w:rFonts w:ascii="Times New Roman" w:hAnsi="Times New Roman"/>
          <w:sz w:val="28"/>
          <w:szCs w:val="28"/>
          <w:lang w:val="en-US"/>
        </w:rPr>
        <w:t>174.</w:t>
      </w:r>
    </w:p>
    <w:p w14:paraId="454C22AA" w14:textId="77777777" w:rsidR="00BB318A" w:rsidRPr="00C954CB" w:rsidRDefault="00BB318A" w:rsidP="00BB318A">
      <w:pPr>
        <w:spacing w:after="0" w:line="240" w:lineRule="auto"/>
        <w:ind w:firstLine="567"/>
        <w:jc w:val="both"/>
        <w:rPr>
          <w:rFonts w:ascii="Times New Roman" w:hAnsi="Times New Roman"/>
          <w:sz w:val="28"/>
          <w:szCs w:val="28"/>
          <w:lang w:val="en-US"/>
        </w:rPr>
      </w:pPr>
      <w:r w:rsidRPr="007A4C66">
        <w:rPr>
          <w:rFonts w:ascii="Times New Roman" w:hAnsi="Times New Roman"/>
          <w:sz w:val="28"/>
          <w:szCs w:val="28"/>
          <w:lang w:val="en-US"/>
        </w:rPr>
        <w:lastRenderedPageBreak/>
        <w:t xml:space="preserve">80 </w:t>
      </w:r>
      <w:r w:rsidRPr="007A4C66">
        <w:rPr>
          <w:rFonts w:ascii="Times New Roman" w:hAnsi="Times New Roman"/>
          <w:sz w:val="28"/>
          <w:szCs w:val="28"/>
          <w:lang w:val="kk-KZ"/>
        </w:rPr>
        <w:t>Neuman H</w:t>
      </w:r>
      <w:r>
        <w:rPr>
          <w:rFonts w:ascii="Times New Roman" w:hAnsi="Times New Roman"/>
          <w:sz w:val="28"/>
          <w:szCs w:val="28"/>
          <w:lang w:val="en-US"/>
        </w:rPr>
        <w:t>.</w:t>
      </w:r>
      <w:r w:rsidRPr="007A4C66">
        <w:rPr>
          <w:rFonts w:ascii="Times New Roman" w:hAnsi="Times New Roman"/>
          <w:sz w:val="28"/>
          <w:szCs w:val="28"/>
          <w:lang w:val="kk-KZ"/>
        </w:rPr>
        <w:t>B</w:t>
      </w:r>
      <w:r>
        <w:rPr>
          <w:rFonts w:ascii="Times New Roman" w:hAnsi="Times New Roman"/>
          <w:sz w:val="28"/>
          <w:szCs w:val="28"/>
          <w:lang w:val="en-US"/>
        </w:rPr>
        <w:t>.</w:t>
      </w:r>
      <w:r w:rsidRPr="007A4C66">
        <w:rPr>
          <w:rFonts w:ascii="Times New Roman" w:hAnsi="Times New Roman"/>
          <w:sz w:val="28"/>
          <w:szCs w:val="28"/>
          <w:lang w:val="kk-KZ"/>
        </w:rPr>
        <w:t>, Weiss J</w:t>
      </w:r>
      <w:r>
        <w:rPr>
          <w:rFonts w:ascii="Times New Roman" w:hAnsi="Times New Roman"/>
          <w:sz w:val="28"/>
          <w:szCs w:val="28"/>
          <w:lang w:val="en-US"/>
        </w:rPr>
        <w:t>.</w:t>
      </w:r>
      <w:r w:rsidRPr="007A4C66">
        <w:rPr>
          <w:rFonts w:ascii="Times New Roman" w:hAnsi="Times New Roman"/>
          <w:sz w:val="28"/>
          <w:szCs w:val="28"/>
          <w:lang w:val="kk-KZ"/>
        </w:rPr>
        <w:t>M</w:t>
      </w:r>
      <w:r>
        <w:rPr>
          <w:rFonts w:ascii="Times New Roman" w:hAnsi="Times New Roman"/>
          <w:sz w:val="28"/>
          <w:szCs w:val="28"/>
          <w:lang w:val="en-US"/>
        </w:rPr>
        <w:t>.</w:t>
      </w:r>
      <w:r w:rsidRPr="007A4C66">
        <w:rPr>
          <w:rFonts w:ascii="Times New Roman" w:hAnsi="Times New Roman"/>
          <w:sz w:val="28"/>
          <w:szCs w:val="28"/>
          <w:lang w:val="kk-KZ"/>
        </w:rPr>
        <w:t>, Leverson G</w:t>
      </w:r>
      <w:r>
        <w:rPr>
          <w:rFonts w:ascii="Times New Roman" w:hAnsi="Times New Roman"/>
          <w:sz w:val="28"/>
          <w:szCs w:val="28"/>
          <w:lang w:val="en-US"/>
        </w:rPr>
        <w:t>.</w:t>
      </w:r>
      <w:r w:rsidRPr="007A4C66">
        <w:rPr>
          <w:rFonts w:ascii="Times New Roman" w:hAnsi="Times New Roman"/>
          <w:sz w:val="28"/>
          <w:szCs w:val="28"/>
          <w:lang w:val="kk-KZ"/>
        </w:rPr>
        <w:t>, et al</w:t>
      </w:r>
      <w:r>
        <w:rPr>
          <w:rFonts w:ascii="Times New Roman" w:hAnsi="Times New Roman"/>
          <w:sz w:val="28"/>
          <w:szCs w:val="28"/>
          <w:lang w:val="en-US"/>
        </w:rPr>
        <w:t>.</w:t>
      </w:r>
      <w:r w:rsidRPr="007A4C66">
        <w:rPr>
          <w:rFonts w:ascii="Times New Roman" w:hAnsi="Times New Roman"/>
          <w:sz w:val="28"/>
          <w:szCs w:val="28"/>
          <w:lang w:val="kk-KZ"/>
        </w:rPr>
        <w:t xml:space="preserve"> Predictors of short-term postoperative survival after elective colectomy in colon cancer patients ≥ 80 years of age</w:t>
      </w:r>
      <w:r w:rsidRPr="0060528F">
        <w:rPr>
          <w:rFonts w:ascii="Times New Roman" w:hAnsi="Times New Roman"/>
          <w:sz w:val="28"/>
          <w:szCs w:val="28"/>
          <w:lang w:val="en-US"/>
        </w:rPr>
        <w:t xml:space="preserve"> // </w:t>
      </w:r>
      <w:r w:rsidRPr="007F1FD7">
        <w:rPr>
          <w:rFonts w:ascii="Times New Roman" w:hAnsi="Times New Roman"/>
          <w:sz w:val="28"/>
          <w:szCs w:val="28"/>
          <w:lang w:val="kk-KZ"/>
        </w:rPr>
        <w:t>Annals of surgical oncology</w:t>
      </w:r>
      <w:r w:rsidRPr="0060528F">
        <w:rPr>
          <w:rFonts w:ascii="Times New Roman" w:hAnsi="Times New Roman"/>
          <w:sz w:val="28"/>
          <w:szCs w:val="28"/>
          <w:lang w:val="en-US"/>
        </w:rPr>
        <w:t xml:space="preserve">. – </w:t>
      </w:r>
      <w:r w:rsidRPr="007A4C66">
        <w:rPr>
          <w:rFonts w:ascii="Times New Roman" w:hAnsi="Times New Roman"/>
          <w:sz w:val="28"/>
          <w:szCs w:val="28"/>
          <w:lang w:val="kk-KZ"/>
        </w:rPr>
        <w:t>2013</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 xml:space="preserve"> </w:t>
      </w:r>
      <w:r w:rsidRPr="007A4C66">
        <w:rPr>
          <w:rFonts w:ascii="Times New Roman" w:hAnsi="Times New Roman"/>
          <w:sz w:val="28"/>
          <w:szCs w:val="28"/>
          <w:lang w:val="kk-KZ"/>
        </w:rPr>
        <w:t>20</w:t>
      </w:r>
      <w:r w:rsidRPr="0060528F">
        <w:rPr>
          <w:rFonts w:ascii="Times New Roman" w:hAnsi="Times New Roman"/>
          <w:sz w:val="28"/>
          <w:szCs w:val="28"/>
          <w:lang w:val="en-US"/>
        </w:rPr>
        <w:t>, №</w:t>
      </w:r>
      <w:r>
        <w:rPr>
          <w:rFonts w:ascii="Times New Roman" w:hAnsi="Times New Roman"/>
          <w:sz w:val="28"/>
          <w:szCs w:val="28"/>
          <w:lang w:val="en-US"/>
        </w:rPr>
        <w:t xml:space="preserve"> </w:t>
      </w:r>
      <w:r w:rsidRPr="007A4C66">
        <w:rPr>
          <w:rFonts w:ascii="Times New Roman" w:hAnsi="Times New Roman"/>
          <w:sz w:val="28"/>
          <w:szCs w:val="28"/>
          <w:lang w:val="kk-KZ"/>
        </w:rPr>
        <w:t>5</w:t>
      </w:r>
      <w:r>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7A4C66">
        <w:rPr>
          <w:rFonts w:ascii="Times New Roman" w:hAnsi="Times New Roman"/>
          <w:sz w:val="28"/>
          <w:szCs w:val="28"/>
          <w:lang w:val="kk-KZ"/>
        </w:rPr>
        <w:t>1427–1435</w:t>
      </w:r>
    </w:p>
    <w:p w14:paraId="14DAB59E" w14:textId="77777777" w:rsidR="00BB318A" w:rsidRPr="00C954CB" w:rsidRDefault="00BB318A" w:rsidP="00BB318A">
      <w:pPr>
        <w:spacing w:after="0" w:line="240" w:lineRule="auto"/>
        <w:ind w:firstLine="567"/>
        <w:jc w:val="both"/>
        <w:rPr>
          <w:rFonts w:ascii="Times New Roman" w:hAnsi="Times New Roman"/>
          <w:sz w:val="28"/>
          <w:szCs w:val="28"/>
          <w:lang w:val="en-US"/>
        </w:rPr>
      </w:pPr>
      <w:r w:rsidRPr="00276A64">
        <w:rPr>
          <w:rFonts w:ascii="Times New Roman" w:hAnsi="Times New Roman"/>
          <w:sz w:val="28"/>
          <w:szCs w:val="28"/>
          <w:lang w:val="en-US"/>
        </w:rPr>
        <w:t>8</w:t>
      </w:r>
      <w:r w:rsidRPr="007A4C66">
        <w:rPr>
          <w:rFonts w:ascii="Times New Roman" w:hAnsi="Times New Roman"/>
          <w:sz w:val="28"/>
          <w:szCs w:val="28"/>
          <w:lang w:val="en-US"/>
        </w:rPr>
        <w:t>1</w:t>
      </w:r>
      <w:r w:rsidRPr="00276A64">
        <w:rPr>
          <w:rFonts w:ascii="Times New Roman" w:hAnsi="Times New Roman"/>
          <w:sz w:val="28"/>
          <w:szCs w:val="28"/>
          <w:lang w:val="en-US"/>
        </w:rPr>
        <w:t xml:space="preserve"> Breugom A.J., van Dongen D.T., Bastiaannet E., </w:t>
      </w:r>
      <w:r>
        <w:rPr>
          <w:rFonts w:ascii="Times New Roman" w:hAnsi="Times New Roman"/>
          <w:sz w:val="28"/>
          <w:szCs w:val="28"/>
          <w:lang w:val="en-US"/>
        </w:rPr>
        <w:t>et al</w:t>
      </w:r>
      <w:r w:rsidRPr="00276A64">
        <w:rPr>
          <w:rFonts w:ascii="Times New Roman" w:hAnsi="Times New Roman"/>
          <w:sz w:val="28"/>
          <w:szCs w:val="28"/>
          <w:lang w:val="en-US"/>
        </w:rPr>
        <w:t>. Association Between the Most Frequent Complications After Surgery for Stage I-III Colon Cancer and Short-Term Survival, Long-Term Survival, and Recurrences</w:t>
      </w:r>
      <w:r w:rsidRPr="0060528F">
        <w:rPr>
          <w:rFonts w:ascii="Times New Roman" w:hAnsi="Times New Roman"/>
          <w:sz w:val="28"/>
          <w:szCs w:val="28"/>
          <w:lang w:val="en-US"/>
        </w:rPr>
        <w:t xml:space="preserve"> // </w:t>
      </w:r>
      <w:r w:rsidRPr="00276A64">
        <w:rPr>
          <w:rFonts w:ascii="Times New Roman" w:hAnsi="Times New Roman"/>
          <w:sz w:val="28"/>
          <w:szCs w:val="28"/>
          <w:lang w:val="en-US"/>
        </w:rPr>
        <w:t>Annals of surgical oncology</w:t>
      </w:r>
      <w:r w:rsidRPr="0060528F">
        <w:rPr>
          <w:rFonts w:ascii="Times New Roman" w:hAnsi="Times New Roman"/>
          <w:sz w:val="28"/>
          <w:szCs w:val="28"/>
          <w:lang w:val="en-US"/>
        </w:rPr>
        <w:t xml:space="preserve">. – </w:t>
      </w:r>
      <w:r w:rsidRPr="00276A64">
        <w:rPr>
          <w:rFonts w:ascii="Times New Roman" w:hAnsi="Times New Roman"/>
          <w:sz w:val="28"/>
          <w:szCs w:val="28"/>
          <w:lang w:val="en-US"/>
        </w:rPr>
        <w:t>2016.</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 xml:space="preserve"> </w:t>
      </w:r>
      <w:r w:rsidRPr="00276A64">
        <w:rPr>
          <w:rFonts w:ascii="Times New Roman" w:hAnsi="Times New Roman"/>
          <w:sz w:val="28"/>
          <w:szCs w:val="28"/>
          <w:lang w:val="en-US"/>
        </w:rPr>
        <w:t>23</w:t>
      </w:r>
      <w:r w:rsidRPr="0060528F">
        <w:rPr>
          <w:rFonts w:ascii="Times New Roman" w:hAnsi="Times New Roman"/>
          <w:sz w:val="28"/>
          <w:szCs w:val="28"/>
          <w:lang w:val="en-US"/>
        </w:rPr>
        <w:t>, №</w:t>
      </w:r>
      <w:r>
        <w:rPr>
          <w:rFonts w:ascii="Times New Roman" w:hAnsi="Times New Roman"/>
          <w:sz w:val="28"/>
          <w:szCs w:val="28"/>
          <w:lang w:val="en-US"/>
        </w:rPr>
        <w:t xml:space="preserve"> </w:t>
      </w:r>
      <w:r w:rsidRPr="00276A64">
        <w:rPr>
          <w:rFonts w:ascii="Times New Roman" w:hAnsi="Times New Roman"/>
          <w:sz w:val="28"/>
          <w:szCs w:val="28"/>
          <w:lang w:val="en-US"/>
        </w:rPr>
        <w:t>9</w:t>
      </w:r>
      <w:r>
        <w:rPr>
          <w:rFonts w:ascii="Times New Roman" w:hAnsi="Times New Roman"/>
          <w:sz w:val="28"/>
          <w:szCs w:val="28"/>
          <w:lang w:val="en-US"/>
        </w:rPr>
        <w:t>.</w:t>
      </w:r>
      <w:r w:rsidRPr="00276A64">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w:t>
      </w:r>
      <w:r w:rsidRPr="00276A64">
        <w:rPr>
          <w:rFonts w:ascii="Times New Roman" w:hAnsi="Times New Roman"/>
          <w:sz w:val="28"/>
          <w:szCs w:val="28"/>
          <w:lang w:val="en-US"/>
        </w:rPr>
        <w:t xml:space="preserve"> 2858–2865.</w:t>
      </w:r>
    </w:p>
    <w:p w14:paraId="25762A6B" w14:textId="77777777" w:rsidR="00BB318A" w:rsidRPr="00C954CB" w:rsidRDefault="00BB318A" w:rsidP="00BB318A">
      <w:pPr>
        <w:spacing w:after="0" w:line="240" w:lineRule="auto"/>
        <w:ind w:firstLine="567"/>
        <w:jc w:val="both"/>
        <w:rPr>
          <w:rFonts w:ascii="Times New Roman" w:hAnsi="Times New Roman"/>
          <w:sz w:val="28"/>
          <w:szCs w:val="28"/>
          <w:lang w:val="en-US"/>
        </w:rPr>
      </w:pPr>
      <w:r w:rsidRPr="00276A64">
        <w:rPr>
          <w:rFonts w:ascii="Times New Roman" w:hAnsi="Times New Roman"/>
          <w:sz w:val="28"/>
          <w:szCs w:val="28"/>
          <w:lang w:val="en-US"/>
        </w:rPr>
        <w:t>8</w:t>
      </w:r>
      <w:r w:rsidRPr="007A4C66">
        <w:rPr>
          <w:rFonts w:ascii="Times New Roman" w:hAnsi="Times New Roman"/>
          <w:sz w:val="28"/>
          <w:szCs w:val="28"/>
          <w:lang w:val="en-US"/>
        </w:rPr>
        <w:t>2</w:t>
      </w:r>
      <w:r w:rsidRPr="00276A64">
        <w:rPr>
          <w:rFonts w:ascii="Times New Roman" w:hAnsi="Times New Roman"/>
          <w:sz w:val="28"/>
          <w:szCs w:val="28"/>
          <w:lang w:val="en-US"/>
        </w:rPr>
        <w:t xml:space="preserve"> Odermatt M., Miskovic D., Flashman K., </w:t>
      </w:r>
      <w:r>
        <w:rPr>
          <w:rFonts w:ascii="Times New Roman" w:hAnsi="Times New Roman"/>
          <w:sz w:val="28"/>
          <w:szCs w:val="28"/>
          <w:lang w:val="en-US"/>
        </w:rPr>
        <w:t>et al</w:t>
      </w:r>
      <w:r w:rsidRPr="00276A64">
        <w:rPr>
          <w:rFonts w:ascii="Times New Roman" w:hAnsi="Times New Roman"/>
          <w:sz w:val="28"/>
          <w:szCs w:val="28"/>
          <w:lang w:val="en-US"/>
        </w:rPr>
        <w:t>. Major postoperative complications following elective resection for colorectal cancer decrease long-term survival but not the time to recurrence</w:t>
      </w:r>
      <w:r w:rsidRPr="0060528F">
        <w:rPr>
          <w:rFonts w:ascii="Times New Roman" w:hAnsi="Times New Roman"/>
          <w:sz w:val="28"/>
          <w:szCs w:val="28"/>
          <w:lang w:val="en-US"/>
        </w:rPr>
        <w:t xml:space="preserve"> // </w:t>
      </w:r>
      <w:r w:rsidRPr="00276A64">
        <w:rPr>
          <w:rFonts w:ascii="Times New Roman" w:hAnsi="Times New Roman"/>
          <w:sz w:val="28"/>
          <w:szCs w:val="28"/>
          <w:lang w:val="en-US"/>
        </w:rPr>
        <w:t>Colorectal Disease</w:t>
      </w:r>
      <w:r w:rsidRPr="0060528F">
        <w:rPr>
          <w:rFonts w:ascii="Times New Roman" w:hAnsi="Times New Roman"/>
          <w:sz w:val="28"/>
          <w:szCs w:val="28"/>
          <w:lang w:val="en-US"/>
        </w:rPr>
        <w:t xml:space="preserve">. – </w:t>
      </w:r>
      <w:r w:rsidRPr="00276A64">
        <w:rPr>
          <w:rFonts w:ascii="Times New Roman" w:hAnsi="Times New Roman"/>
          <w:sz w:val="28"/>
          <w:szCs w:val="28"/>
          <w:lang w:val="en-US"/>
        </w:rPr>
        <w:t>2015.</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w:t>
      </w:r>
      <w:r w:rsidRPr="00276A64">
        <w:rPr>
          <w:rFonts w:ascii="Times New Roman" w:hAnsi="Times New Roman"/>
          <w:sz w:val="28"/>
          <w:szCs w:val="28"/>
          <w:lang w:val="en-US"/>
        </w:rPr>
        <w:t xml:space="preserve"> 17</w:t>
      </w:r>
      <w:r w:rsidRPr="0060528F">
        <w:rPr>
          <w:rFonts w:ascii="Times New Roman" w:hAnsi="Times New Roman"/>
          <w:sz w:val="28"/>
          <w:szCs w:val="28"/>
          <w:lang w:val="en-US"/>
        </w:rPr>
        <w:t>, №</w:t>
      </w:r>
      <w:r>
        <w:rPr>
          <w:rFonts w:ascii="Times New Roman" w:hAnsi="Times New Roman"/>
          <w:sz w:val="28"/>
          <w:szCs w:val="28"/>
          <w:lang w:val="en-US"/>
        </w:rPr>
        <w:t xml:space="preserve"> </w:t>
      </w:r>
      <w:r w:rsidRPr="00276A64">
        <w:rPr>
          <w:rFonts w:ascii="Times New Roman" w:hAnsi="Times New Roman"/>
          <w:sz w:val="28"/>
          <w:szCs w:val="28"/>
          <w:lang w:val="en-US"/>
        </w:rPr>
        <w:t>2</w:t>
      </w:r>
      <w:r>
        <w:rPr>
          <w:rFonts w:ascii="Times New Roman" w:hAnsi="Times New Roman"/>
          <w:sz w:val="28"/>
          <w:szCs w:val="28"/>
          <w:lang w:val="en-US"/>
        </w:rPr>
        <w:t>.</w:t>
      </w:r>
      <w:r w:rsidRPr="00276A64">
        <w:rPr>
          <w:rFonts w:ascii="Times New Roman" w:hAnsi="Times New Roman"/>
          <w:sz w:val="28"/>
          <w:szCs w:val="28"/>
          <w:lang w:val="en-US"/>
        </w:rPr>
        <w:t xml:space="preserve"> </w:t>
      </w:r>
      <w:r w:rsidRPr="0060528F">
        <w:rPr>
          <w:rFonts w:ascii="Times New Roman" w:hAnsi="Times New Roman"/>
          <w:sz w:val="28"/>
          <w:szCs w:val="28"/>
          <w:lang w:val="en-US"/>
        </w:rPr>
        <w:t>– P</w:t>
      </w:r>
      <w:r>
        <w:rPr>
          <w:rFonts w:ascii="Times New Roman" w:hAnsi="Times New Roman"/>
          <w:sz w:val="28"/>
          <w:szCs w:val="28"/>
          <w:lang w:val="en-US"/>
        </w:rPr>
        <w:t xml:space="preserve">. </w:t>
      </w:r>
      <w:r w:rsidRPr="00276A64">
        <w:rPr>
          <w:rFonts w:ascii="Times New Roman" w:hAnsi="Times New Roman"/>
          <w:sz w:val="28"/>
          <w:szCs w:val="28"/>
          <w:lang w:val="en-US"/>
        </w:rPr>
        <w:t>141–149.</w:t>
      </w:r>
      <w:r w:rsidRPr="00C954CB">
        <w:rPr>
          <w:rFonts w:ascii="Times New Roman" w:hAnsi="Times New Roman"/>
          <w:sz w:val="28"/>
          <w:szCs w:val="28"/>
          <w:lang w:val="en-US"/>
        </w:rPr>
        <w:t xml:space="preserve"> </w:t>
      </w:r>
    </w:p>
    <w:p w14:paraId="4146114E" w14:textId="77777777" w:rsidR="00BB318A" w:rsidRDefault="00BB318A" w:rsidP="00BB318A">
      <w:pPr>
        <w:spacing w:after="0" w:line="240" w:lineRule="auto"/>
        <w:ind w:firstLine="567"/>
        <w:jc w:val="both"/>
        <w:rPr>
          <w:rFonts w:ascii="Times New Roman" w:hAnsi="Times New Roman"/>
          <w:sz w:val="28"/>
          <w:szCs w:val="28"/>
          <w:lang w:val="en-US"/>
        </w:rPr>
      </w:pPr>
      <w:r w:rsidRPr="007A4C66">
        <w:rPr>
          <w:rFonts w:ascii="Times New Roman" w:hAnsi="Times New Roman"/>
          <w:sz w:val="28"/>
          <w:szCs w:val="28"/>
          <w:lang w:val="en-US"/>
        </w:rPr>
        <w:t xml:space="preserve">83 </w:t>
      </w:r>
      <w:r w:rsidRPr="00531F26">
        <w:rPr>
          <w:rFonts w:ascii="Times New Roman" w:hAnsi="Times New Roman"/>
          <w:sz w:val="28"/>
          <w:szCs w:val="28"/>
          <w:lang w:val="en-US"/>
        </w:rPr>
        <w:t>Gooiker G.A., Dekker J.W., Bastiaannet E.,</w:t>
      </w:r>
      <w:r w:rsidRPr="0060528F">
        <w:rPr>
          <w:rFonts w:ascii="Times New Roman" w:hAnsi="Times New Roman"/>
          <w:sz w:val="28"/>
          <w:szCs w:val="28"/>
          <w:lang w:val="en-US"/>
        </w:rPr>
        <w:t xml:space="preserve"> et al. Risk factors for excess mortality in the first year after curative surgery for colorectal cancer // </w:t>
      </w:r>
      <w:r w:rsidRPr="007F1FD7">
        <w:rPr>
          <w:rFonts w:ascii="Times New Roman" w:hAnsi="Times New Roman"/>
          <w:sz w:val="28"/>
          <w:szCs w:val="28"/>
          <w:lang w:val="en-US"/>
        </w:rPr>
        <w:t>Annals of surgical oncology</w:t>
      </w:r>
      <w:r w:rsidRPr="0060528F">
        <w:rPr>
          <w:rFonts w:ascii="Times New Roman" w:hAnsi="Times New Roman"/>
          <w:sz w:val="28"/>
          <w:szCs w:val="28"/>
          <w:lang w:val="en-US"/>
        </w:rPr>
        <w:t>. – 2012. – Vol. 19, №</w:t>
      </w:r>
      <w:r>
        <w:rPr>
          <w:rFonts w:ascii="Times New Roman" w:hAnsi="Times New Roman"/>
          <w:sz w:val="28"/>
          <w:szCs w:val="28"/>
          <w:lang w:val="en-US"/>
        </w:rPr>
        <w:t xml:space="preserve"> </w:t>
      </w:r>
      <w:r w:rsidRPr="0060528F">
        <w:rPr>
          <w:rFonts w:ascii="Times New Roman" w:hAnsi="Times New Roman"/>
          <w:sz w:val="28"/>
          <w:szCs w:val="28"/>
          <w:lang w:val="en-US"/>
        </w:rPr>
        <w:t>8. –</w:t>
      </w:r>
      <w:r>
        <w:rPr>
          <w:rFonts w:ascii="Times New Roman" w:hAnsi="Times New Roman"/>
          <w:sz w:val="28"/>
          <w:szCs w:val="28"/>
          <w:lang w:val="en-US"/>
        </w:rPr>
        <w:t xml:space="preserve"> </w:t>
      </w:r>
      <w:r w:rsidRPr="0060528F">
        <w:rPr>
          <w:rFonts w:ascii="Times New Roman" w:hAnsi="Times New Roman"/>
          <w:sz w:val="28"/>
          <w:szCs w:val="28"/>
          <w:lang w:val="en-US"/>
        </w:rPr>
        <w:t>P. 2428-2434.</w:t>
      </w:r>
    </w:p>
    <w:p w14:paraId="3812AD49" w14:textId="77777777" w:rsidR="00BB318A" w:rsidRDefault="00BB318A" w:rsidP="00BB318A">
      <w:pPr>
        <w:spacing w:after="0" w:line="240" w:lineRule="auto"/>
        <w:ind w:firstLine="567"/>
        <w:jc w:val="both"/>
        <w:rPr>
          <w:rFonts w:ascii="Times New Roman" w:hAnsi="Times New Roman"/>
          <w:sz w:val="28"/>
          <w:szCs w:val="28"/>
          <w:lang w:val="en-US"/>
        </w:rPr>
      </w:pPr>
      <w:r w:rsidRPr="007A4C66">
        <w:rPr>
          <w:rFonts w:ascii="Times New Roman" w:hAnsi="Times New Roman"/>
          <w:sz w:val="28"/>
          <w:szCs w:val="28"/>
          <w:lang w:val="en-US"/>
        </w:rPr>
        <w:t xml:space="preserve">84 </w:t>
      </w:r>
      <w:r w:rsidRPr="004A722F">
        <w:rPr>
          <w:rFonts w:ascii="Times New Roman" w:hAnsi="Times New Roman"/>
          <w:sz w:val="28"/>
          <w:szCs w:val="28"/>
          <w:lang w:val="en-US"/>
        </w:rPr>
        <w:t xml:space="preserve">Greenblatt D.Y., Weber S.M., O'Connor E.S., </w:t>
      </w:r>
      <w:r>
        <w:rPr>
          <w:rFonts w:ascii="Times New Roman" w:hAnsi="Times New Roman"/>
          <w:sz w:val="28"/>
          <w:szCs w:val="28"/>
          <w:lang w:val="en-US"/>
        </w:rPr>
        <w:t>et al</w:t>
      </w:r>
      <w:r w:rsidRPr="004A722F">
        <w:rPr>
          <w:rFonts w:ascii="Times New Roman" w:hAnsi="Times New Roman"/>
          <w:sz w:val="28"/>
          <w:szCs w:val="28"/>
          <w:lang w:val="en-US"/>
        </w:rPr>
        <w:t>. Readmission after colectomy for cancer predicts one-year mortality</w:t>
      </w:r>
      <w:r w:rsidRPr="0060528F">
        <w:rPr>
          <w:rFonts w:ascii="Times New Roman" w:hAnsi="Times New Roman"/>
          <w:sz w:val="28"/>
          <w:szCs w:val="28"/>
          <w:lang w:val="en-US"/>
        </w:rPr>
        <w:t xml:space="preserve"> // </w:t>
      </w:r>
      <w:r w:rsidRPr="004A722F">
        <w:rPr>
          <w:rFonts w:ascii="Times New Roman" w:hAnsi="Times New Roman"/>
          <w:sz w:val="28"/>
          <w:szCs w:val="28"/>
          <w:lang w:val="en-US"/>
        </w:rPr>
        <w:t>Annals of surgery</w:t>
      </w:r>
      <w:r w:rsidRPr="0060528F">
        <w:rPr>
          <w:rFonts w:ascii="Times New Roman" w:hAnsi="Times New Roman"/>
          <w:sz w:val="28"/>
          <w:szCs w:val="28"/>
          <w:lang w:val="en-US"/>
        </w:rPr>
        <w:t xml:space="preserve">. – </w:t>
      </w:r>
      <w:r w:rsidRPr="004A722F">
        <w:rPr>
          <w:rFonts w:ascii="Times New Roman" w:hAnsi="Times New Roman"/>
          <w:sz w:val="28"/>
          <w:szCs w:val="28"/>
          <w:lang w:val="en-US"/>
        </w:rPr>
        <w:t xml:space="preserve">2010. </w:t>
      </w:r>
      <w:r w:rsidRPr="0060528F">
        <w:rPr>
          <w:rFonts w:ascii="Times New Roman" w:hAnsi="Times New Roman"/>
          <w:sz w:val="28"/>
          <w:szCs w:val="28"/>
          <w:lang w:val="en-US"/>
        </w:rPr>
        <w:t>– Vol.</w:t>
      </w:r>
      <w:r w:rsidRPr="00713F2E">
        <w:rPr>
          <w:rFonts w:ascii="Times New Roman" w:hAnsi="Times New Roman"/>
          <w:sz w:val="28"/>
          <w:szCs w:val="28"/>
          <w:lang w:val="en-US"/>
        </w:rPr>
        <w:t xml:space="preserve"> </w:t>
      </w:r>
      <w:r w:rsidRPr="0060528F">
        <w:rPr>
          <w:rFonts w:ascii="Times New Roman" w:hAnsi="Times New Roman"/>
          <w:sz w:val="28"/>
          <w:szCs w:val="28"/>
          <w:lang w:val="en-US"/>
        </w:rPr>
        <w:t> </w:t>
      </w:r>
      <w:r w:rsidRPr="004A722F">
        <w:rPr>
          <w:rFonts w:ascii="Times New Roman" w:hAnsi="Times New Roman"/>
          <w:sz w:val="28"/>
          <w:szCs w:val="28"/>
          <w:lang w:val="en-US"/>
        </w:rPr>
        <w:t>251</w:t>
      </w:r>
      <w:r w:rsidRPr="0060528F">
        <w:rPr>
          <w:rFonts w:ascii="Times New Roman" w:hAnsi="Times New Roman"/>
          <w:sz w:val="28"/>
          <w:szCs w:val="28"/>
          <w:lang w:val="en-US"/>
        </w:rPr>
        <w:t>, №</w:t>
      </w:r>
      <w:r>
        <w:rPr>
          <w:rFonts w:ascii="Times New Roman" w:hAnsi="Times New Roman"/>
          <w:sz w:val="28"/>
          <w:szCs w:val="28"/>
          <w:lang w:val="en-US"/>
        </w:rPr>
        <w:t xml:space="preserve"> </w:t>
      </w:r>
      <w:r w:rsidRPr="004A722F">
        <w:rPr>
          <w:rFonts w:ascii="Times New Roman" w:hAnsi="Times New Roman"/>
          <w:sz w:val="28"/>
          <w:szCs w:val="28"/>
          <w:lang w:val="en-US"/>
        </w:rPr>
        <w:t>4</w:t>
      </w:r>
      <w:r>
        <w:rPr>
          <w:rFonts w:ascii="Times New Roman" w:hAnsi="Times New Roman"/>
          <w:sz w:val="28"/>
          <w:szCs w:val="28"/>
          <w:lang w:val="en-US"/>
        </w:rPr>
        <w:t>.</w:t>
      </w:r>
      <w:r w:rsidRPr="004A722F">
        <w:rPr>
          <w:rFonts w:ascii="Times New Roman" w:hAnsi="Times New Roman"/>
          <w:sz w:val="28"/>
          <w:szCs w:val="28"/>
          <w:lang w:val="en-US"/>
        </w:rPr>
        <w:t xml:space="preserve"> </w:t>
      </w:r>
      <w:r w:rsidRPr="0060528F">
        <w:rPr>
          <w:rFonts w:ascii="Times New Roman" w:hAnsi="Times New Roman"/>
          <w:sz w:val="28"/>
          <w:szCs w:val="28"/>
          <w:lang w:val="en-US"/>
        </w:rPr>
        <w:t>–</w:t>
      </w:r>
      <w:r>
        <w:rPr>
          <w:rFonts w:ascii="Times New Roman" w:hAnsi="Times New Roman"/>
          <w:sz w:val="28"/>
          <w:szCs w:val="28"/>
          <w:lang w:val="en-US"/>
        </w:rPr>
        <w:t xml:space="preserve"> </w:t>
      </w:r>
      <w:r w:rsidRPr="0060528F">
        <w:rPr>
          <w:rFonts w:ascii="Times New Roman" w:hAnsi="Times New Roman"/>
          <w:sz w:val="28"/>
          <w:szCs w:val="28"/>
          <w:lang w:val="en-US"/>
        </w:rPr>
        <w:t>P.</w:t>
      </w:r>
      <w:r>
        <w:rPr>
          <w:rFonts w:ascii="Times New Roman" w:hAnsi="Times New Roman"/>
          <w:sz w:val="28"/>
          <w:szCs w:val="28"/>
          <w:lang w:val="en-US"/>
        </w:rPr>
        <w:t xml:space="preserve"> </w:t>
      </w:r>
      <w:r w:rsidRPr="004A722F">
        <w:rPr>
          <w:rFonts w:ascii="Times New Roman" w:hAnsi="Times New Roman"/>
          <w:sz w:val="28"/>
          <w:szCs w:val="28"/>
          <w:lang w:val="en-US"/>
        </w:rPr>
        <w:t>659–669.</w:t>
      </w:r>
    </w:p>
    <w:p w14:paraId="3F8E9C17" w14:textId="77777777" w:rsidR="00BB318A" w:rsidRPr="00C954CB" w:rsidRDefault="00BB318A" w:rsidP="00BB318A">
      <w:pPr>
        <w:spacing w:after="0" w:line="240" w:lineRule="auto"/>
        <w:ind w:firstLine="567"/>
        <w:jc w:val="both"/>
        <w:rPr>
          <w:rFonts w:ascii="Times New Roman" w:hAnsi="Times New Roman"/>
          <w:sz w:val="28"/>
          <w:szCs w:val="28"/>
          <w:lang w:val="en-US"/>
        </w:rPr>
      </w:pPr>
      <w:r w:rsidRPr="005E7AA6">
        <w:rPr>
          <w:rFonts w:ascii="Times New Roman" w:hAnsi="Times New Roman"/>
          <w:sz w:val="28"/>
          <w:szCs w:val="28"/>
          <w:lang w:val="en-US"/>
        </w:rPr>
        <w:t xml:space="preserve">85 Niemeläinen S., Huhtala H., Ehrlich A., </w:t>
      </w:r>
      <w:r>
        <w:rPr>
          <w:rFonts w:ascii="Times New Roman" w:hAnsi="Times New Roman"/>
          <w:sz w:val="28"/>
          <w:szCs w:val="28"/>
          <w:lang w:val="en-US"/>
        </w:rPr>
        <w:t>et al</w:t>
      </w:r>
      <w:r w:rsidRPr="005E7AA6">
        <w:rPr>
          <w:rFonts w:ascii="Times New Roman" w:hAnsi="Times New Roman"/>
          <w:sz w:val="28"/>
          <w:szCs w:val="28"/>
          <w:lang w:val="en-US"/>
        </w:rPr>
        <w:t>. Risk factors of short-term survival in the aged in elective colon cancer surgery: a population-based study</w:t>
      </w:r>
      <w:r w:rsidRPr="0060528F">
        <w:rPr>
          <w:rFonts w:ascii="Times New Roman" w:hAnsi="Times New Roman"/>
          <w:sz w:val="28"/>
          <w:szCs w:val="28"/>
          <w:lang w:val="en-US"/>
        </w:rPr>
        <w:t xml:space="preserve"> // </w:t>
      </w:r>
      <w:r w:rsidRPr="00C954CB">
        <w:rPr>
          <w:rFonts w:ascii="Times New Roman" w:hAnsi="Times New Roman"/>
          <w:sz w:val="28"/>
          <w:szCs w:val="28"/>
          <w:lang w:val="en-US"/>
        </w:rPr>
        <w:t>International journal of colorectal disease</w:t>
      </w:r>
      <w:r w:rsidRPr="0060528F">
        <w:rPr>
          <w:rFonts w:ascii="Times New Roman" w:hAnsi="Times New Roman"/>
          <w:sz w:val="28"/>
          <w:szCs w:val="28"/>
          <w:lang w:val="en-US"/>
        </w:rPr>
        <w:t xml:space="preserve">. – </w:t>
      </w:r>
      <w:r w:rsidRPr="005E7AA6">
        <w:rPr>
          <w:rFonts w:ascii="Times New Roman" w:hAnsi="Times New Roman"/>
          <w:sz w:val="28"/>
          <w:szCs w:val="28"/>
          <w:lang w:val="en-US"/>
        </w:rPr>
        <w:t>2020.</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w:t>
      </w:r>
      <w:r w:rsidRPr="00276A64">
        <w:rPr>
          <w:rFonts w:ascii="Times New Roman" w:hAnsi="Times New Roman"/>
          <w:sz w:val="28"/>
          <w:szCs w:val="28"/>
          <w:lang w:val="en-US"/>
        </w:rPr>
        <w:t xml:space="preserve"> </w:t>
      </w:r>
      <w:r w:rsidRPr="00C954CB">
        <w:rPr>
          <w:rFonts w:ascii="Times New Roman" w:hAnsi="Times New Roman"/>
          <w:sz w:val="28"/>
          <w:szCs w:val="28"/>
          <w:lang w:val="en-US"/>
        </w:rPr>
        <w:t>35</w:t>
      </w:r>
      <w:r w:rsidRPr="0060528F">
        <w:rPr>
          <w:rFonts w:ascii="Times New Roman" w:hAnsi="Times New Roman"/>
          <w:sz w:val="28"/>
          <w:szCs w:val="28"/>
          <w:lang w:val="en-US"/>
        </w:rPr>
        <w:t>, №</w:t>
      </w:r>
      <w:r>
        <w:rPr>
          <w:rFonts w:ascii="Times New Roman" w:hAnsi="Times New Roman"/>
          <w:sz w:val="28"/>
          <w:szCs w:val="28"/>
          <w:lang w:val="en-US"/>
        </w:rPr>
        <w:t xml:space="preserve"> </w:t>
      </w:r>
      <w:r w:rsidRPr="00C954CB">
        <w:rPr>
          <w:rFonts w:ascii="Times New Roman" w:hAnsi="Times New Roman"/>
          <w:sz w:val="28"/>
          <w:szCs w:val="28"/>
          <w:lang w:val="en-US"/>
        </w:rPr>
        <w:t>2</w:t>
      </w:r>
      <w:r>
        <w:rPr>
          <w:rFonts w:ascii="Times New Roman" w:hAnsi="Times New Roman"/>
          <w:sz w:val="28"/>
          <w:szCs w:val="28"/>
          <w:lang w:val="en-US"/>
        </w:rPr>
        <w:t>.</w:t>
      </w:r>
      <w:r w:rsidRPr="00C954CB">
        <w:rPr>
          <w:rFonts w:ascii="Times New Roman" w:hAnsi="Times New Roman"/>
          <w:sz w:val="28"/>
          <w:szCs w:val="28"/>
          <w:lang w:val="en-US"/>
        </w:rPr>
        <w:t xml:space="preserve"> </w:t>
      </w:r>
      <w:r w:rsidRPr="0060528F">
        <w:rPr>
          <w:rFonts w:ascii="Times New Roman" w:hAnsi="Times New Roman"/>
          <w:sz w:val="28"/>
          <w:szCs w:val="28"/>
          <w:lang w:val="en-US"/>
        </w:rPr>
        <w:t>–</w:t>
      </w:r>
      <w:r>
        <w:rPr>
          <w:rFonts w:ascii="Times New Roman" w:hAnsi="Times New Roman"/>
          <w:sz w:val="28"/>
          <w:szCs w:val="28"/>
          <w:lang w:val="en-US"/>
        </w:rPr>
        <w:t xml:space="preserve"> </w:t>
      </w:r>
      <w:r w:rsidRPr="0060528F">
        <w:rPr>
          <w:rFonts w:ascii="Times New Roman" w:hAnsi="Times New Roman"/>
          <w:sz w:val="28"/>
          <w:szCs w:val="28"/>
          <w:lang w:val="en-US"/>
        </w:rPr>
        <w:t>P.</w:t>
      </w:r>
      <w:r>
        <w:rPr>
          <w:rFonts w:ascii="Times New Roman" w:hAnsi="Times New Roman"/>
          <w:sz w:val="28"/>
          <w:szCs w:val="28"/>
          <w:lang w:val="en-US"/>
        </w:rPr>
        <w:t xml:space="preserve"> </w:t>
      </w:r>
      <w:r w:rsidRPr="00C954CB">
        <w:rPr>
          <w:rFonts w:ascii="Times New Roman" w:hAnsi="Times New Roman"/>
          <w:sz w:val="28"/>
          <w:szCs w:val="28"/>
          <w:lang w:val="en-US"/>
        </w:rPr>
        <w:t>307–315.</w:t>
      </w:r>
    </w:p>
    <w:p w14:paraId="5D06FEA3" w14:textId="77777777" w:rsidR="00BB318A" w:rsidRDefault="00BB318A" w:rsidP="00BB318A">
      <w:pPr>
        <w:spacing w:after="0" w:line="240" w:lineRule="auto"/>
        <w:ind w:firstLine="567"/>
        <w:jc w:val="both"/>
        <w:rPr>
          <w:rFonts w:ascii="Times New Roman" w:hAnsi="Times New Roman"/>
          <w:sz w:val="28"/>
          <w:szCs w:val="28"/>
          <w:lang w:val="kk-KZ"/>
        </w:rPr>
      </w:pPr>
      <w:r w:rsidRPr="005E7AA6">
        <w:rPr>
          <w:rFonts w:ascii="Times New Roman" w:hAnsi="Times New Roman"/>
          <w:sz w:val="28"/>
          <w:szCs w:val="28"/>
          <w:lang w:val="en-US"/>
        </w:rPr>
        <w:t xml:space="preserve">86 </w:t>
      </w:r>
      <w:r w:rsidRPr="005E7AA6">
        <w:rPr>
          <w:rFonts w:ascii="Times New Roman" w:hAnsi="Times New Roman"/>
          <w:sz w:val="28"/>
          <w:szCs w:val="28"/>
          <w:lang w:val="kk-KZ"/>
        </w:rPr>
        <w:t>Morris E</w:t>
      </w:r>
      <w:r>
        <w:rPr>
          <w:rFonts w:ascii="Times New Roman" w:hAnsi="Times New Roman"/>
          <w:sz w:val="28"/>
          <w:szCs w:val="28"/>
          <w:lang w:val="kk-KZ"/>
        </w:rPr>
        <w:t>.</w:t>
      </w:r>
      <w:r w:rsidRPr="005E7AA6">
        <w:rPr>
          <w:rFonts w:ascii="Times New Roman" w:hAnsi="Times New Roman"/>
          <w:sz w:val="28"/>
          <w:szCs w:val="28"/>
          <w:lang w:val="kk-KZ"/>
        </w:rPr>
        <w:t>J</w:t>
      </w:r>
      <w:r>
        <w:rPr>
          <w:rFonts w:ascii="Times New Roman" w:hAnsi="Times New Roman"/>
          <w:sz w:val="28"/>
          <w:szCs w:val="28"/>
          <w:lang w:val="kk-KZ"/>
        </w:rPr>
        <w:t>.</w:t>
      </w:r>
      <w:r w:rsidRPr="005E7AA6">
        <w:rPr>
          <w:rFonts w:ascii="Times New Roman" w:hAnsi="Times New Roman"/>
          <w:sz w:val="28"/>
          <w:szCs w:val="28"/>
          <w:lang w:val="kk-KZ"/>
        </w:rPr>
        <w:t>, Taylor E</w:t>
      </w:r>
      <w:r>
        <w:rPr>
          <w:rFonts w:ascii="Times New Roman" w:hAnsi="Times New Roman"/>
          <w:sz w:val="28"/>
          <w:szCs w:val="28"/>
          <w:lang w:val="kk-KZ"/>
        </w:rPr>
        <w:t>.</w:t>
      </w:r>
      <w:r w:rsidRPr="005E7AA6">
        <w:rPr>
          <w:rFonts w:ascii="Times New Roman" w:hAnsi="Times New Roman"/>
          <w:sz w:val="28"/>
          <w:szCs w:val="28"/>
          <w:lang w:val="kk-KZ"/>
        </w:rPr>
        <w:t>F</w:t>
      </w:r>
      <w:r>
        <w:rPr>
          <w:rFonts w:ascii="Times New Roman" w:hAnsi="Times New Roman"/>
          <w:sz w:val="28"/>
          <w:szCs w:val="28"/>
          <w:lang w:val="kk-KZ"/>
        </w:rPr>
        <w:t>.</w:t>
      </w:r>
      <w:r w:rsidRPr="005E7AA6">
        <w:rPr>
          <w:rFonts w:ascii="Times New Roman" w:hAnsi="Times New Roman"/>
          <w:sz w:val="28"/>
          <w:szCs w:val="28"/>
          <w:lang w:val="kk-KZ"/>
        </w:rPr>
        <w:t>, Thomas J</w:t>
      </w:r>
      <w:r>
        <w:rPr>
          <w:rFonts w:ascii="Times New Roman" w:hAnsi="Times New Roman"/>
          <w:sz w:val="28"/>
          <w:szCs w:val="28"/>
          <w:lang w:val="kk-KZ"/>
        </w:rPr>
        <w:t>.</w:t>
      </w:r>
      <w:r w:rsidRPr="005E7AA6">
        <w:rPr>
          <w:rFonts w:ascii="Times New Roman" w:hAnsi="Times New Roman"/>
          <w:sz w:val="28"/>
          <w:szCs w:val="28"/>
          <w:lang w:val="kk-KZ"/>
        </w:rPr>
        <w:t>D</w:t>
      </w:r>
      <w:r>
        <w:rPr>
          <w:rFonts w:ascii="Times New Roman" w:hAnsi="Times New Roman"/>
          <w:sz w:val="28"/>
          <w:szCs w:val="28"/>
          <w:lang w:val="kk-KZ"/>
        </w:rPr>
        <w:t>.</w:t>
      </w:r>
      <w:r w:rsidRPr="005E7AA6">
        <w:rPr>
          <w:rFonts w:ascii="Times New Roman" w:hAnsi="Times New Roman"/>
          <w:sz w:val="28"/>
          <w:szCs w:val="28"/>
          <w:lang w:val="kk-KZ"/>
        </w:rPr>
        <w:t xml:space="preserve">, </w:t>
      </w:r>
      <w:r>
        <w:rPr>
          <w:rFonts w:ascii="Times New Roman" w:hAnsi="Times New Roman"/>
          <w:sz w:val="28"/>
          <w:szCs w:val="28"/>
          <w:lang w:val="en-US"/>
        </w:rPr>
        <w:t>et al.</w:t>
      </w:r>
      <w:r w:rsidRPr="005E7AA6">
        <w:rPr>
          <w:rFonts w:ascii="Times New Roman" w:hAnsi="Times New Roman"/>
          <w:sz w:val="28"/>
          <w:szCs w:val="28"/>
          <w:lang w:val="kk-KZ"/>
        </w:rPr>
        <w:t xml:space="preserve"> Thirty-day postoperative mortality after colorectal cancer surgery in England</w:t>
      </w:r>
      <w:r w:rsidRPr="0060528F">
        <w:rPr>
          <w:rFonts w:ascii="Times New Roman" w:hAnsi="Times New Roman"/>
          <w:sz w:val="28"/>
          <w:szCs w:val="28"/>
          <w:lang w:val="en-US"/>
        </w:rPr>
        <w:t xml:space="preserve"> // </w:t>
      </w:r>
      <w:r w:rsidRPr="005E7AA6">
        <w:rPr>
          <w:rFonts w:ascii="Times New Roman" w:hAnsi="Times New Roman"/>
          <w:sz w:val="28"/>
          <w:szCs w:val="28"/>
          <w:lang w:val="kk-KZ"/>
        </w:rPr>
        <w:t>Gut</w:t>
      </w:r>
      <w:r w:rsidRPr="0060528F">
        <w:rPr>
          <w:rFonts w:ascii="Times New Roman" w:hAnsi="Times New Roman"/>
          <w:sz w:val="28"/>
          <w:szCs w:val="28"/>
          <w:lang w:val="en-US"/>
        </w:rPr>
        <w:t xml:space="preserve">. – </w:t>
      </w:r>
      <w:r w:rsidRPr="005E7AA6">
        <w:rPr>
          <w:rFonts w:ascii="Times New Roman" w:hAnsi="Times New Roman"/>
          <w:sz w:val="28"/>
          <w:szCs w:val="28"/>
          <w:lang w:val="kk-KZ"/>
        </w:rPr>
        <w:t>2011</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w:t>
      </w:r>
      <w:r w:rsidRPr="00276A64">
        <w:rPr>
          <w:rFonts w:ascii="Times New Roman" w:hAnsi="Times New Roman"/>
          <w:sz w:val="28"/>
          <w:szCs w:val="28"/>
          <w:lang w:val="en-US"/>
        </w:rPr>
        <w:t xml:space="preserve"> </w:t>
      </w:r>
      <w:r w:rsidRPr="005E7AA6">
        <w:rPr>
          <w:rFonts w:ascii="Times New Roman" w:hAnsi="Times New Roman"/>
          <w:sz w:val="28"/>
          <w:szCs w:val="28"/>
          <w:lang w:val="kk-KZ"/>
        </w:rPr>
        <w:t>60</w:t>
      </w:r>
      <w:r w:rsidRPr="0060528F">
        <w:rPr>
          <w:rFonts w:ascii="Times New Roman" w:hAnsi="Times New Roman"/>
          <w:sz w:val="28"/>
          <w:szCs w:val="28"/>
          <w:lang w:val="en-US"/>
        </w:rPr>
        <w:t>, №</w:t>
      </w:r>
      <w:r>
        <w:rPr>
          <w:rFonts w:ascii="Times New Roman" w:hAnsi="Times New Roman"/>
          <w:sz w:val="28"/>
          <w:szCs w:val="28"/>
          <w:lang w:val="en-US"/>
        </w:rPr>
        <w:t xml:space="preserve"> </w:t>
      </w:r>
      <w:r w:rsidRPr="005E7AA6">
        <w:rPr>
          <w:rFonts w:ascii="Times New Roman" w:hAnsi="Times New Roman"/>
          <w:sz w:val="28"/>
          <w:szCs w:val="28"/>
          <w:lang w:val="kk-KZ"/>
        </w:rPr>
        <w:t>6</w:t>
      </w:r>
      <w:r>
        <w:rPr>
          <w:rFonts w:ascii="Times New Roman" w:hAnsi="Times New Roman"/>
          <w:sz w:val="28"/>
          <w:szCs w:val="28"/>
          <w:lang w:val="en-US"/>
        </w:rPr>
        <w:t xml:space="preserve">. </w:t>
      </w:r>
      <w:r w:rsidRPr="0060528F">
        <w:rPr>
          <w:rFonts w:ascii="Times New Roman" w:hAnsi="Times New Roman"/>
          <w:sz w:val="28"/>
          <w:szCs w:val="28"/>
          <w:lang w:val="en-US"/>
        </w:rPr>
        <w:t>–</w:t>
      </w:r>
      <w:r>
        <w:rPr>
          <w:rFonts w:ascii="Times New Roman" w:hAnsi="Times New Roman"/>
          <w:sz w:val="28"/>
          <w:szCs w:val="28"/>
          <w:lang w:val="en-US"/>
        </w:rPr>
        <w:t xml:space="preserve"> </w:t>
      </w:r>
      <w:r w:rsidRPr="0060528F">
        <w:rPr>
          <w:rFonts w:ascii="Times New Roman" w:hAnsi="Times New Roman"/>
          <w:sz w:val="28"/>
          <w:szCs w:val="28"/>
          <w:lang w:val="en-US"/>
        </w:rPr>
        <w:t xml:space="preserve">P. </w:t>
      </w:r>
      <w:r w:rsidRPr="005E7AA6">
        <w:rPr>
          <w:rFonts w:ascii="Times New Roman" w:hAnsi="Times New Roman"/>
          <w:sz w:val="28"/>
          <w:szCs w:val="28"/>
          <w:lang w:val="kk-KZ"/>
        </w:rPr>
        <w:t>806–813</w:t>
      </w:r>
      <w:r>
        <w:rPr>
          <w:rFonts w:ascii="Times New Roman" w:hAnsi="Times New Roman"/>
          <w:sz w:val="28"/>
          <w:szCs w:val="28"/>
          <w:lang w:val="kk-KZ"/>
        </w:rPr>
        <w:t>.</w:t>
      </w:r>
    </w:p>
    <w:p w14:paraId="70639CB6" w14:textId="77777777" w:rsidR="00BB318A" w:rsidRDefault="00BB318A" w:rsidP="00BB318A">
      <w:pPr>
        <w:spacing w:after="0" w:line="240" w:lineRule="auto"/>
        <w:ind w:firstLine="567"/>
        <w:jc w:val="both"/>
        <w:rPr>
          <w:rFonts w:ascii="Times New Roman" w:hAnsi="Times New Roman"/>
          <w:sz w:val="28"/>
          <w:szCs w:val="28"/>
          <w:lang w:val="kk-KZ"/>
        </w:rPr>
      </w:pPr>
      <w:r w:rsidRPr="005E7AA6">
        <w:rPr>
          <w:rFonts w:ascii="Times New Roman" w:hAnsi="Times New Roman"/>
          <w:sz w:val="28"/>
          <w:szCs w:val="28"/>
          <w:lang w:val="kk-KZ"/>
        </w:rPr>
        <w:t>87 Al-Refaie W</w:t>
      </w:r>
      <w:r>
        <w:rPr>
          <w:rFonts w:ascii="Times New Roman" w:hAnsi="Times New Roman"/>
          <w:sz w:val="28"/>
          <w:szCs w:val="28"/>
          <w:lang w:val="en-US"/>
        </w:rPr>
        <w:t>.</w:t>
      </w:r>
      <w:r w:rsidRPr="005E7AA6">
        <w:rPr>
          <w:rFonts w:ascii="Times New Roman" w:hAnsi="Times New Roman"/>
          <w:sz w:val="28"/>
          <w:szCs w:val="28"/>
          <w:lang w:val="kk-KZ"/>
        </w:rPr>
        <w:t>B</w:t>
      </w:r>
      <w:r>
        <w:rPr>
          <w:rFonts w:ascii="Times New Roman" w:hAnsi="Times New Roman"/>
          <w:sz w:val="28"/>
          <w:szCs w:val="28"/>
          <w:lang w:val="en-US"/>
        </w:rPr>
        <w:t>.</w:t>
      </w:r>
      <w:r w:rsidRPr="005E7AA6">
        <w:rPr>
          <w:rFonts w:ascii="Times New Roman" w:hAnsi="Times New Roman"/>
          <w:sz w:val="28"/>
          <w:szCs w:val="28"/>
          <w:lang w:val="kk-KZ"/>
        </w:rPr>
        <w:t>, Parsons H</w:t>
      </w:r>
      <w:r>
        <w:rPr>
          <w:rFonts w:ascii="Times New Roman" w:hAnsi="Times New Roman"/>
          <w:sz w:val="28"/>
          <w:szCs w:val="28"/>
          <w:lang w:val="en-US"/>
        </w:rPr>
        <w:t>.</w:t>
      </w:r>
      <w:r w:rsidRPr="005E7AA6">
        <w:rPr>
          <w:rFonts w:ascii="Times New Roman" w:hAnsi="Times New Roman"/>
          <w:sz w:val="28"/>
          <w:szCs w:val="28"/>
          <w:lang w:val="kk-KZ"/>
        </w:rPr>
        <w:t>M</w:t>
      </w:r>
      <w:r>
        <w:rPr>
          <w:rFonts w:ascii="Times New Roman" w:hAnsi="Times New Roman"/>
          <w:sz w:val="28"/>
          <w:szCs w:val="28"/>
          <w:lang w:val="en-US"/>
        </w:rPr>
        <w:t>.</w:t>
      </w:r>
      <w:r w:rsidRPr="005E7AA6">
        <w:rPr>
          <w:rFonts w:ascii="Times New Roman" w:hAnsi="Times New Roman"/>
          <w:sz w:val="28"/>
          <w:szCs w:val="28"/>
          <w:lang w:val="kk-KZ"/>
        </w:rPr>
        <w:t>, Habermann E</w:t>
      </w:r>
      <w:r>
        <w:rPr>
          <w:rFonts w:ascii="Times New Roman" w:hAnsi="Times New Roman"/>
          <w:sz w:val="28"/>
          <w:szCs w:val="28"/>
          <w:lang w:val="en-US"/>
        </w:rPr>
        <w:t>.</w:t>
      </w:r>
      <w:r w:rsidRPr="005E7AA6">
        <w:rPr>
          <w:rFonts w:ascii="Times New Roman" w:hAnsi="Times New Roman"/>
          <w:sz w:val="28"/>
          <w:szCs w:val="28"/>
          <w:lang w:val="kk-KZ"/>
        </w:rPr>
        <w:t>B</w:t>
      </w:r>
      <w:r>
        <w:rPr>
          <w:rFonts w:ascii="Times New Roman" w:hAnsi="Times New Roman"/>
          <w:sz w:val="28"/>
          <w:szCs w:val="28"/>
          <w:lang w:val="en-US"/>
        </w:rPr>
        <w:t>.</w:t>
      </w:r>
      <w:r w:rsidRPr="005E7AA6">
        <w:rPr>
          <w:rFonts w:ascii="Times New Roman" w:hAnsi="Times New Roman"/>
          <w:sz w:val="28"/>
          <w:szCs w:val="28"/>
          <w:lang w:val="kk-KZ"/>
        </w:rPr>
        <w:t xml:space="preserve">, </w:t>
      </w:r>
      <w:r>
        <w:rPr>
          <w:rFonts w:ascii="Times New Roman" w:hAnsi="Times New Roman"/>
          <w:sz w:val="28"/>
          <w:szCs w:val="28"/>
          <w:lang w:val="en-US"/>
        </w:rPr>
        <w:t>et al.</w:t>
      </w:r>
      <w:r w:rsidRPr="005E7AA6">
        <w:rPr>
          <w:rFonts w:ascii="Times New Roman" w:hAnsi="Times New Roman"/>
          <w:sz w:val="28"/>
          <w:szCs w:val="28"/>
          <w:lang w:val="kk-KZ"/>
        </w:rPr>
        <w:t xml:space="preserve"> Operative outcomes beyond 30-day mortality: colorectal cancer surgery in oldest old</w:t>
      </w:r>
      <w:r w:rsidRPr="0060528F">
        <w:rPr>
          <w:rFonts w:ascii="Times New Roman" w:hAnsi="Times New Roman"/>
          <w:sz w:val="28"/>
          <w:szCs w:val="28"/>
          <w:lang w:val="en-US"/>
        </w:rPr>
        <w:t xml:space="preserve"> // </w:t>
      </w:r>
      <w:r w:rsidRPr="007F1FD7">
        <w:rPr>
          <w:rFonts w:ascii="Times New Roman" w:hAnsi="Times New Roman"/>
          <w:sz w:val="28"/>
          <w:szCs w:val="28"/>
          <w:lang w:val="kk-KZ"/>
        </w:rPr>
        <w:t>Annals of surgery</w:t>
      </w:r>
      <w:r w:rsidRPr="0060528F">
        <w:rPr>
          <w:rFonts w:ascii="Times New Roman" w:hAnsi="Times New Roman"/>
          <w:sz w:val="28"/>
          <w:szCs w:val="28"/>
          <w:lang w:val="en-US"/>
        </w:rPr>
        <w:t xml:space="preserve">. – </w:t>
      </w:r>
      <w:r w:rsidRPr="005E7AA6">
        <w:rPr>
          <w:rFonts w:ascii="Times New Roman" w:hAnsi="Times New Roman"/>
          <w:sz w:val="28"/>
          <w:szCs w:val="28"/>
          <w:lang w:val="kk-KZ"/>
        </w:rPr>
        <w:t>2011</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w:t>
      </w:r>
      <w:r w:rsidRPr="00276A64">
        <w:rPr>
          <w:rFonts w:ascii="Times New Roman" w:hAnsi="Times New Roman"/>
          <w:sz w:val="28"/>
          <w:szCs w:val="28"/>
          <w:lang w:val="en-US"/>
        </w:rPr>
        <w:t xml:space="preserve"> </w:t>
      </w:r>
      <w:r w:rsidRPr="005E7AA6">
        <w:rPr>
          <w:rFonts w:ascii="Times New Roman" w:hAnsi="Times New Roman"/>
          <w:sz w:val="28"/>
          <w:szCs w:val="28"/>
          <w:lang w:val="kk-KZ"/>
        </w:rPr>
        <w:t>253</w:t>
      </w:r>
      <w:r w:rsidRPr="0060528F">
        <w:rPr>
          <w:rFonts w:ascii="Times New Roman" w:hAnsi="Times New Roman"/>
          <w:sz w:val="28"/>
          <w:szCs w:val="28"/>
          <w:lang w:val="en-US"/>
        </w:rPr>
        <w:t>, №</w:t>
      </w:r>
      <w:r>
        <w:rPr>
          <w:rFonts w:ascii="Times New Roman" w:hAnsi="Times New Roman"/>
          <w:sz w:val="28"/>
          <w:szCs w:val="28"/>
          <w:lang w:val="en-US"/>
        </w:rPr>
        <w:t xml:space="preserve"> </w:t>
      </w:r>
      <w:r w:rsidRPr="005E7AA6">
        <w:rPr>
          <w:rFonts w:ascii="Times New Roman" w:hAnsi="Times New Roman"/>
          <w:sz w:val="28"/>
          <w:szCs w:val="28"/>
          <w:lang w:val="kk-KZ"/>
        </w:rPr>
        <w:t>5</w:t>
      </w:r>
      <w:r>
        <w:rPr>
          <w:rFonts w:ascii="Times New Roman" w:hAnsi="Times New Roman"/>
          <w:sz w:val="28"/>
          <w:szCs w:val="28"/>
          <w:lang w:val="en-US"/>
        </w:rPr>
        <w:t xml:space="preserve">. </w:t>
      </w:r>
      <w:r w:rsidRPr="0060528F">
        <w:rPr>
          <w:rFonts w:ascii="Times New Roman" w:hAnsi="Times New Roman"/>
          <w:sz w:val="28"/>
          <w:szCs w:val="28"/>
          <w:lang w:val="en-US"/>
        </w:rPr>
        <w:t>–</w:t>
      </w:r>
      <w:r>
        <w:rPr>
          <w:rFonts w:ascii="Times New Roman" w:hAnsi="Times New Roman"/>
          <w:sz w:val="28"/>
          <w:szCs w:val="28"/>
          <w:lang w:val="en-US"/>
        </w:rPr>
        <w:t xml:space="preserve"> </w:t>
      </w:r>
      <w:r w:rsidRPr="0060528F">
        <w:rPr>
          <w:rFonts w:ascii="Times New Roman" w:hAnsi="Times New Roman"/>
          <w:sz w:val="28"/>
          <w:szCs w:val="28"/>
          <w:lang w:val="en-US"/>
        </w:rPr>
        <w:t>P.</w:t>
      </w:r>
      <w:r>
        <w:rPr>
          <w:rFonts w:ascii="Times New Roman" w:hAnsi="Times New Roman"/>
          <w:sz w:val="28"/>
          <w:szCs w:val="28"/>
          <w:lang w:val="en-US"/>
        </w:rPr>
        <w:t xml:space="preserve"> </w:t>
      </w:r>
      <w:r w:rsidRPr="005E7AA6">
        <w:rPr>
          <w:rFonts w:ascii="Times New Roman" w:hAnsi="Times New Roman"/>
          <w:sz w:val="28"/>
          <w:szCs w:val="28"/>
          <w:lang w:val="kk-KZ"/>
        </w:rPr>
        <w:t>947–952.</w:t>
      </w:r>
    </w:p>
    <w:p w14:paraId="387FE8BB" w14:textId="77777777" w:rsidR="00BB318A" w:rsidRDefault="00BB318A" w:rsidP="00BB318A">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88 </w:t>
      </w:r>
      <w:r w:rsidRPr="00BF3C1A">
        <w:rPr>
          <w:rFonts w:ascii="Times New Roman" w:hAnsi="Times New Roman"/>
          <w:sz w:val="28"/>
          <w:szCs w:val="28"/>
          <w:lang w:val="kk-KZ"/>
        </w:rPr>
        <w:t>Ihedioha U</w:t>
      </w:r>
      <w:r>
        <w:rPr>
          <w:rFonts w:ascii="Times New Roman" w:hAnsi="Times New Roman"/>
          <w:sz w:val="28"/>
          <w:szCs w:val="28"/>
          <w:lang w:val="en-US"/>
        </w:rPr>
        <w:t>.</w:t>
      </w:r>
      <w:r w:rsidRPr="00BF3C1A">
        <w:rPr>
          <w:rFonts w:ascii="Times New Roman" w:hAnsi="Times New Roman"/>
          <w:sz w:val="28"/>
          <w:szCs w:val="28"/>
          <w:lang w:val="kk-KZ"/>
        </w:rPr>
        <w:t>, Gravante G</w:t>
      </w:r>
      <w:r>
        <w:rPr>
          <w:rFonts w:ascii="Times New Roman" w:hAnsi="Times New Roman"/>
          <w:sz w:val="28"/>
          <w:szCs w:val="28"/>
          <w:lang w:val="en-US"/>
        </w:rPr>
        <w:t>.</w:t>
      </w:r>
      <w:r w:rsidRPr="00BF3C1A">
        <w:rPr>
          <w:rFonts w:ascii="Times New Roman" w:hAnsi="Times New Roman"/>
          <w:sz w:val="28"/>
          <w:szCs w:val="28"/>
          <w:lang w:val="kk-KZ"/>
        </w:rPr>
        <w:t>, Lloyd G</w:t>
      </w:r>
      <w:r>
        <w:rPr>
          <w:rFonts w:ascii="Times New Roman" w:hAnsi="Times New Roman"/>
          <w:sz w:val="28"/>
          <w:szCs w:val="28"/>
          <w:lang w:val="en-US"/>
        </w:rPr>
        <w:t>.</w:t>
      </w:r>
      <w:r w:rsidRPr="00BF3C1A">
        <w:rPr>
          <w:rFonts w:ascii="Times New Roman" w:hAnsi="Times New Roman"/>
          <w:sz w:val="28"/>
          <w:szCs w:val="28"/>
          <w:lang w:val="kk-KZ"/>
        </w:rPr>
        <w:t xml:space="preserve">, </w:t>
      </w:r>
      <w:r>
        <w:rPr>
          <w:rFonts w:ascii="Times New Roman" w:hAnsi="Times New Roman"/>
          <w:sz w:val="28"/>
          <w:szCs w:val="28"/>
          <w:lang w:val="en-US"/>
        </w:rPr>
        <w:t>et al.</w:t>
      </w:r>
      <w:r w:rsidRPr="00BF3C1A">
        <w:rPr>
          <w:rFonts w:ascii="Times New Roman" w:hAnsi="Times New Roman"/>
          <w:sz w:val="28"/>
          <w:szCs w:val="28"/>
          <w:lang w:val="kk-KZ"/>
        </w:rPr>
        <w:t xml:space="preserve"> Curative colorectal resections in patients aged 80 years and older: clinical characteristics, morbidity, mortality and risk factors</w:t>
      </w:r>
      <w:r w:rsidRPr="0060528F">
        <w:rPr>
          <w:rFonts w:ascii="Times New Roman" w:hAnsi="Times New Roman"/>
          <w:sz w:val="28"/>
          <w:szCs w:val="28"/>
          <w:lang w:val="en-US"/>
        </w:rPr>
        <w:t xml:space="preserve"> // </w:t>
      </w:r>
      <w:r w:rsidRPr="007F1FD7">
        <w:rPr>
          <w:rFonts w:ascii="Times New Roman" w:hAnsi="Times New Roman"/>
          <w:sz w:val="28"/>
          <w:szCs w:val="28"/>
          <w:lang w:val="kk-KZ"/>
        </w:rPr>
        <w:t>International journal of colorectal disease</w:t>
      </w:r>
      <w:r w:rsidRPr="0060528F">
        <w:rPr>
          <w:rFonts w:ascii="Times New Roman" w:hAnsi="Times New Roman"/>
          <w:sz w:val="28"/>
          <w:szCs w:val="28"/>
          <w:lang w:val="en-US"/>
        </w:rPr>
        <w:t xml:space="preserve">. – </w:t>
      </w:r>
      <w:r w:rsidRPr="00BF3C1A">
        <w:rPr>
          <w:rFonts w:ascii="Times New Roman" w:hAnsi="Times New Roman"/>
          <w:sz w:val="28"/>
          <w:szCs w:val="28"/>
          <w:lang w:val="kk-KZ"/>
        </w:rPr>
        <w:t>2013</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w:t>
      </w:r>
      <w:r w:rsidRPr="00276A64">
        <w:rPr>
          <w:rFonts w:ascii="Times New Roman" w:hAnsi="Times New Roman"/>
          <w:sz w:val="28"/>
          <w:szCs w:val="28"/>
          <w:lang w:val="en-US"/>
        </w:rPr>
        <w:t xml:space="preserve"> </w:t>
      </w:r>
      <w:r w:rsidRPr="00BF3C1A">
        <w:rPr>
          <w:rFonts w:ascii="Times New Roman" w:hAnsi="Times New Roman"/>
          <w:sz w:val="28"/>
          <w:szCs w:val="28"/>
          <w:lang w:val="kk-KZ"/>
        </w:rPr>
        <w:t>28</w:t>
      </w:r>
      <w:r w:rsidRPr="0060528F">
        <w:rPr>
          <w:rFonts w:ascii="Times New Roman" w:hAnsi="Times New Roman"/>
          <w:sz w:val="28"/>
          <w:szCs w:val="28"/>
          <w:lang w:val="en-US"/>
        </w:rPr>
        <w:t>, №</w:t>
      </w:r>
      <w:r>
        <w:rPr>
          <w:rFonts w:ascii="Times New Roman" w:hAnsi="Times New Roman"/>
          <w:sz w:val="28"/>
          <w:szCs w:val="28"/>
          <w:lang w:val="en-US"/>
        </w:rPr>
        <w:t xml:space="preserve"> </w:t>
      </w:r>
      <w:r w:rsidRPr="00BF3C1A">
        <w:rPr>
          <w:rFonts w:ascii="Times New Roman" w:hAnsi="Times New Roman"/>
          <w:sz w:val="28"/>
          <w:szCs w:val="28"/>
          <w:lang w:val="kk-KZ"/>
        </w:rPr>
        <w:t>7</w:t>
      </w:r>
      <w:r>
        <w:rPr>
          <w:rFonts w:ascii="Times New Roman" w:hAnsi="Times New Roman"/>
          <w:sz w:val="28"/>
          <w:szCs w:val="28"/>
          <w:lang w:val="en-US"/>
        </w:rPr>
        <w:t xml:space="preserve">. </w:t>
      </w:r>
      <w:r w:rsidRPr="0060528F">
        <w:rPr>
          <w:rFonts w:ascii="Times New Roman" w:hAnsi="Times New Roman"/>
          <w:sz w:val="28"/>
          <w:szCs w:val="28"/>
          <w:lang w:val="en-US"/>
        </w:rPr>
        <w:t>–</w:t>
      </w:r>
      <w:r>
        <w:rPr>
          <w:rFonts w:ascii="Times New Roman" w:hAnsi="Times New Roman"/>
          <w:sz w:val="28"/>
          <w:szCs w:val="28"/>
          <w:lang w:val="en-US"/>
        </w:rPr>
        <w:t xml:space="preserve"> </w:t>
      </w:r>
      <w:r w:rsidRPr="0060528F">
        <w:rPr>
          <w:rFonts w:ascii="Times New Roman" w:hAnsi="Times New Roman"/>
          <w:sz w:val="28"/>
          <w:szCs w:val="28"/>
          <w:lang w:val="en-US"/>
        </w:rPr>
        <w:t>P.</w:t>
      </w:r>
      <w:r>
        <w:rPr>
          <w:rFonts w:ascii="Times New Roman" w:hAnsi="Times New Roman"/>
          <w:sz w:val="28"/>
          <w:szCs w:val="28"/>
          <w:lang w:val="en-US"/>
        </w:rPr>
        <w:t xml:space="preserve"> </w:t>
      </w:r>
      <w:r w:rsidRPr="00BF3C1A">
        <w:rPr>
          <w:rFonts w:ascii="Times New Roman" w:hAnsi="Times New Roman"/>
          <w:sz w:val="28"/>
          <w:szCs w:val="28"/>
          <w:lang w:val="kk-KZ"/>
        </w:rPr>
        <w:t>941–947</w:t>
      </w:r>
      <w:r>
        <w:rPr>
          <w:rFonts w:ascii="Times New Roman" w:hAnsi="Times New Roman"/>
          <w:sz w:val="28"/>
          <w:szCs w:val="28"/>
          <w:lang w:val="kk-KZ"/>
        </w:rPr>
        <w:t>.</w:t>
      </w:r>
    </w:p>
    <w:p w14:paraId="1E101618" w14:textId="77777777" w:rsidR="00BB318A" w:rsidRDefault="00BB318A" w:rsidP="00BB318A">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89 </w:t>
      </w:r>
      <w:r w:rsidRPr="00BF3C1A">
        <w:rPr>
          <w:rFonts w:ascii="Times New Roman" w:hAnsi="Times New Roman"/>
          <w:sz w:val="28"/>
          <w:szCs w:val="28"/>
          <w:lang w:val="kk-KZ"/>
        </w:rPr>
        <w:t>Aquina C</w:t>
      </w:r>
      <w:r>
        <w:rPr>
          <w:rFonts w:ascii="Times New Roman" w:hAnsi="Times New Roman"/>
          <w:sz w:val="28"/>
          <w:szCs w:val="28"/>
          <w:lang w:val="en-US"/>
        </w:rPr>
        <w:t>.</w:t>
      </w:r>
      <w:r w:rsidRPr="00BF3C1A">
        <w:rPr>
          <w:rFonts w:ascii="Times New Roman" w:hAnsi="Times New Roman"/>
          <w:sz w:val="28"/>
          <w:szCs w:val="28"/>
          <w:lang w:val="kk-KZ"/>
        </w:rPr>
        <w:t>T</w:t>
      </w:r>
      <w:r>
        <w:rPr>
          <w:rFonts w:ascii="Times New Roman" w:hAnsi="Times New Roman"/>
          <w:sz w:val="28"/>
          <w:szCs w:val="28"/>
          <w:lang w:val="en-US"/>
        </w:rPr>
        <w:t>.</w:t>
      </w:r>
      <w:r w:rsidRPr="00BF3C1A">
        <w:rPr>
          <w:rFonts w:ascii="Times New Roman" w:hAnsi="Times New Roman"/>
          <w:sz w:val="28"/>
          <w:szCs w:val="28"/>
          <w:lang w:val="kk-KZ"/>
        </w:rPr>
        <w:t>, Mohile S</w:t>
      </w:r>
      <w:r>
        <w:rPr>
          <w:rFonts w:ascii="Times New Roman" w:hAnsi="Times New Roman"/>
          <w:sz w:val="28"/>
          <w:szCs w:val="28"/>
          <w:lang w:val="en-US"/>
        </w:rPr>
        <w:t>.</w:t>
      </w:r>
      <w:r w:rsidRPr="00BF3C1A">
        <w:rPr>
          <w:rFonts w:ascii="Times New Roman" w:hAnsi="Times New Roman"/>
          <w:sz w:val="28"/>
          <w:szCs w:val="28"/>
          <w:lang w:val="kk-KZ"/>
        </w:rPr>
        <w:t>G</w:t>
      </w:r>
      <w:r>
        <w:rPr>
          <w:rFonts w:ascii="Times New Roman" w:hAnsi="Times New Roman"/>
          <w:sz w:val="28"/>
          <w:szCs w:val="28"/>
          <w:lang w:val="en-US"/>
        </w:rPr>
        <w:t>.</w:t>
      </w:r>
      <w:r w:rsidRPr="00BF3C1A">
        <w:rPr>
          <w:rFonts w:ascii="Times New Roman" w:hAnsi="Times New Roman"/>
          <w:sz w:val="28"/>
          <w:szCs w:val="28"/>
          <w:lang w:val="kk-KZ"/>
        </w:rPr>
        <w:t>, Tejani M</w:t>
      </w:r>
      <w:r>
        <w:rPr>
          <w:rFonts w:ascii="Times New Roman" w:hAnsi="Times New Roman"/>
          <w:sz w:val="28"/>
          <w:szCs w:val="28"/>
          <w:lang w:val="en-US"/>
        </w:rPr>
        <w:t>.</w:t>
      </w:r>
      <w:r w:rsidRPr="00BF3C1A">
        <w:rPr>
          <w:rFonts w:ascii="Times New Roman" w:hAnsi="Times New Roman"/>
          <w:sz w:val="28"/>
          <w:szCs w:val="28"/>
          <w:lang w:val="kk-KZ"/>
        </w:rPr>
        <w:t>A</w:t>
      </w:r>
      <w:r>
        <w:rPr>
          <w:rFonts w:ascii="Times New Roman" w:hAnsi="Times New Roman"/>
          <w:sz w:val="28"/>
          <w:szCs w:val="28"/>
          <w:lang w:val="en-US"/>
        </w:rPr>
        <w:t>.</w:t>
      </w:r>
      <w:r w:rsidRPr="00BF3C1A">
        <w:rPr>
          <w:rFonts w:ascii="Times New Roman" w:hAnsi="Times New Roman"/>
          <w:sz w:val="28"/>
          <w:szCs w:val="28"/>
          <w:lang w:val="kk-KZ"/>
        </w:rPr>
        <w:t>, et al</w:t>
      </w:r>
      <w:r>
        <w:rPr>
          <w:rFonts w:ascii="Times New Roman" w:hAnsi="Times New Roman"/>
          <w:sz w:val="28"/>
          <w:szCs w:val="28"/>
          <w:lang w:val="en-US"/>
        </w:rPr>
        <w:t>.</w:t>
      </w:r>
      <w:r w:rsidRPr="00BF3C1A">
        <w:rPr>
          <w:rFonts w:ascii="Times New Roman" w:hAnsi="Times New Roman"/>
          <w:sz w:val="28"/>
          <w:szCs w:val="28"/>
          <w:lang w:val="kk-KZ"/>
        </w:rPr>
        <w:t xml:space="preserve"> The impact of age on complications, survival, and cause of death following colon cancer surgery</w:t>
      </w:r>
      <w:r w:rsidRPr="0060528F">
        <w:rPr>
          <w:rFonts w:ascii="Times New Roman" w:hAnsi="Times New Roman"/>
          <w:sz w:val="28"/>
          <w:szCs w:val="28"/>
          <w:lang w:val="en-US"/>
        </w:rPr>
        <w:t xml:space="preserve"> // </w:t>
      </w:r>
      <w:r w:rsidRPr="007F1FD7">
        <w:rPr>
          <w:rFonts w:ascii="Times New Roman" w:hAnsi="Times New Roman"/>
          <w:sz w:val="28"/>
          <w:szCs w:val="28"/>
          <w:lang w:val="kk-KZ"/>
        </w:rPr>
        <w:t>British journal of cancer</w:t>
      </w:r>
      <w:r w:rsidRPr="0060528F">
        <w:rPr>
          <w:rFonts w:ascii="Times New Roman" w:hAnsi="Times New Roman"/>
          <w:sz w:val="28"/>
          <w:szCs w:val="28"/>
          <w:lang w:val="en-US"/>
        </w:rPr>
        <w:t xml:space="preserve">. – </w:t>
      </w:r>
      <w:r w:rsidRPr="00BF3C1A">
        <w:rPr>
          <w:rFonts w:ascii="Times New Roman" w:hAnsi="Times New Roman"/>
          <w:sz w:val="28"/>
          <w:szCs w:val="28"/>
          <w:lang w:val="kk-KZ"/>
        </w:rPr>
        <w:t>2017</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w:t>
      </w:r>
      <w:r w:rsidRPr="00276A64">
        <w:rPr>
          <w:rFonts w:ascii="Times New Roman" w:hAnsi="Times New Roman"/>
          <w:sz w:val="28"/>
          <w:szCs w:val="28"/>
          <w:lang w:val="en-US"/>
        </w:rPr>
        <w:t xml:space="preserve"> </w:t>
      </w:r>
      <w:r w:rsidRPr="00BF3C1A">
        <w:rPr>
          <w:rFonts w:ascii="Times New Roman" w:hAnsi="Times New Roman"/>
          <w:sz w:val="28"/>
          <w:szCs w:val="28"/>
          <w:lang w:val="kk-KZ"/>
        </w:rPr>
        <w:t>116</w:t>
      </w:r>
      <w:r w:rsidRPr="0060528F">
        <w:rPr>
          <w:rFonts w:ascii="Times New Roman" w:hAnsi="Times New Roman"/>
          <w:sz w:val="28"/>
          <w:szCs w:val="28"/>
          <w:lang w:val="en-US"/>
        </w:rPr>
        <w:t>, №</w:t>
      </w:r>
      <w:r>
        <w:rPr>
          <w:rFonts w:ascii="Times New Roman" w:hAnsi="Times New Roman"/>
          <w:sz w:val="28"/>
          <w:szCs w:val="28"/>
          <w:lang w:val="en-US"/>
        </w:rPr>
        <w:t xml:space="preserve"> </w:t>
      </w:r>
      <w:r w:rsidRPr="00BF3C1A">
        <w:rPr>
          <w:rFonts w:ascii="Times New Roman" w:hAnsi="Times New Roman"/>
          <w:sz w:val="28"/>
          <w:szCs w:val="28"/>
          <w:lang w:val="kk-KZ"/>
        </w:rPr>
        <w:t>3</w:t>
      </w:r>
      <w:r>
        <w:rPr>
          <w:rFonts w:ascii="Times New Roman" w:hAnsi="Times New Roman"/>
          <w:sz w:val="28"/>
          <w:szCs w:val="28"/>
          <w:lang w:val="en-US"/>
        </w:rPr>
        <w:t xml:space="preserve">. </w:t>
      </w:r>
      <w:r w:rsidRPr="0060528F">
        <w:rPr>
          <w:rFonts w:ascii="Times New Roman" w:hAnsi="Times New Roman"/>
          <w:sz w:val="28"/>
          <w:szCs w:val="28"/>
          <w:lang w:val="en-US"/>
        </w:rPr>
        <w:t>–</w:t>
      </w:r>
      <w:r>
        <w:rPr>
          <w:rFonts w:ascii="Times New Roman" w:hAnsi="Times New Roman"/>
          <w:sz w:val="28"/>
          <w:szCs w:val="28"/>
          <w:lang w:val="en-US"/>
        </w:rPr>
        <w:t xml:space="preserve"> </w:t>
      </w:r>
      <w:r w:rsidRPr="0060528F">
        <w:rPr>
          <w:rFonts w:ascii="Times New Roman" w:hAnsi="Times New Roman"/>
          <w:sz w:val="28"/>
          <w:szCs w:val="28"/>
          <w:lang w:val="en-US"/>
        </w:rPr>
        <w:t>P.</w:t>
      </w:r>
      <w:r>
        <w:rPr>
          <w:rFonts w:ascii="Times New Roman" w:hAnsi="Times New Roman"/>
          <w:sz w:val="28"/>
          <w:szCs w:val="28"/>
          <w:lang w:val="en-US"/>
        </w:rPr>
        <w:t xml:space="preserve"> </w:t>
      </w:r>
      <w:r w:rsidRPr="00BF3C1A">
        <w:rPr>
          <w:rFonts w:ascii="Times New Roman" w:hAnsi="Times New Roman"/>
          <w:sz w:val="28"/>
          <w:szCs w:val="28"/>
          <w:lang w:val="kk-KZ"/>
        </w:rPr>
        <w:t>389–397</w:t>
      </w:r>
      <w:r>
        <w:rPr>
          <w:rFonts w:ascii="Times New Roman" w:hAnsi="Times New Roman"/>
          <w:sz w:val="28"/>
          <w:szCs w:val="28"/>
          <w:lang w:val="kk-KZ"/>
        </w:rPr>
        <w:t>.</w:t>
      </w:r>
    </w:p>
    <w:p w14:paraId="6A2C471F" w14:textId="77777777" w:rsidR="00BB318A" w:rsidRDefault="00BB318A" w:rsidP="00BB318A">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90 </w:t>
      </w:r>
      <w:r w:rsidRPr="00BF3C1A">
        <w:rPr>
          <w:rFonts w:ascii="Times New Roman" w:hAnsi="Times New Roman"/>
          <w:sz w:val="28"/>
          <w:szCs w:val="28"/>
          <w:lang w:val="kk-KZ"/>
        </w:rPr>
        <w:t>Claassen Y</w:t>
      </w:r>
      <w:r>
        <w:rPr>
          <w:rFonts w:ascii="Times New Roman" w:hAnsi="Times New Roman"/>
          <w:sz w:val="28"/>
          <w:szCs w:val="28"/>
          <w:lang w:val="en-US"/>
        </w:rPr>
        <w:t>.</w:t>
      </w:r>
      <w:r w:rsidRPr="00BF3C1A">
        <w:rPr>
          <w:rFonts w:ascii="Times New Roman" w:hAnsi="Times New Roman"/>
          <w:sz w:val="28"/>
          <w:szCs w:val="28"/>
          <w:lang w:val="kk-KZ"/>
        </w:rPr>
        <w:t>H</w:t>
      </w:r>
      <w:r>
        <w:rPr>
          <w:rFonts w:ascii="Times New Roman" w:hAnsi="Times New Roman"/>
          <w:sz w:val="28"/>
          <w:szCs w:val="28"/>
          <w:lang w:val="en-US"/>
        </w:rPr>
        <w:t>.</w:t>
      </w:r>
      <w:r w:rsidRPr="00BF3C1A">
        <w:rPr>
          <w:rFonts w:ascii="Times New Roman" w:hAnsi="Times New Roman"/>
          <w:sz w:val="28"/>
          <w:szCs w:val="28"/>
          <w:lang w:val="kk-KZ"/>
        </w:rPr>
        <w:t>M</w:t>
      </w:r>
      <w:r>
        <w:rPr>
          <w:rFonts w:ascii="Times New Roman" w:hAnsi="Times New Roman"/>
          <w:sz w:val="28"/>
          <w:szCs w:val="28"/>
          <w:lang w:val="en-US"/>
        </w:rPr>
        <w:t>.</w:t>
      </w:r>
      <w:r w:rsidRPr="00BF3C1A">
        <w:rPr>
          <w:rFonts w:ascii="Times New Roman" w:hAnsi="Times New Roman"/>
          <w:sz w:val="28"/>
          <w:szCs w:val="28"/>
          <w:lang w:val="kk-KZ"/>
        </w:rPr>
        <w:t>, Bastiaannet E</w:t>
      </w:r>
      <w:r>
        <w:rPr>
          <w:rFonts w:ascii="Times New Roman" w:hAnsi="Times New Roman"/>
          <w:sz w:val="28"/>
          <w:szCs w:val="28"/>
          <w:lang w:val="en-US"/>
        </w:rPr>
        <w:t>.</w:t>
      </w:r>
      <w:r w:rsidRPr="00BF3C1A">
        <w:rPr>
          <w:rFonts w:ascii="Times New Roman" w:hAnsi="Times New Roman"/>
          <w:sz w:val="28"/>
          <w:szCs w:val="28"/>
          <w:lang w:val="kk-KZ"/>
        </w:rPr>
        <w:t>, van Eycken E</w:t>
      </w:r>
      <w:r>
        <w:rPr>
          <w:rFonts w:ascii="Times New Roman" w:hAnsi="Times New Roman"/>
          <w:sz w:val="28"/>
          <w:szCs w:val="28"/>
          <w:lang w:val="en-US"/>
        </w:rPr>
        <w:t>.</w:t>
      </w:r>
      <w:r w:rsidRPr="00BF3C1A">
        <w:rPr>
          <w:rFonts w:ascii="Times New Roman" w:hAnsi="Times New Roman"/>
          <w:sz w:val="28"/>
          <w:szCs w:val="28"/>
          <w:lang w:val="kk-KZ"/>
        </w:rPr>
        <w:t>, et al</w:t>
      </w:r>
      <w:r>
        <w:rPr>
          <w:rFonts w:ascii="Times New Roman" w:hAnsi="Times New Roman"/>
          <w:sz w:val="28"/>
          <w:szCs w:val="28"/>
          <w:lang w:val="en-US"/>
        </w:rPr>
        <w:t>.</w:t>
      </w:r>
      <w:r w:rsidRPr="00BF3C1A">
        <w:rPr>
          <w:rFonts w:ascii="Times New Roman" w:hAnsi="Times New Roman"/>
          <w:sz w:val="28"/>
          <w:szCs w:val="28"/>
          <w:lang w:val="kk-KZ"/>
        </w:rPr>
        <w:t xml:space="preserve"> Time trends of short-term mortality for octogenarians undergoing a colorectal resection in North Europe</w:t>
      </w:r>
      <w:r w:rsidRPr="0060528F">
        <w:rPr>
          <w:rFonts w:ascii="Times New Roman" w:hAnsi="Times New Roman"/>
          <w:sz w:val="28"/>
          <w:szCs w:val="28"/>
          <w:lang w:val="en-US"/>
        </w:rPr>
        <w:t xml:space="preserve"> // </w:t>
      </w:r>
      <w:r w:rsidRPr="007F1FD7">
        <w:rPr>
          <w:rFonts w:ascii="Times New Roman" w:hAnsi="Times New Roman"/>
          <w:sz w:val="28"/>
          <w:szCs w:val="28"/>
          <w:lang w:val="kk-KZ"/>
        </w:rPr>
        <w:t>European journal of surgical oncology : the journal of the European Society of Surgical Oncology and the British Association of Surgical Oncology</w:t>
      </w:r>
      <w:r w:rsidRPr="0060528F">
        <w:rPr>
          <w:rFonts w:ascii="Times New Roman" w:hAnsi="Times New Roman"/>
          <w:sz w:val="28"/>
          <w:szCs w:val="28"/>
          <w:lang w:val="en-US"/>
        </w:rPr>
        <w:t xml:space="preserve">. – </w:t>
      </w:r>
      <w:r w:rsidRPr="00BF3C1A">
        <w:rPr>
          <w:rFonts w:ascii="Times New Roman" w:hAnsi="Times New Roman"/>
          <w:sz w:val="28"/>
          <w:szCs w:val="28"/>
          <w:lang w:val="kk-KZ"/>
        </w:rPr>
        <w:t>2019</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 xml:space="preserve">. </w:t>
      </w:r>
      <w:r w:rsidRPr="00BF3C1A">
        <w:rPr>
          <w:rFonts w:ascii="Times New Roman" w:hAnsi="Times New Roman"/>
          <w:sz w:val="28"/>
          <w:szCs w:val="28"/>
          <w:lang w:val="kk-KZ"/>
        </w:rPr>
        <w:t>45</w:t>
      </w:r>
      <w:r w:rsidRPr="0060528F">
        <w:rPr>
          <w:rFonts w:ascii="Times New Roman" w:hAnsi="Times New Roman"/>
          <w:sz w:val="28"/>
          <w:szCs w:val="28"/>
          <w:lang w:val="en-US"/>
        </w:rPr>
        <w:t>, №</w:t>
      </w:r>
      <w:r>
        <w:rPr>
          <w:rFonts w:ascii="Times New Roman" w:hAnsi="Times New Roman"/>
          <w:sz w:val="28"/>
          <w:szCs w:val="28"/>
          <w:lang w:val="en-US"/>
        </w:rPr>
        <w:t xml:space="preserve"> </w:t>
      </w:r>
      <w:r w:rsidRPr="00BF3C1A">
        <w:rPr>
          <w:rFonts w:ascii="Times New Roman" w:hAnsi="Times New Roman"/>
          <w:sz w:val="28"/>
          <w:szCs w:val="28"/>
          <w:lang w:val="kk-KZ"/>
        </w:rPr>
        <w:t>8</w:t>
      </w:r>
      <w:r>
        <w:rPr>
          <w:rFonts w:ascii="Times New Roman" w:hAnsi="Times New Roman"/>
          <w:sz w:val="28"/>
          <w:szCs w:val="28"/>
          <w:lang w:val="en-US"/>
        </w:rPr>
        <w:t xml:space="preserve">. </w:t>
      </w:r>
      <w:r w:rsidRPr="0060528F">
        <w:rPr>
          <w:rFonts w:ascii="Times New Roman" w:hAnsi="Times New Roman"/>
          <w:sz w:val="28"/>
          <w:szCs w:val="28"/>
          <w:lang w:val="en-US"/>
        </w:rPr>
        <w:t>–</w:t>
      </w:r>
      <w:r>
        <w:rPr>
          <w:rFonts w:ascii="Times New Roman" w:hAnsi="Times New Roman"/>
          <w:sz w:val="28"/>
          <w:szCs w:val="28"/>
          <w:lang w:val="en-US"/>
        </w:rPr>
        <w:t xml:space="preserve"> </w:t>
      </w:r>
      <w:r w:rsidRPr="0060528F">
        <w:rPr>
          <w:rFonts w:ascii="Times New Roman" w:hAnsi="Times New Roman"/>
          <w:sz w:val="28"/>
          <w:szCs w:val="28"/>
          <w:lang w:val="en-US"/>
        </w:rPr>
        <w:t>P.</w:t>
      </w:r>
      <w:r>
        <w:rPr>
          <w:rFonts w:ascii="Times New Roman" w:hAnsi="Times New Roman"/>
          <w:sz w:val="28"/>
          <w:szCs w:val="28"/>
          <w:lang w:val="en-US"/>
        </w:rPr>
        <w:t xml:space="preserve"> </w:t>
      </w:r>
      <w:r w:rsidRPr="00BF3C1A">
        <w:rPr>
          <w:rFonts w:ascii="Times New Roman" w:hAnsi="Times New Roman"/>
          <w:sz w:val="28"/>
          <w:szCs w:val="28"/>
          <w:lang w:val="kk-KZ"/>
        </w:rPr>
        <w:t>1396–1402</w:t>
      </w:r>
      <w:r>
        <w:rPr>
          <w:rFonts w:ascii="Times New Roman" w:hAnsi="Times New Roman"/>
          <w:sz w:val="28"/>
          <w:szCs w:val="28"/>
          <w:lang w:val="kk-KZ"/>
        </w:rPr>
        <w:t>.</w:t>
      </w:r>
    </w:p>
    <w:p w14:paraId="3FB15723" w14:textId="77777777" w:rsidR="00BB318A" w:rsidRPr="005E7AA6" w:rsidRDefault="00BB318A" w:rsidP="00BB318A">
      <w:pPr>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 xml:space="preserve">91 </w:t>
      </w:r>
      <w:r w:rsidRPr="00BF3C1A">
        <w:rPr>
          <w:rFonts w:ascii="Times New Roman" w:hAnsi="Times New Roman"/>
          <w:sz w:val="28"/>
          <w:szCs w:val="28"/>
          <w:lang w:val="kk-KZ"/>
        </w:rPr>
        <w:t>Duraes L</w:t>
      </w:r>
      <w:r>
        <w:rPr>
          <w:rFonts w:ascii="Times New Roman" w:hAnsi="Times New Roman"/>
          <w:sz w:val="28"/>
          <w:szCs w:val="28"/>
          <w:lang w:val="en-US"/>
        </w:rPr>
        <w:t>.</w:t>
      </w:r>
      <w:r w:rsidRPr="00BF3C1A">
        <w:rPr>
          <w:rFonts w:ascii="Times New Roman" w:hAnsi="Times New Roman"/>
          <w:sz w:val="28"/>
          <w:szCs w:val="28"/>
          <w:lang w:val="kk-KZ"/>
        </w:rPr>
        <w:t>C</w:t>
      </w:r>
      <w:r>
        <w:rPr>
          <w:rFonts w:ascii="Times New Roman" w:hAnsi="Times New Roman"/>
          <w:sz w:val="28"/>
          <w:szCs w:val="28"/>
          <w:lang w:val="en-US"/>
        </w:rPr>
        <w:t>.</w:t>
      </w:r>
      <w:r w:rsidRPr="00BF3C1A">
        <w:rPr>
          <w:rFonts w:ascii="Times New Roman" w:hAnsi="Times New Roman"/>
          <w:sz w:val="28"/>
          <w:szCs w:val="28"/>
          <w:lang w:val="kk-KZ"/>
        </w:rPr>
        <w:t>, Stocchi L</w:t>
      </w:r>
      <w:r>
        <w:rPr>
          <w:rFonts w:ascii="Times New Roman" w:hAnsi="Times New Roman"/>
          <w:sz w:val="28"/>
          <w:szCs w:val="28"/>
          <w:lang w:val="en-US"/>
        </w:rPr>
        <w:t>.</w:t>
      </w:r>
      <w:r w:rsidRPr="00BF3C1A">
        <w:rPr>
          <w:rFonts w:ascii="Times New Roman" w:hAnsi="Times New Roman"/>
          <w:sz w:val="28"/>
          <w:szCs w:val="28"/>
          <w:lang w:val="kk-KZ"/>
        </w:rPr>
        <w:t>, Dietz D</w:t>
      </w:r>
      <w:r>
        <w:rPr>
          <w:rFonts w:ascii="Times New Roman" w:hAnsi="Times New Roman"/>
          <w:sz w:val="28"/>
          <w:szCs w:val="28"/>
          <w:lang w:val="en-US"/>
        </w:rPr>
        <w:t>.</w:t>
      </w:r>
      <w:r w:rsidRPr="00BF3C1A">
        <w:rPr>
          <w:rFonts w:ascii="Times New Roman" w:hAnsi="Times New Roman"/>
          <w:sz w:val="28"/>
          <w:szCs w:val="28"/>
          <w:lang w:val="kk-KZ"/>
        </w:rPr>
        <w:t xml:space="preserve">, </w:t>
      </w:r>
      <w:r>
        <w:rPr>
          <w:rFonts w:ascii="Times New Roman" w:hAnsi="Times New Roman"/>
          <w:sz w:val="28"/>
          <w:szCs w:val="28"/>
          <w:lang w:val="en-US"/>
        </w:rPr>
        <w:t>et al.</w:t>
      </w:r>
      <w:r w:rsidRPr="00BF3C1A">
        <w:rPr>
          <w:rFonts w:ascii="Times New Roman" w:hAnsi="Times New Roman"/>
          <w:sz w:val="28"/>
          <w:szCs w:val="28"/>
          <w:lang w:val="kk-KZ"/>
        </w:rPr>
        <w:t xml:space="preserve"> The disproportionate effect of perioperative complications on mortality within 1 year after colorectal cancer resection in octogenarians</w:t>
      </w:r>
      <w:r w:rsidRPr="0060528F">
        <w:rPr>
          <w:rFonts w:ascii="Times New Roman" w:hAnsi="Times New Roman"/>
          <w:sz w:val="28"/>
          <w:szCs w:val="28"/>
          <w:lang w:val="en-US"/>
        </w:rPr>
        <w:t xml:space="preserve"> // </w:t>
      </w:r>
      <w:r w:rsidRPr="007F1FD7">
        <w:rPr>
          <w:rFonts w:ascii="Times New Roman" w:hAnsi="Times New Roman"/>
          <w:sz w:val="28"/>
          <w:szCs w:val="28"/>
          <w:lang w:val="kk-KZ"/>
        </w:rPr>
        <w:t>Annals of surgical oncology</w:t>
      </w:r>
      <w:r w:rsidRPr="0060528F">
        <w:rPr>
          <w:rFonts w:ascii="Times New Roman" w:hAnsi="Times New Roman"/>
          <w:sz w:val="28"/>
          <w:szCs w:val="28"/>
          <w:lang w:val="en-US"/>
        </w:rPr>
        <w:t xml:space="preserve">. – </w:t>
      </w:r>
      <w:r w:rsidRPr="00BF3C1A">
        <w:rPr>
          <w:rFonts w:ascii="Times New Roman" w:hAnsi="Times New Roman"/>
          <w:sz w:val="28"/>
          <w:szCs w:val="28"/>
          <w:lang w:val="kk-KZ"/>
        </w:rPr>
        <w:t>2016</w:t>
      </w:r>
      <w:r>
        <w:rPr>
          <w:rFonts w:ascii="Times New Roman" w:hAnsi="Times New Roman"/>
          <w:sz w:val="28"/>
          <w:szCs w:val="28"/>
          <w:lang w:val="en-US"/>
        </w:rPr>
        <w:t xml:space="preserve">. </w:t>
      </w:r>
      <w:r w:rsidRPr="0060528F">
        <w:rPr>
          <w:rFonts w:ascii="Times New Roman" w:hAnsi="Times New Roman"/>
          <w:sz w:val="28"/>
          <w:szCs w:val="28"/>
          <w:lang w:val="en-US"/>
        </w:rPr>
        <w:t>– Vol</w:t>
      </w:r>
      <w:r>
        <w:rPr>
          <w:rFonts w:ascii="Times New Roman" w:hAnsi="Times New Roman"/>
          <w:sz w:val="28"/>
          <w:szCs w:val="28"/>
          <w:lang w:val="en-US"/>
        </w:rPr>
        <w:t xml:space="preserve">. </w:t>
      </w:r>
      <w:r w:rsidRPr="00BF3C1A">
        <w:rPr>
          <w:rFonts w:ascii="Times New Roman" w:hAnsi="Times New Roman"/>
          <w:sz w:val="28"/>
          <w:szCs w:val="28"/>
          <w:lang w:val="kk-KZ"/>
        </w:rPr>
        <w:t>23</w:t>
      </w:r>
      <w:r w:rsidRPr="0060528F">
        <w:rPr>
          <w:rFonts w:ascii="Times New Roman" w:hAnsi="Times New Roman"/>
          <w:sz w:val="28"/>
          <w:szCs w:val="28"/>
          <w:lang w:val="en-US"/>
        </w:rPr>
        <w:t>, №</w:t>
      </w:r>
      <w:r>
        <w:rPr>
          <w:rFonts w:ascii="Times New Roman" w:hAnsi="Times New Roman"/>
          <w:sz w:val="28"/>
          <w:szCs w:val="28"/>
          <w:lang w:val="en-US"/>
        </w:rPr>
        <w:t xml:space="preserve"> </w:t>
      </w:r>
      <w:r w:rsidRPr="00BF3C1A">
        <w:rPr>
          <w:rFonts w:ascii="Times New Roman" w:hAnsi="Times New Roman"/>
          <w:sz w:val="28"/>
          <w:szCs w:val="28"/>
          <w:lang w:val="kk-KZ"/>
        </w:rPr>
        <w:t>13</w:t>
      </w:r>
      <w:r>
        <w:rPr>
          <w:rFonts w:ascii="Times New Roman" w:hAnsi="Times New Roman"/>
          <w:sz w:val="28"/>
          <w:szCs w:val="28"/>
          <w:lang w:val="en-US"/>
        </w:rPr>
        <w:t xml:space="preserve">. </w:t>
      </w:r>
      <w:r w:rsidRPr="0060528F">
        <w:rPr>
          <w:rFonts w:ascii="Times New Roman" w:hAnsi="Times New Roman"/>
          <w:sz w:val="28"/>
          <w:szCs w:val="28"/>
          <w:lang w:val="en-US"/>
        </w:rPr>
        <w:t>–</w:t>
      </w:r>
      <w:r>
        <w:rPr>
          <w:rFonts w:ascii="Times New Roman" w:hAnsi="Times New Roman"/>
          <w:sz w:val="28"/>
          <w:szCs w:val="28"/>
          <w:lang w:val="en-US"/>
        </w:rPr>
        <w:t xml:space="preserve"> </w:t>
      </w:r>
      <w:r w:rsidRPr="0060528F">
        <w:rPr>
          <w:rFonts w:ascii="Times New Roman" w:hAnsi="Times New Roman"/>
          <w:sz w:val="28"/>
          <w:szCs w:val="28"/>
          <w:lang w:val="en-US"/>
        </w:rPr>
        <w:t>P.</w:t>
      </w:r>
      <w:r>
        <w:rPr>
          <w:rFonts w:ascii="Times New Roman" w:hAnsi="Times New Roman"/>
          <w:sz w:val="28"/>
          <w:szCs w:val="28"/>
          <w:lang w:val="en-US"/>
        </w:rPr>
        <w:t xml:space="preserve"> </w:t>
      </w:r>
      <w:r w:rsidRPr="00BF3C1A">
        <w:rPr>
          <w:rFonts w:ascii="Times New Roman" w:hAnsi="Times New Roman"/>
          <w:sz w:val="28"/>
          <w:szCs w:val="28"/>
          <w:lang w:val="kk-KZ"/>
        </w:rPr>
        <w:t>4293–4301</w:t>
      </w:r>
    </w:p>
    <w:p w14:paraId="1168C29E" w14:textId="77777777" w:rsidR="00BB318A" w:rsidRDefault="00BB318A" w:rsidP="00BB318A">
      <w:pPr>
        <w:pStyle w:val="a7"/>
        <w:ind w:left="0" w:firstLine="567"/>
        <w:jc w:val="both"/>
        <w:rPr>
          <w:rFonts w:ascii="Times New Roman" w:hAnsi="Times New Roman"/>
          <w:sz w:val="28"/>
          <w:szCs w:val="28"/>
          <w:lang w:val="en-US"/>
        </w:rPr>
      </w:pPr>
      <w:r w:rsidRPr="004A722F">
        <w:rPr>
          <w:rFonts w:ascii="Times New Roman" w:hAnsi="Times New Roman"/>
          <w:sz w:val="28"/>
          <w:szCs w:val="28"/>
          <w:lang w:val="en-US"/>
        </w:rPr>
        <w:t>92</w:t>
      </w:r>
      <w:r w:rsidRPr="0060528F">
        <w:rPr>
          <w:rFonts w:ascii="Times New Roman" w:hAnsi="Times New Roman"/>
          <w:sz w:val="28"/>
          <w:szCs w:val="28"/>
          <w:lang w:val="en-US"/>
        </w:rPr>
        <w:t xml:space="preserve"> </w:t>
      </w:r>
      <w:r w:rsidRPr="00F73E53">
        <w:rPr>
          <w:rFonts w:ascii="Times New Roman" w:hAnsi="Times New Roman"/>
          <w:sz w:val="28"/>
          <w:szCs w:val="28"/>
          <w:lang w:val="en-US"/>
        </w:rPr>
        <w:t>Dekker J. W., van den Broek C. B., Bastiaannet E.,</w:t>
      </w:r>
      <w:r w:rsidRPr="004A722F">
        <w:rPr>
          <w:rFonts w:ascii="Times New Roman" w:hAnsi="Times New Roman"/>
          <w:sz w:val="28"/>
          <w:szCs w:val="28"/>
          <w:lang w:val="en-US"/>
        </w:rPr>
        <w:t xml:space="preserve"> et al. Importance of the first postoperative year in the prognosis of elderly colorectal cancer patients // </w:t>
      </w:r>
      <w:r w:rsidRPr="007F1FD7">
        <w:rPr>
          <w:rFonts w:ascii="Times New Roman" w:hAnsi="Times New Roman"/>
          <w:sz w:val="28"/>
          <w:szCs w:val="28"/>
          <w:lang w:val="en-US"/>
        </w:rPr>
        <w:t>Annals of surgical oncology</w:t>
      </w:r>
      <w:r w:rsidRPr="004A722F">
        <w:rPr>
          <w:rFonts w:ascii="Times New Roman" w:hAnsi="Times New Roman"/>
          <w:sz w:val="28"/>
          <w:szCs w:val="28"/>
          <w:lang w:val="en-US"/>
        </w:rPr>
        <w:t>. – 2011. – Vol. 18, №</w:t>
      </w:r>
      <w:r>
        <w:rPr>
          <w:rFonts w:ascii="Times New Roman" w:hAnsi="Times New Roman"/>
          <w:sz w:val="28"/>
          <w:szCs w:val="28"/>
          <w:lang w:val="en-US"/>
        </w:rPr>
        <w:t xml:space="preserve"> </w:t>
      </w:r>
      <w:r w:rsidRPr="004A722F">
        <w:rPr>
          <w:rFonts w:ascii="Times New Roman" w:hAnsi="Times New Roman"/>
          <w:sz w:val="28"/>
          <w:szCs w:val="28"/>
          <w:lang w:val="en-US"/>
        </w:rPr>
        <w:t>6. – P. 1533-1539.</w:t>
      </w:r>
    </w:p>
    <w:p w14:paraId="7AFEE643" w14:textId="77777777" w:rsidR="00BB318A" w:rsidRPr="00846808" w:rsidRDefault="00BB318A" w:rsidP="00BB318A">
      <w:pPr>
        <w:pStyle w:val="a7"/>
        <w:ind w:left="0" w:firstLine="567"/>
        <w:jc w:val="both"/>
        <w:rPr>
          <w:rFonts w:ascii="Times New Roman" w:hAnsi="Times New Roman"/>
          <w:sz w:val="28"/>
          <w:szCs w:val="28"/>
          <w:lang w:val="en-US"/>
        </w:rPr>
      </w:pPr>
      <w:r w:rsidRPr="004A722F">
        <w:rPr>
          <w:rFonts w:ascii="Times New Roman" w:hAnsi="Times New Roman"/>
          <w:sz w:val="28"/>
          <w:szCs w:val="28"/>
          <w:lang w:val="en-US"/>
        </w:rPr>
        <w:lastRenderedPageBreak/>
        <w:t xml:space="preserve">93 </w:t>
      </w:r>
      <w:r w:rsidRPr="00F73E53">
        <w:rPr>
          <w:rFonts w:ascii="Times New Roman" w:hAnsi="Times New Roman"/>
          <w:sz w:val="28"/>
          <w:szCs w:val="28"/>
          <w:lang w:val="en-US"/>
        </w:rPr>
        <w:t>Brosens R. P., Oomen J. L., Glas A. S.,</w:t>
      </w:r>
      <w:r w:rsidRPr="0060528F">
        <w:rPr>
          <w:rFonts w:ascii="Times New Roman" w:hAnsi="Times New Roman"/>
          <w:sz w:val="28"/>
          <w:szCs w:val="28"/>
          <w:lang w:val="en-US"/>
        </w:rPr>
        <w:t xml:space="preserve"> et al. POSSUM predicts decreased overall survival in curative resection for colorectal cancer // </w:t>
      </w:r>
      <w:r w:rsidRPr="007F1FD7">
        <w:rPr>
          <w:rFonts w:ascii="Times New Roman" w:hAnsi="Times New Roman"/>
          <w:sz w:val="28"/>
          <w:szCs w:val="28"/>
          <w:lang w:val="en-US"/>
        </w:rPr>
        <w:t>Diseases of the colon and rectum</w:t>
      </w:r>
      <w:r w:rsidRPr="0060528F">
        <w:rPr>
          <w:rFonts w:ascii="Times New Roman" w:hAnsi="Times New Roman"/>
          <w:sz w:val="28"/>
          <w:szCs w:val="28"/>
          <w:lang w:val="en-US"/>
        </w:rPr>
        <w:t>. – 2006. – Vol. 49, №</w:t>
      </w:r>
      <w:r>
        <w:rPr>
          <w:rFonts w:ascii="Times New Roman" w:hAnsi="Times New Roman"/>
          <w:sz w:val="28"/>
          <w:szCs w:val="28"/>
          <w:lang w:val="en-US"/>
        </w:rPr>
        <w:t xml:space="preserve"> </w:t>
      </w:r>
      <w:r w:rsidRPr="0060528F">
        <w:rPr>
          <w:rFonts w:ascii="Times New Roman" w:hAnsi="Times New Roman"/>
          <w:sz w:val="28"/>
          <w:szCs w:val="28"/>
          <w:lang w:val="en-US"/>
        </w:rPr>
        <w:t>6.– P. 825-832.</w:t>
      </w:r>
    </w:p>
    <w:p w14:paraId="1FD48164" w14:textId="77777777" w:rsidR="00BB318A" w:rsidRDefault="00BB318A" w:rsidP="00BB318A">
      <w:pPr>
        <w:pStyle w:val="a7"/>
        <w:ind w:left="0" w:firstLine="567"/>
        <w:jc w:val="both"/>
        <w:rPr>
          <w:rFonts w:ascii="Times New Roman" w:hAnsi="Times New Roman"/>
          <w:sz w:val="28"/>
          <w:szCs w:val="28"/>
          <w:lang w:val="en-US"/>
        </w:rPr>
      </w:pPr>
      <w:r w:rsidRPr="007854A5">
        <w:rPr>
          <w:rFonts w:ascii="Times New Roman" w:hAnsi="Times New Roman"/>
          <w:sz w:val="28"/>
          <w:szCs w:val="28"/>
          <w:lang w:val="en-US"/>
        </w:rPr>
        <w:t xml:space="preserve">94 </w:t>
      </w:r>
      <w:r w:rsidRPr="00F73E53">
        <w:rPr>
          <w:rFonts w:ascii="Times New Roman" w:hAnsi="Times New Roman"/>
          <w:sz w:val="28"/>
          <w:szCs w:val="28"/>
          <w:lang w:val="en-US"/>
        </w:rPr>
        <w:t>Rizk N.P., Bach P.B., Schrag D.,</w:t>
      </w:r>
      <w:r w:rsidRPr="0060528F">
        <w:rPr>
          <w:rFonts w:ascii="Times New Roman" w:hAnsi="Times New Roman"/>
          <w:sz w:val="28"/>
          <w:szCs w:val="28"/>
          <w:lang w:val="en-US"/>
        </w:rPr>
        <w:t xml:space="preserve"> et al. The impact of complications on outcomes after resection for esophageal and gastroesophageal junction carcinoma // </w:t>
      </w:r>
      <w:r w:rsidRPr="00F73E53">
        <w:rPr>
          <w:rFonts w:ascii="Times New Roman" w:hAnsi="Times New Roman"/>
          <w:sz w:val="28"/>
          <w:szCs w:val="28"/>
          <w:lang w:val="en-US"/>
        </w:rPr>
        <w:t>Journal of the American College of Surgeons</w:t>
      </w:r>
      <w:r w:rsidRPr="0060528F">
        <w:rPr>
          <w:rFonts w:ascii="Times New Roman" w:hAnsi="Times New Roman"/>
          <w:sz w:val="28"/>
          <w:szCs w:val="28"/>
          <w:lang w:val="en-US"/>
        </w:rPr>
        <w:t>. – 2004. – Vol. 198, №</w:t>
      </w:r>
      <w:r>
        <w:rPr>
          <w:rFonts w:ascii="Times New Roman" w:hAnsi="Times New Roman"/>
          <w:sz w:val="28"/>
          <w:szCs w:val="28"/>
          <w:lang w:val="en-US"/>
        </w:rPr>
        <w:t xml:space="preserve"> </w:t>
      </w:r>
      <w:r w:rsidRPr="0060528F">
        <w:rPr>
          <w:rFonts w:ascii="Times New Roman" w:hAnsi="Times New Roman"/>
          <w:sz w:val="28"/>
          <w:szCs w:val="28"/>
          <w:lang w:val="en-US"/>
        </w:rPr>
        <w:t>1. – P. 42-50.</w:t>
      </w:r>
    </w:p>
    <w:p w14:paraId="3674A648" w14:textId="77777777" w:rsidR="00BB318A" w:rsidRPr="00C954CB" w:rsidRDefault="00BB318A" w:rsidP="00BB318A">
      <w:pPr>
        <w:pStyle w:val="a7"/>
        <w:ind w:left="0" w:firstLine="567"/>
        <w:jc w:val="both"/>
        <w:rPr>
          <w:rFonts w:ascii="Times New Roman" w:hAnsi="Times New Roman"/>
          <w:sz w:val="28"/>
          <w:szCs w:val="28"/>
          <w:lang w:val="en-US"/>
        </w:rPr>
      </w:pPr>
      <w:r w:rsidRPr="007854A5">
        <w:rPr>
          <w:rFonts w:ascii="Times New Roman" w:hAnsi="Times New Roman"/>
          <w:sz w:val="28"/>
          <w:szCs w:val="28"/>
          <w:lang w:val="en-US"/>
        </w:rPr>
        <w:t xml:space="preserve">95 Degett T.H., Christensen J., Thomsen L.A., </w:t>
      </w:r>
      <w:r>
        <w:rPr>
          <w:rFonts w:ascii="Times New Roman" w:hAnsi="Times New Roman"/>
          <w:sz w:val="28"/>
          <w:szCs w:val="28"/>
          <w:lang w:val="en-US"/>
        </w:rPr>
        <w:t>et al.</w:t>
      </w:r>
      <w:r w:rsidRPr="007854A5">
        <w:rPr>
          <w:rFonts w:ascii="Times New Roman" w:hAnsi="Times New Roman"/>
          <w:sz w:val="28"/>
          <w:szCs w:val="28"/>
          <w:lang w:val="en-US"/>
        </w:rPr>
        <w:t xml:space="preserve"> Nationwide cohort study of the impact of education, income and social isolation on survival after acute colorectal cancer surgery</w:t>
      </w:r>
      <w:r w:rsidRPr="0060528F">
        <w:rPr>
          <w:rFonts w:ascii="Times New Roman" w:hAnsi="Times New Roman"/>
          <w:sz w:val="28"/>
          <w:szCs w:val="28"/>
          <w:lang w:val="en-US"/>
        </w:rPr>
        <w:t xml:space="preserve"> // </w:t>
      </w:r>
      <w:r w:rsidRPr="007854A5">
        <w:rPr>
          <w:rFonts w:ascii="Times New Roman" w:hAnsi="Times New Roman"/>
          <w:sz w:val="28"/>
          <w:szCs w:val="28"/>
          <w:lang w:val="en-US"/>
        </w:rPr>
        <w:t>BJS open</w:t>
      </w:r>
      <w:r w:rsidRPr="0060528F">
        <w:rPr>
          <w:rFonts w:ascii="Times New Roman" w:hAnsi="Times New Roman"/>
          <w:sz w:val="28"/>
          <w:szCs w:val="28"/>
          <w:lang w:val="en-US"/>
        </w:rPr>
        <w:t xml:space="preserve">. – </w:t>
      </w:r>
      <w:r w:rsidRPr="007854A5">
        <w:rPr>
          <w:rFonts w:ascii="Times New Roman" w:hAnsi="Times New Roman"/>
          <w:sz w:val="28"/>
          <w:szCs w:val="28"/>
          <w:lang w:val="en-US"/>
        </w:rPr>
        <w:t>2020.</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7854A5">
        <w:rPr>
          <w:rFonts w:ascii="Times New Roman" w:hAnsi="Times New Roman"/>
          <w:sz w:val="28"/>
          <w:szCs w:val="28"/>
          <w:lang w:val="en-US"/>
        </w:rPr>
        <w:t>4</w:t>
      </w:r>
      <w:r w:rsidRPr="0060528F">
        <w:rPr>
          <w:rFonts w:ascii="Times New Roman" w:hAnsi="Times New Roman"/>
          <w:sz w:val="28"/>
          <w:szCs w:val="28"/>
          <w:lang w:val="en-US"/>
        </w:rPr>
        <w:t>, №</w:t>
      </w:r>
      <w:r>
        <w:rPr>
          <w:rFonts w:ascii="Times New Roman" w:hAnsi="Times New Roman"/>
          <w:sz w:val="28"/>
          <w:szCs w:val="28"/>
          <w:lang w:val="en-US"/>
        </w:rPr>
        <w:t xml:space="preserve"> </w:t>
      </w:r>
      <w:r w:rsidRPr="007854A5">
        <w:rPr>
          <w:rFonts w:ascii="Times New Roman" w:hAnsi="Times New Roman"/>
          <w:sz w:val="28"/>
          <w:szCs w:val="28"/>
          <w:lang w:val="en-US"/>
        </w:rPr>
        <w:t>1, 133–144.</w:t>
      </w:r>
    </w:p>
    <w:p w14:paraId="341BE08A" w14:textId="77777777" w:rsidR="00BB318A" w:rsidRPr="0060528F" w:rsidRDefault="00BB318A" w:rsidP="00BB318A">
      <w:pPr>
        <w:pStyle w:val="a7"/>
        <w:ind w:left="0" w:firstLine="567"/>
        <w:jc w:val="both"/>
        <w:rPr>
          <w:rFonts w:ascii="Times New Roman" w:hAnsi="Times New Roman"/>
          <w:sz w:val="28"/>
          <w:szCs w:val="28"/>
          <w:lang w:val="en-US"/>
        </w:rPr>
      </w:pPr>
      <w:r w:rsidRPr="00BD77D5">
        <w:rPr>
          <w:rFonts w:ascii="Times New Roman" w:hAnsi="Times New Roman"/>
          <w:sz w:val="28"/>
          <w:szCs w:val="28"/>
          <w:lang w:val="en-US"/>
        </w:rPr>
        <w:t>9</w:t>
      </w:r>
      <w:r w:rsidRPr="0060528F">
        <w:rPr>
          <w:rFonts w:ascii="Times New Roman" w:hAnsi="Times New Roman"/>
          <w:sz w:val="28"/>
          <w:szCs w:val="28"/>
          <w:lang w:val="en-US"/>
        </w:rPr>
        <w:t xml:space="preserve">6 </w:t>
      </w:r>
      <w:r w:rsidRPr="00FF47F3">
        <w:rPr>
          <w:rFonts w:ascii="Times New Roman" w:hAnsi="Times New Roman"/>
          <w:sz w:val="28"/>
          <w:szCs w:val="28"/>
          <w:lang w:val="en-US"/>
        </w:rPr>
        <w:t>Berger A</w:t>
      </w:r>
      <w:r>
        <w:rPr>
          <w:rFonts w:ascii="Times New Roman" w:hAnsi="Times New Roman"/>
          <w:sz w:val="28"/>
          <w:szCs w:val="28"/>
          <w:lang w:val="en-US"/>
        </w:rPr>
        <w:t>.</w:t>
      </w:r>
      <w:r w:rsidRPr="00FF47F3">
        <w:rPr>
          <w:rFonts w:ascii="Times New Roman" w:hAnsi="Times New Roman"/>
          <w:sz w:val="28"/>
          <w:szCs w:val="28"/>
          <w:lang w:val="en-US"/>
        </w:rPr>
        <w:t>C</w:t>
      </w:r>
      <w:r>
        <w:rPr>
          <w:rFonts w:ascii="Times New Roman" w:hAnsi="Times New Roman"/>
          <w:sz w:val="28"/>
          <w:szCs w:val="28"/>
          <w:lang w:val="en-US"/>
        </w:rPr>
        <w:t>.</w:t>
      </w:r>
      <w:r w:rsidRPr="00FF47F3">
        <w:rPr>
          <w:rFonts w:ascii="Times New Roman" w:hAnsi="Times New Roman"/>
          <w:sz w:val="28"/>
          <w:szCs w:val="28"/>
          <w:lang w:val="en-US"/>
        </w:rPr>
        <w:t>, Sigurdson E</w:t>
      </w:r>
      <w:r>
        <w:rPr>
          <w:rFonts w:ascii="Times New Roman" w:hAnsi="Times New Roman"/>
          <w:sz w:val="28"/>
          <w:szCs w:val="28"/>
          <w:lang w:val="en-US"/>
        </w:rPr>
        <w:t>.</w:t>
      </w:r>
      <w:r w:rsidRPr="00FF47F3">
        <w:rPr>
          <w:rFonts w:ascii="Times New Roman" w:hAnsi="Times New Roman"/>
          <w:sz w:val="28"/>
          <w:szCs w:val="28"/>
          <w:lang w:val="en-US"/>
        </w:rPr>
        <w:t>R</w:t>
      </w:r>
      <w:r>
        <w:rPr>
          <w:rFonts w:ascii="Times New Roman" w:hAnsi="Times New Roman"/>
          <w:sz w:val="28"/>
          <w:szCs w:val="28"/>
          <w:lang w:val="en-US"/>
        </w:rPr>
        <w:t>.</w:t>
      </w:r>
      <w:r w:rsidRPr="00FF47F3">
        <w:rPr>
          <w:rFonts w:ascii="Times New Roman" w:hAnsi="Times New Roman"/>
          <w:sz w:val="28"/>
          <w:szCs w:val="28"/>
          <w:lang w:val="en-US"/>
        </w:rPr>
        <w:t>, LeVoyer T</w:t>
      </w:r>
      <w:r>
        <w:rPr>
          <w:rFonts w:ascii="Times New Roman" w:hAnsi="Times New Roman"/>
          <w:sz w:val="28"/>
          <w:szCs w:val="28"/>
          <w:lang w:val="en-US"/>
        </w:rPr>
        <w:t>.</w:t>
      </w:r>
      <w:r w:rsidRPr="00FF47F3">
        <w:rPr>
          <w:rFonts w:ascii="Times New Roman" w:hAnsi="Times New Roman"/>
          <w:sz w:val="28"/>
          <w:szCs w:val="28"/>
          <w:lang w:val="en-US"/>
        </w:rPr>
        <w:t>,</w:t>
      </w:r>
      <w:r w:rsidRPr="0060528F">
        <w:rPr>
          <w:rFonts w:ascii="Times New Roman" w:hAnsi="Times New Roman"/>
          <w:sz w:val="28"/>
          <w:szCs w:val="28"/>
          <w:lang w:val="en-US"/>
        </w:rPr>
        <w:t xml:space="preserve"> et al. Colon cancer survival is associated with decreasing ratio of metastatic to examined lymph nodes // </w:t>
      </w:r>
      <w:r w:rsidRPr="000C68E8">
        <w:rPr>
          <w:rFonts w:ascii="Times New Roman" w:hAnsi="Times New Roman"/>
          <w:sz w:val="28"/>
          <w:szCs w:val="28"/>
          <w:lang w:val="en-US"/>
        </w:rPr>
        <w:t>Journal of clinical oncology: official journal of the American Society of Clinical Oncology</w:t>
      </w:r>
      <w:r w:rsidRPr="0060528F">
        <w:rPr>
          <w:rFonts w:ascii="Times New Roman" w:hAnsi="Times New Roman"/>
          <w:sz w:val="28"/>
          <w:szCs w:val="28"/>
          <w:lang w:val="en-US"/>
        </w:rPr>
        <w:t>. – 2005. – Vol. 23, №</w:t>
      </w:r>
      <w:r>
        <w:rPr>
          <w:rFonts w:ascii="Times New Roman" w:hAnsi="Times New Roman"/>
          <w:sz w:val="28"/>
          <w:szCs w:val="28"/>
          <w:lang w:val="en-US"/>
        </w:rPr>
        <w:t xml:space="preserve"> </w:t>
      </w:r>
      <w:r w:rsidRPr="0060528F">
        <w:rPr>
          <w:rFonts w:ascii="Times New Roman" w:hAnsi="Times New Roman"/>
          <w:sz w:val="28"/>
          <w:szCs w:val="28"/>
          <w:lang w:val="en-US"/>
        </w:rPr>
        <w:t>34. –</w:t>
      </w:r>
      <w:r w:rsidRPr="00846808">
        <w:rPr>
          <w:rFonts w:ascii="Times New Roman" w:hAnsi="Times New Roman"/>
          <w:sz w:val="28"/>
          <w:szCs w:val="28"/>
          <w:lang w:val="en-US"/>
        </w:rPr>
        <w:t xml:space="preserve"> </w:t>
      </w:r>
      <w:r w:rsidRPr="0060528F">
        <w:rPr>
          <w:rFonts w:ascii="Times New Roman" w:hAnsi="Times New Roman"/>
          <w:sz w:val="28"/>
          <w:szCs w:val="28"/>
          <w:lang w:val="en-US"/>
        </w:rPr>
        <w:t>P. 8706-8712.</w:t>
      </w:r>
    </w:p>
    <w:p w14:paraId="2C81D371" w14:textId="77777777" w:rsidR="00BB318A" w:rsidRPr="0060528F" w:rsidRDefault="00BB318A" w:rsidP="00BB318A">
      <w:pPr>
        <w:pStyle w:val="a7"/>
        <w:ind w:left="0" w:firstLine="567"/>
        <w:jc w:val="both"/>
        <w:rPr>
          <w:rFonts w:ascii="Times New Roman" w:hAnsi="Times New Roman"/>
          <w:sz w:val="28"/>
          <w:szCs w:val="28"/>
          <w:lang w:val="en-US"/>
        </w:rPr>
      </w:pPr>
      <w:r w:rsidRPr="00BD77D5">
        <w:rPr>
          <w:rFonts w:ascii="Times New Roman" w:hAnsi="Times New Roman"/>
          <w:sz w:val="28"/>
          <w:szCs w:val="28"/>
          <w:lang w:val="en-US"/>
        </w:rPr>
        <w:t>97</w:t>
      </w:r>
      <w:r w:rsidRPr="0060528F">
        <w:rPr>
          <w:rFonts w:ascii="Times New Roman" w:hAnsi="Times New Roman"/>
          <w:sz w:val="28"/>
          <w:szCs w:val="28"/>
          <w:lang w:val="en-US"/>
        </w:rPr>
        <w:t xml:space="preserve"> </w:t>
      </w:r>
      <w:r w:rsidRPr="00C032EA">
        <w:rPr>
          <w:rFonts w:ascii="Times New Roman" w:hAnsi="Times New Roman"/>
          <w:sz w:val="28"/>
          <w:szCs w:val="28"/>
          <w:lang w:val="en-US"/>
        </w:rPr>
        <w:t>Garrity M</w:t>
      </w:r>
      <w:r>
        <w:rPr>
          <w:rFonts w:ascii="Times New Roman" w:hAnsi="Times New Roman"/>
          <w:sz w:val="28"/>
          <w:szCs w:val="28"/>
          <w:lang w:val="en-US"/>
        </w:rPr>
        <w:t>.</w:t>
      </w:r>
      <w:r w:rsidRPr="00C032EA">
        <w:rPr>
          <w:rFonts w:ascii="Times New Roman" w:hAnsi="Times New Roman"/>
          <w:sz w:val="28"/>
          <w:szCs w:val="28"/>
          <w:lang w:val="en-US"/>
        </w:rPr>
        <w:t>M</w:t>
      </w:r>
      <w:r>
        <w:rPr>
          <w:rFonts w:ascii="Times New Roman" w:hAnsi="Times New Roman"/>
          <w:sz w:val="28"/>
          <w:szCs w:val="28"/>
          <w:lang w:val="en-US"/>
        </w:rPr>
        <w:t>.</w:t>
      </w:r>
      <w:r w:rsidRPr="00C032EA">
        <w:rPr>
          <w:rFonts w:ascii="Times New Roman" w:hAnsi="Times New Roman"/>
          <w:sz w:val="28"/>
          <w:szCs w:val="28"/>
          <w:lang w:val="en-US"/>
        </w:rPr>
        <w:t>, Burgart L</w:t>
      </w:r>
      <w:r>
        <w:rPr>
          <w:rFonts w:ascii="Times New Roman" w:hAnsi="Times New Roman"/>
          <w:sz w:val="28"/>
          <w:szCs w:val="28"/>
          <w:lang w:val="en-US"/>
        </w:rPr>
        <w:t>.</w:t>
      </w:r>
      <w:r w:rsidRPr="00C032EA">
        <w:rPr>
          <w:rFonts w:ascii="Times New Roman" w:hAnsi="Times New Roman"/>
          <w:sz w:val="28"/>
          <w:szCs w:val="28"/>
          <w:lang w:val="en-US"/>
        </w:rPr>
        <w:t>J</w:t>
      </w:r>
      <w:r>
        <w:rPr>
          <w:rFonts w:ascii="Times New Roman" w:hAnsi="Times New Roman"/>
          <w:sz w:val="28"/>
          <w:szCs w:val="28"/>
          <w:lang w:val="en-US"/>
        </w:rPr>
        <w:t>.</w:t>
      </w:r>
      <w:r w:rsidRPr="00C032EA">
        <w:rPr>
          <w:rFonts w:ascii="Times New Roman" w:hAnsi="Times New Roman"/>
          <w:sz w:val="28"/>
          <w:szCs w:val="28"/>
          <w:lang w:val="en-US"/>
        </w:rPr>
        <w:t>, Mahoney M</w:t>
      </w:r>
      <w:r>
        <w:rPr>
          <w:rFonts w:ascii="Times New Roman" w:hAnsi="Times New Roman"/>
          <w:sz w:val="28"/>
          <w:szCs w:val="28"/>
          <w:lang w:val="en-US"/>
        </w:rPr>
        <w:t>.</w:t>
      </w:r>
      <w:r w:rsidRPr="00C032EA">
        <w:rPr>
          <w:rFonts w:ascii="Times New Roman" w:hAnsi="Times New Roman"/>
          <w:sz w:val="28"/>
          <w:szCs w:val="28"/>
          <w:lang w:val="en-US"/>
        </w:rPr>
        <w:t>R</w:t>
      </w:r>
      <w:r>
        <w:rPr>
          <w:rFonts w:ascii="Times New Roman" w:hAnsi="Times New Roman"/>
          <w:sz w:val="28"/>
          <w:szCs w:val="28"/>
          <w:lang w:val="en-US"/>
        </w:rPr>
        <w:t>.,</w:t>
      </w:r>
      <w:r w:rsidRPr="0060528F">
        <w:rPr>
          <w:rFonts w:ascii="Times New Roman" w:hAnsi="Times New Roman"/>
          <w:sz w:val="28"/>
          <w:szCs w:val="28"/>
          <w:lang w:val="en-US"/>
        </w:rPr>
        <w:t xml:space="preserve"> et al. Prognostic value of proliferation, apoptosis, defective DNA mismatch repair, and p53 overexpression in patients with resected Dukes’ B2 or C colon cancer: a North Central Cancer Treatment Group Study // </w:t>
      </w:r>
      <w:r w:rsidRPr="00C032EA">
        <w:rPr>
          <w:rFonts w:ascii="Times New Roman" w:hAnsi="Times New Roman"/>
          <w:sz w:val="28"/>
          <w:szCs w:val="28"/>
          <w:lang w:val="en-US"/>
        </w:rPr>
        <w:t>Journal of clinical oncology: official journal of the American Society of Clinical Oncology</w:t>
      </w:r>
      <w:r w:rsidRPr="0060528F">
        <w:rPr>
          <w:rFonts w:ascii="Times New Roman" w:hAnsi="Times New Roman"/>
          <w:sz w:val="28"/>
          <w:szCs w:val="28"/>
          <w:lang w:val="en-US"/>
        </w:rPr>
        <w:t>. – 2004. – Vol. 22, №</w:t>
      </w:r>
      <w:r>
        <w:rPr>
          <w:rFonts w:ascii="Times New Roman" w:hAnsi="Times New Roman"/>
          <w:sz w:val="28"/>
          <w:szCs w:val="28"/>
          <w:lang w:val="en-US"/>
        </w:rPr>
        <w:t xml:space="preserve"> </w:t>
      </w:r>
      <w:r w:rsidRPr="0060528F">
        <w:rPr>
          <w:rFonts w:ascii="Times New Roman" w:hAnsi="Times New Roman"/>
          <w:sz w:val="28"/>
          <w:szCs w:val="28"/>
          <w:lang w:val="en-US"/>
        </w:rPr>
        <w:t>9. – P. 1572-1582.</w:t>
      </w:r>
    </w:p>
    <w:p w14:paraId="0B997091" w14:textId="77777777" w:rsidR="00BB318A" w:rsidRPr="0060528F" w:rsidRDefault="00BB318A" w:rsidP="00BB318A">
      <w:pPr>
        <w:pStyle w:val="a7"/>
        <w:ind w:left="0" w:firstLine="567"/>
        <w:jc w:val="both"/>
        <w:rPr>
          <w:rFonts w:ascii="Times New Roman" w:hAnsi="Times New Roman"/>
          <w:sz w:val="28"/>
          <w:szCs w:val="28"/>
          <w:lang w:val="en-US"/>
        </w:rPr>
      </w:pPr>
      <w:r w:rsidRPr="00BD77D5">
        <w:rPr>
          <w:rFonts w:ascii="Times New Roman" w:hAnsi="Times New Roman"/>
          <w:sz w:val="28"/>
          <w:szCs w:val="28"/>
          <w:lang w:val="en-US"/>
        </w:rPr>
        <w:t>9</w:t>
      </w:r>
      <w:r w:rsidRPr="0060528F">
        <w:rPr>
          <w:rFonts w:ascii="Times New Roman" w:hAnsi="Times New Roman"/>
          <w:sz w:val="28"/>
          <w:szCs w:val="28"/>
          <w:lang w:val="en-US"/>
        </w:rPr>
        <w:t xml:space="preserve">8 Kehoe J., Khatri V.P. Staging and prognosis of colon cancer // </w:t>
      </w:r>
      <w:r w:rsidRPr="00C032EA">
        <w:rPr>
          <w:rFonts w:ascii="Times New Roman" w:hAnsi="Times New Roman"/>
          <w:sz w:val="28"/>
          <w:szCs w:val="28"/>
          <w:lang w:val="en-US"/>
        </w:rPr>
        <w:t>Surgical oncology clinics of North America</w:t>
      </w:r>
      <w:r w:rsidRPr="0060528F">
        <w:rPr>
          <w:rFonts w:ascii="Times New Roman" w:hAnsi="Times New Roman"/>
          <w:sz w:val="28"/>
          <w:szCs w:val="28"/>
          <w:lang w:val="en-US"/>
        </w:rPr>
        <w:t>. – 2006. – Vol. 15, №</w:t>
      </w:r>
      <w:r>
        <w:rPr>
          <w:rFonts w:ascii="Times New Roman" w:hAnsi="Times New Roman"/>
          <w:sz w:val="28"/>
          <w:szCs w:val="28"/>
          <w:lang w:val="en-US"/>
        </w:rPr>
        <w:t xml:space="preserve"> </w:t>
      </w:r>
      <w:r w:rsidRPr="0060528F">
        <w:rPr>
          <w:rFonts w:ascii="Times New Roman" w:hAnsi="Times New Roman"/>
          <w:sz w:val="28"/>
          <w:szCs w:val="28"/>
          <w:lang w:val="en-US"/>
        </w:rPr>
        <w:t>1. – P. 129-146.</w:t>
      </w:r>
    </w:p>
    <w:p w14:paraId="18802E57"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Fonts w:ascii="Times New Roman" w:hAnsi="Times New Roman"/>
          <w:sz w:val="28"/>
          <w:szCs w:val="28"/>
          <w:lang w:val="en-US"/>
        </w:rPr>
        <w:t>9</w:t>
      </w:r>
      <w:r w:rsidRPr="0060528F">
        <w:rPr>
          <w:rFonts w:ascii="Times New Roman" w:hAnsi="Times New Roman"/>
          <w:sz w:val="28"/>
          <w:szCs w:val="28"/>
          <w:lang w:val="en-US"/>
        </w:rPr>
        <w:t xml:space="preserve">9 </w:t>
      </w:r>
      <w:r w:rsidRPr="00C032EA">
        <w:rPr>
          <w:rFonts w:ascii="Times New Roman" w:hAnsi="Times New Roman"/>
          <w:sz w:val="28"/>
          <w:szCs w:val="28"/>
          <w:lang w:val="en-US"/>
        </w:rPr>
        <w:t>Liu Q</w:t>
      </w:r>
      <w:r>
        <w:rPr>
          <w:rFonts w:ascii="Times New Roman" w:hAnsi="Times New Roman"/>
          <w:sz w:val="28"/>
          <w:szCs w:val="28"/>
          <w:lang w:val="en-US"/>
        </w:rPr>
        <w:t>.</w:t>
      </w:r>
      <w:r w:rsidRPr="00C032EA">
        <w:rPr>
          <w:rFonts w:ascii="Times New Roman" w:hAnsi="Times New Roman"/>
          <w:sz w:val="28"/>
          <w:szCs w:val="28"/>
          <w:lang w:val="en-US"/>
        </w:rPr>
        <w:t>, Luo D</w:t>
      </w:r>
      <w:r>
        <w:rPr>
          <w:rFonts w:ascii="Times New Roman" w:hAnsi="Times New Roman"/>
          <w:sz w:val="28"/>
          <w:szCs w:val="28"/>
          <w:lang w:val="en-US"/>
        </w:rPr>
        <w:t>.</w:t>
      </w:r>
      <w:r w:rsidRPr="00C032EA">
        <w:rPr>
          <w:rFonts w:ascii="Times New Roman" w:hAnsi="Times New Roman"/>
          <w:sz w:val="28"/>
          <w:szCs w:val="28"/>
          <w:lang w:val="en-US"/>
        </w:rPr>
        <w:t>, Cai S</w:t>
      </w:r>
      <w:r>
        <w:rPr>
          <w:rFonts w:ascii="Times New Roman" w:hAnsi="Times New Roman"/>
          <w:sz w:val="28"/>
          <w:szCs w:val="28"/>
          <w:lang w:val="en-US"/>
        </w:rPr>
        <w:t>.</w:t>
      </w:r>
      <w:r w:rsidRPr="00C032EA">
        <w:rPr>
          <w:rFonts w:ascii="Times New Roman" w:hAnsi="Times New Roman"/>
          <w:sz w:val="28"/>
          <w:szCs w:val="28"/>
          <w:lang w:val="en-US"/>
        </w:rPr>
        <w:t>, Li Q</w:t>
      </w:r>
      <w:r>
        <w:rPr>
          <w:rFonts w:ascii="Times New Roman" w:hAnsi="Times New Roman"/>
          <w:sz w:val="28"/>
          <w:szCs w:val="28"/>
          <w:lang w:val="en-US"/>
        </w:rPr>
        <w:t>.</w:t>
      </w:r>
      <w:r w:rsidRPr="00C032EA">
        <w:rPr>
          <w:rFonts w:ascii="Times New Roman" w:hAnsi="Times New Roman"/>
          <w:sz w:val="28"/>
          <w:szCs w:val="28"/>
          <w:lang w:val="en-US"/>
        </w:rPr>
        <w:t>, Li X.</w:t>
      </w:r>
      <w:r w:rsidRPr="0060528F">
        <w:rPr>
          <w:rFonts w:ascii="Times New Roman" w:hAnsi="Times New Roman"/>
          <w:sz w:val="28"/>
          <w:szCs w:val="28"/>
          <w:lang w:val="en-US"/>
        </w:rPr>
        <w:t xml:space="preserve"> et al. P-TNM staging system for colon cancer: combination of P-stage and AJCC TNM staging system for improving prognostic prediction and clinical management // </w:t>
      </w:r>
      <w:r w:rsidRPr="00C032EA">
        <w:rPr>
          <w:rFonts w:ascii="Times New Roman" w:hAnsi="Times New Roman"/>
          <w:sz w:val="28"/>
          <w:szCs w:val="28"/>
          <w:lang w:val="en-US"/>
        </w:rPr>
        <w:t>Cancer management and research</w:t>
      </w:r>
      <w:r w:rsidRPr="0060528F">
        <w:rPr>
          <w:rFonts w:ascii="Times New Roman" w:hAnsi="Times New Roman"/>
          <w:sz w:val="28"/>
          <w:szCs w:val="28"/>
          <w:lang w:val="en-US"/>
        </w:rPr>
        <w:t>. – 2018. – Vol. 10. – P. 2303-2314.</w:t>
      </w:r>
    </w:p>
    <w:p w14:paraId="087E73E9" w14:textId="77777777" w:rsidR="00BB318A" w:rsidRPr="0060528F" w:rsidRDefault="00BB318A" w:rsidP="00BB318A">
      <w:pPr>
        <w:spacing w:after="0" w:line="240" w:lineRule="auto"/>
        <w:ind w:firstLine="567"/>
        <w:jc w:val="both"/>
        <w:rPr>
          <w:rFonts w:ascii="Times New Roman" w:hAnsi="Times New Roman"/>
          <w:sz w:val="28"/>
          <w:szCs w:val="28"/>
        </w:rPr>
      </w:pPr>
      <w:r>
        <w:rPr>
          <w:rFonts w:ascii="Times New Roman" w:hAnsi="Times New Roman"/>
          <w:sz w:val="28"/>
          <w:szCs w:val="28"/>
        </w:rPr>
        <w:t>10</w:t>
      </w:r>
      <w:r w:rsidRPr="0060528F">
        <w:rPr>
          <w:rFonts w:ascii="Times New Roman" w:hAnsi="Times New Roman"/>
          <w:sz w:val="28"/>
          <w:szCs w:val="28"/>
        </w:rPr>
        <w:t xml:space="preserve">0 Куканова А.М. Макишев А.К., Бекишева А.Т. и др. Роль </w:t>
      </w:r>
      <w:r w:rsidRPr="0060528F">
        <w:rPr>
          <w:rFonts w:ascii="Times New Roman" w:hAnsi="Times New Roman"/>
          <w:sz w:val="28"/>
          <w:szCs w:val="28"/>
          <w:lang w:val="en-US"/>
        </w:rPr>
        <w:t>KRAS</w:t>
      </w:r>
      <w:r w:rsidRPr="0060528F">
        <w:rPr>
          <w:rFonts w:ascii="Times New Roman" w:hAnsi="Times New Roman"/>
          <w:sz w:val="28"/>
          <w:szCs w:val="28"/>
        </w:rPr>
        <w:t xml:space="preserve"> мутации в прогнозировании лечения колоректального рака // </w:t>
      </w:r>
      <w:r w:rsidRPr="0060528F">
        <w:rPr>
          <w:rFonts w:ascii="Times New Roman" w:hAnsi="Times New Roman"/>
          <w:sz w:val="28"/>
          <w:szCs w:val="28"/>
          <w:lang w:val="en-US"/>
        </w:rPr>
        <w:t>Advances</w:t>
      </w:r>
      <w:r w:rsidRPr="0060528F">
        <w:rPr>
          <w:rFonts w:ascii="Times New Roman" w:hAnsi="Times New Roman"/>
          <w:sz w:val="28"/>
          <w:szCs w:val="28"/>
        </w:rPr>
        <w:t xml:space="preserve"> </w:t>
      </w:r>
      <w:r w:rsidRPr="0060528F">
        <w:rPr>
          <w:rFonts w:ascii="Times New Roman" w:hAnsi="Times New Roman"/>
          <w:sz w:val="28"/>
          <w:szCs w:val="28"/>
          <w:lang w:val="en-US"/>
        </w:rPr>
        <w:t>in</w:t>
      </w:r>
      <w:r w:rsidRPr="0060528F">
        <w:rPr>
          <w:rFonts w:ascii="Times New Roman" w:hAnsi="Times New Roman"/>
          <w:sz w:val="28"/>
          <w:szCs w:val="28"/>
        </w:rPr>
        <w:t xml:space="preserve"> </w:t>
      </w:r>
      <w:r w:rsidRPr="0060528F">
        <w:rPr>
          <w:rFonts w:ascii="Times New Roman" w:hAnsi="Times New Roman"/>
          <w:sz w:val="28"/>
          <w:szCs w:val="28"/>
          <w:lang w:val="en-US"/>
        </w:rPr>
        <w:t>Science</w:t>
      </w:r>
      <w:r w:rsidRPr="0060528F">
        <w:rPr>
          <w:rFonts w:ascii="Times New Roman" w:hAnsi="Times New Roman"/>
          <w:sz w:val="28"/>
          <w:szCs w:val="28"/>
        </w:rPr>
        <w:t xml:space="preserve"> </w:t>
      </w:r>
      <w:r w:rsidRPr="0060528F">
        <w:rPr>
          <w:rFonts w:ascii="Times New Roman" w:hAnsi="Times New Roman"/>
          <w:sz w:val="28"/>
          <w:szCs w:val="28"/>
          <w:lang w:val="en-US"/>
        </w:rPr>
        <w:t>and</w:t>
      </w:r>
      <w:r w:rsidRPr="0060528F">
        <w:rPr>
          <w:rFonts w:ascii="Times New Roman" w:hAnsi="Times New Roman"/>
          <w:sz w:val="28"/>
          <w:szCs w:val="28"/>
        </w:rPr>
        <w:t xml:space="preserve"> </w:t>
      </w:r>
      <w:r w:rsidRPr="0060528F">
        <w:rPr>
          <w:rFonts w:ascii="Times New Roman" w:hAnsi="Times New Roman"/>
          <w:sz w:val="28"/>
          <w:szCs w:val="28"/>
          <w:lang w:val="en-US"/>
        </w:rPr>
        <w:t>Technology</w:t>
      </w:r>
      <w:r w:rsidRPr="0060528F">
        <w:rPr>
          <w:rFonts w:ascii="Times New Roman" w:hAnsi="Times New Roman"/>
          <w:sz w:val="28"/>
          <w:szCs w:val="28"/>
        </w:rPr>
        <w:t>: сб. ст. 43-й междунар. науч.-практ. конф. – М., 2022. – С. 40-43.</w:t>
      </w:r>
    </w:p>
    <w:p w14:paraId="76315CE0" w14:textId="77777777" w:rsidR="00BB318A" w:rsidRDefault="00BB318A" w:rsidP="00BB318A">
      <w:pPr>
        <w:spacing w:after="0" w:line="240" w:lineRule="auto"/>
        <w:ind w:firstLine="567"/>
        <w:jc w:val="both"/>
        <w:rPr>
          <w:rFonts w:ascii="Times New Roman" w:hAnsi="Times New Roman"/>
          <w:sz w:val="28"/>
          <w:szCs w:val="28"/>
        </w:rPr>
      </w:pPr>
      <w:r>
        <w:rPr>
          <w:rFonts w:ascii="Times New Roman" w:hAnsi="Times New Roman"/>
          <w:sz w:val="28"/>
          <w:szCs w:val="28"/>
        </w:rPr>
        <w:t>10</w:t>
      </w:r>
      <w:r w:rsidRPr="0060528F">
        <w:rPr>
          <w:rFonts w:ascii="Times New Roman" w:hAnsi="Times New Roman"/>
          <w:sz w:val="28"/>
          <w:szCs w:val="28"/>
        </w:rPr>
        <w:t xml:space="preserve">1 </w:t>
      </w:r>
      <w:r w:rsidRPr="0060528F">
        <w:rPr>
          <w:rFonts w:ascii="Times New Roman" w:hAnsi="Times New Roman"/>
          <w:sz w:val="28"/>
          <w:szCs w:val="28"/>
          <w:lang w:val="kk-KZ"/>
        </w:rPr>
        <w:t xml:space="preserve">Бекишева А.Т. и </w:t>
      </w:r>
      <w:r w:rsidRPr="0060528F">
        <w:rPr>
          <w:rFonts w:ascii="Times New Roman" w:hAnsi="Times New Roman"/>
          <w:sz w:val="28"/>
          <w:szCs w:val="28"/>
        </w:rPr>
        <w:t>др</w:t>
      </w:r>
      <w:r w:rsidRPr="0060528F">
        <w:rPr>
          <w:rFonts w:ascii="Times New Roman" w:hAnsi="Times New Roman"/>
          <w:sz w:val="28"/>
          <w:szCs w:val="28"/>
          <w:lang w:val="kk-KZ"/>
        </w:rPr>
        <w:t xml:space="preserve">. </w:t>
      </w:r>
      <w:r w:rsidRPr="0060528F">
        <w:rPr>
          <w:rFonts w:ascii="Times New Roman" w:hAnsi="Times New Roman"/>
          <w:sz w:val="28"/>
          <w:szCs w:val="28"/>
        </w:rPr>
        <w:t>Лечение функциональных осложнений рака ободочной кишки после хирургического лечения // Advances in Science and Technology: матер. 44-й междунар. науч.-практ. конф. – М., 2022. – С. 40-43.</w:t>
      </w:r>
    </w:p>
    <w:p w14:paraId="5EC4F628" w14:textId="77777777" w:rsidR="00BB318A" w:rsidRPr="00C30E8A" w:rsidRDefault="00BB318A" w:rsidP="00BB318A">
      <w:pPr>
        <w:spacing w:after="0" w:line="240" w:lineRule="auto"/>
        <w:ind w:firstLine="567"/>
        <w:jc w:val="both"/>
        <w:rPr>
          <w:rFonts w:ascii="Times New Roman" w:hAnsi="Times New Roman"/>
          <w:sz w:val="28"/>
          <w:szCs w:val="28"/>
          <w:lang w:val="en-US"/>
        </w:rPr>
      </w:pPr>
      <w:r w:rsidRPr="00161E42">
        <w:rPr>
          <w:rFonts w:ascii="Times New Roman" w:hAnsi="Times New Roman"/>
          <w:sz w:val="28"/>
          <w:szCs w:val="28"/>
        </w:rPr>
        <w:t xml:space="preserve">102 </w:t>
      </w:r>
      <w:r w:rsidRPr="00C032EA">
        <w:rPr>
          <w:rFonts w:ascii="Times New Roman" w:hAnsi="Times New Roman"/>
          <w:sz w:val="28"/>
          <w:szCs w:val="28"/>
          <w:lang w:val="en-US"/>
        </w:rPr>
        <w:t>Tsai</w:t>
      </w:r>
      <w:r w:rsidRPr="00161E42">
        <w:rPr>
          <w:rFonts w:ascii="Times New Roman" w:hAnsi="Times New Roman"/>
          <w:sz w:val="28"/>
          <w:szCs w:val="28"/>
        </w:rPr>
        <w:t xml:space="preserve"> </w:t>
      </w:r>
      <w:r w:rsidRPr="00C032EA">
        <w:rPr>
          <w:rFonts w:ascii="Times New Roman" w:hAnsi="Times New Roman"/>
          <w:sz w:val="28"/>
          <w:szCs w:val="28"/>
          <w:lang w:val="en-US"/>
        </w:rPr>
        <w:t>W</w:t>
      </w:r>
      <w:r w:rsidRPr="00161E42">
        <w:rPr>
          <w:rFonts w:ascii="Times New Roman" w:hAnsi="Times New Roman"/>
          <w:sz w:val="28"/>
          <w:szCs w:val="28"/>
        </w:rPr>
        <w:t>.</w:t>
      </w:r>
      <w:r w:rsidRPr="00C032EA">
        <w:rPr>
          <w:rFonts w:ascii="Times New Roman" w:hAnsi="Times New Roman"/>
          <w:sz w:val="28"/>
          <w:szCs w:val="28"/>
          <w:lang w:val="en-US"/>
        </w:rPr>
        <w:t>S</w:t>
      </w:r>
      <w:r w:rsidRPr="00161E42">
        <w:rPr>
          <w:rFonts w:ascii="Times New Roman" w:hAnsi="Times New Roman"/>
          <w:sz w:val="28"/>
          <w:szCs w:val="28"/>
        </w:rPr>
        <w:t xml:space="preserve">., </w:t>
      </w:r>
      <w:r w:rsidRPr="00C032EA">
        <w:rPr>
          <w:rFonts w:ascii="Times New Roman" w:hAnsi="Times New Roman"/>
          <w:sz w:val="28"/>
          <w:szCs w:val="28"/>
          <w:lang w:val="en-US"/>
        </w:rPr>
        <w:t>Hsieh</w:t>
      </w:r>
      <w:r w:rsidRPr="00161E42">
        <w:rPr>
          <w:rFonts w:ascii="Times New Roman" w:hAnsi="Times New Roman"/>
          <w:sz w:val="28"/>
          <w:szCs w:val="28"/>
        </w:rPr>
        <w:t xml:space="preserve"> </w:t>
      </w:r>
      <w:r w:rsidRPr="00C032EA">
        <w:rPr>
          <w:rFonts w:ascii="Times New Roman" w:hAnsi="Times New Roman"/>
          <w:sz w:val="28"/>
          <w:szCs w:val="28"/>
          <w:lang w:val="en-US"/>
        </w:rPr>
        <w:t>P</w:t>
      </w:r>
      <w:r w:rsidRPr="00161E42">
        <w:rPr>
          <w:rFonts w:ascii="Times New Roman" w:hAnsi="Times New Roman"/>
          <w:sz w:val="28"/>
          <w:szCs w:val="28"/>
        </w:rPr>
        <w:t>.</w:t>
      </w:r>
      <w:r w:rsidRPr="00C032EA">
        <w:rPr>
          <w:rFonts w:ascii="Times New Roman" w:hAnsi="Times New Roman"/>
          <w:sz w:val="28"/>
          <w:szCs w:val="28"/>
          <w:lang w:val="en-US"/>
        </w:rPr>
        <w:t>S</w:t>
      </w:r>
      <w:r w:rsidRPr="00161E42">
        <w:rPr>
          <w:rFonts w:ascii="Times New Roman" w:hAnsi="Times New Roman"/>
          <w:sz w:val="28"/>
          <w:szCs w:val="28"/>
        </w:rPr>
        <w:t xml:space="preserve">., </w:t>
      </w:r>
      <w:r w:rsidRPr="00C032EA">
        <w:rPr>
          <w:rFonts w:ascii="Times New Roman" w:hAnsi="Times New Roman"/>
          <w:sz w:val="28"/>
          <w:szCs w:val="28"/>
          <w:lang w:val="en-US"/>
        </w:rPr>
        <w:t>Yeh</w:t>
      </w:r>
      <w:r w:rsidRPr="00161E42">
        <w:rPr>
          <w:rFonts w:ascii="Times New Roman" w:hAnsi="Times New Roman"/>
          <w:sz w:val="28"/>
          <w:szCs w:val="28"/>
        </w:rPr>
        <w:t xml:space="preserve"> </w:t>
      </w:r>
      <w:r w:rsidRPr="00C032EA">
        <w:rPr>
          <w:rFonts w:ascii="Times New Roman" w:hAnsi="Times New Roman"/>
          <w:sz w:val="28"/>
          <w:szCs w:val="28"/>
          <w:lang w:val="en-US"/>
        </w:rPr>
        <w:t>C</w:t>
      </w:r>
      <w:r w:rsidRPr="00161E42">
        <w:rPr>
          <w:rFonts w:ascii="Times New Roman" w:hAnsi="Times New Roman"/>
          <w:sz w:val="28"/>
          <w:szCs w:val="28"/>
        </w:rPr>
        <w:t>.</w:t>
      </w:r>
      <w:r w:rsidRPr="00C032EA">
        <w:rPr>
          <w:rFonts w:ascii="Times New Roman" w:hAnsi="Times New Roman"/>
          <w:sz w:val="28"/>
          <w:szCs w:val="28"/>
          <w:lang w:val="en-US"/>
        </w:rPr>
        <w:t>Y</w:t>
      </w:r>
      <w:r w:rsidRPr="00161E42">
        <w:rPr>
          <w:rFonts w:ascii="Times New Roman" w:hAnsi="Times New Roman"/>
          <w:sz w:val="28"/>
          <w:szCs w:val="28"/>
        </w:rPr>
        <w:t xml:space="preserve">., </w:t>
      </w:r>
      <w:r w:rsidRPr="00C30E8A">
        <w:rPr>
          <w:rFonts w:ascii="Times New Roman" w:hAnsi="Times New Roman"/>
          <w:sz w:val="28"/>
          <w:szCs w:val="28"/>
          <w:lang w:val="en-US"/>
        </w:rPr>
        <w:t>et</w:t>
      </w:r>
      <w:r w:rsidRPr="00161E42">
        <w:rPr>
          <w:rFonts w:ascii="Times New Roman" w:hAnsi="Times New Roman"/>
          <w:sz w:val="28"/>
          <w:szCs w:val="28"/>
        </w:rPr>
        <w:t xml:space="preserve"> </w:t>
      </w:r>
      <w:r w:rsidRPr="00C30E8A">
        <w:rPr>
          <w:rFonts w:ascii="Times New Roman" w:hAnsi="Times New Roman"/>
          <w:sz w:val="28"/>
          <w:szCs w:val="28"/>
          <w:lang w:val="en-US"/>
        </w:rPr>
        <w:t>al</w:t>
      </w:r>
      <w:r w:rsidRPr="00161E42">
        <w:rPr>
          <w:rFonts w:ascii="Times New Roman" w:hAnsi="Times New Roman"/>
          <w:sz w:val="28"/>
          <w:szCs w:val="28"/>
        </w:rPr>
        <w:t xml:space="preserve">. </w:t>
      </w:r>
      <w:r w:rsidRPr="00C30E8A">
        <w:rPr>
          <w:rFonts w:ascii="Times New Roman" w:hAnsi="Times New Roman"/>
          <w:sz w:val="28"/>
          <w:szCs w:val="28"/>
          <w:lang w:val="en-US"/>
        </w:rPr>
        <w:t xml:space="preserve">Impact of chemotherapy-related prognostic factors on long-term survival in patients with stage III colorectal cancer after curative resection // </w:t>
      </w:r>
      <w:r w:rsidRPr="00C032EA">
        <w:rPr>
          <w:rFonts w:ascii="Times New Roman" w:hAnsi="Times New Roman"/>
          <w:sz w:val="28"/>
          <w:szCs w:val="28"/>
          <w:lang w:val="en-US"/>
        </w:rPr>
        <w:t>International journal of clinical oncology</w:t>
      </w:r>
      <w:r w:rsidRPr="00C30E8A">
        <w:rPr>
          <w:rFonts w:ascii="Times New Roman" w:hAnsi="Times New Roman"/>
          <w:sz w:val="28"/>
          <w:szCs w:val="28"/>
          <w:lang w:val="en-US"/>
        </w:rPr>
        <w:t>. – 2013. – Vol. 18, №2. – P. 242-253.</w:t>
      </w:r>
    </w:p>
    <w:p w14:paraId="4524553E" w14:textId="77777777" w:rsidR="00BB318A" w:rsidRPr="00C30E8A" w:rsidRDefault="00BB318A" w:rsidP="00BB318A">
      <w:pPr>
        <w:spacing w:after="0" w:line="240" w:lineRule="auto"/>
        <w:ind w:firstLine="567"/>
        <w:jc w:val="both"/>
        <w:rPr>
          <w:rFonts w:ascii="Times New Roman" w:hAnsi="Times New Roman"/>
          <w:sz w:val="28"/>
          <w:szCs w:val="28"/>
          <w:lang w:val="en-US"/>
        </w:rPr>
      </w:pPr>
      <w:r w:rsidRPr="00C30E8A">
        <w:rPr>
          <w:rFonts w:ascii="Times New Roman" w:hAnsi="Times New Roman"/>
          <w:sz w:val="28"/>
          <w:szCs w:val="28"/>
          <w:lang w:val="en-US"/>
        </w:rPr>
        <w:t>103 Yu S</w:t>
      </w:r>
      <w:r>
        <w:rPr>
          <w:rFonts w:ascii="Times New Roman" w:hAnsi="Times New Roman"/>
          <w:sz w:val="28"/>
          <w:szCs w:val="28"/>
          <w:lang w:val="en-US"/>
        </w:rPr>
        <w:t>.</w:t>
      </w:r>
      <w:r w:rsidRPr="00C30E8A">
        <w:rPr>
          <w:rFonts w:ascii="Times New Roman" w:hAnsi="Times New Roman"/>
          <w:sz w:val="28"/>
          <w:szCs w:val="28"/>
          <w:lang w:val="en-US"/>
        </w:rPr>
        <w:t>, Shabihkhani M</w:t>
      </w:r>
      <w:r>
        <w:rPr>
          <w:rFonts w:ascii="Times New Roman" w:hAnsi="Times New Roman"/>
          <w:sz w:val="28"/>
          <w:szCs w:val="28"/>
          <w:lang w:val="en-US"/>
        </w:rPr>
        <w:t>.</w:t>
      </w:r>
      <w:r w:rsidRPr="00C30E8A">
        <w:rPr>
          <w:rFonts w:ascii="Times New Roman" w:hAnsi="Times New Roman"/>
          <w:sz w:val="28"/>
          <w:szCs w:val="28"/>
          <w:lang w:val="en-US"/>
        </w:rPr>
        <w:t>, Yang D</w:t>
      </w:r>
      <w:r>
        <w:rPr>
          <w:rFonts w:ascii="Times New Roman" w:hAnsi="Times New Roman"/>
          <w:sz w:val="28"/>
          <w:szCs w:val="28"/>
          <w:lang w:val="en-US"/>
        </w:rPr>
        <w:t>.</w:t>
      </w:r>
      <w:r w:rsidRPr="00C30E8A">
        <w:rPr>
          <w:rFonts w:ascii="Times New Roman" w:hAnsi="Times New Roman"/>
          <w:sz w:val="28"/>
          <w:szCs w:val="28"/>
          <w:lang w:val="en-US"/>
        </w:rPr>
        <w:t xml:space="preserve">, et al. Timeliness of adjuvant chemotherapy for stage III adenocarcinoma of the colon: a measure of quality of care // </w:t>
      </w:r>
      <w:r w:rsidRPr="00E9751A">
        <w:rPr>
          <w:rFonts w:ascii="Times New Roman" w:hAnsi="Times New Roman"/>
          <w:sz w:val="28"/>
          <w:szCs w:val="28"/>
          <w:lang w:val="en-US"/>
        </w:rPr>
        <w:t>Clinical colorectal cancer</w:t>
      </w:r>
      <w:r w:rsidRPr="00C30E8A">
        <w:rPr>
          <w:rFonts w:ascii="Times New Roman" w:hAnsi="Times New Roman"/>
          <w:sz w:val="28"/>
          <w:szCs w:val="28"/>
          <w:lang w:val="en-US"/>
        </w:rPr>
        <w:t>. – 2013. – Vol. 12</w:t>
      </w:r>
      <w:r w:rsidRPr="0060528F">
        <w:rPr>
          <w:rFonts w:ascii="Times New Roman" w:hAnsi="Times New Roman"/>
          <w:sz w:val="28"/>
          <w:szCs w:val="28"/>
          <w:lang w:val="en-US"/>
        </w:rPr>
        <w:t>, №</w:t>
      </w:r>
      <w:r>
        <w:rPr>
          <w:rFonts w:ascii="Times New Roman" w:hAnsi="Times New Roman"/>
          <w:sz w:val="28"/>
          <w:szCs w:val="28"/>
          <w:lang w:val="en-US"/>
        </w:rPr>
        <w:t xml:space="preserve"> </w:t>
      </w:r>
      <w:r w:rsidRPr="00C30E8A">
        <w:rPr>
          <w:rFonts w:ascii="Times New Roman" w:hAnsi="Times New Roman"/>
          <w:sz w:val="28"/>
          <w:szCs w:val="28"/>
          <w:lang w:val="en-US"/>
        </w:rPr>
        <w:t>4</w:t>
      </w:r>
      <w:r>
        <w:rPr>
          <w:rFonts w:ascii="Times New Roman" w:hAnsi="Times New Roman"/>
          <w:sz w:val="28"/>
          <w:szCs w:val="28"/>
          <w:lang w:val="en-US"/>
        </w:rPr>
        <w:t xml:space="preserve">. </w:t>
      </w:r>
      <w:r w:rsidRPr="0060528F">
        <w:rPr>
          <w:rFonts w:ascii="Times New Roman" w:hAnsi="Times New Roman"/>
          <w:sz w:val="28"/>
          <w:szCs w:val="28"/>
          <w:lang w:val="en-US"/>
        </w:rPr>
        <w:t xml:space="preserve">– P. </w:t>
      </w:r>
      <w:r w:rsidRPr="00C30E8A">
        <w:rPr>
          <w:rFonts w:ascii="Times New Roman" w:hAnsi="Times New Roman"/>
          <w:sz w:val="28"/>
          <w:szCs w:val="28"/>
          <w:lang w:val="en-US"/>
        </w:rPr>
        <w:t>275–</w:t>
      </w:r>
      <w:r>
        <w:rPr>
          <w:rFonts w:ascii="Times New Roman" w:hAnsi="Times New Roman"/>
          <w:sz w:val="28"/>
          <w:szCs w:val="28"/>
          <w:lang w:val="en-US"/>
        </w:rPr>
        <w:t>27</w:t>
      </w:r>
      <w:r w:rsidRPr="00C30E8A">
        <w:rPr>
          <w:rFonts w:ascii="Times New Roman" w:hAnsi="Times New Roman"/>
          <w:sz w:val="28"/>
          <w:szCs w:val="28"/>
          <w:lang w:val="en-US"/>
        </w:rPr>
        <w:t>9.</w:t>
      </w:r>
    </w:p>
    <w:p w14:paraId="1DE6F6E7" w14:textId="77777777" w:rsidR="00BB318A" w:rsidRDefault="00BB318A" w:rsidP="00BB318A">
      <w:pPr>
        <w:spacing w:after="0" w:line="240" w:lineRule="auto"/>
        <w:ind w:firstLine="567"/>
        <w:jc w:val="both"/>
        <w:rPr>
          <w:rFonts w:ascii="Times New Roman" w:hAnsi="Times New Roman"/>
          <w:sz w:val="28"/>
          <w:szCs w:val="28"/>
          <w:lang w:val="en-US"/>
        </w:rPr>
      </w:pPr>
      <w:r w:rsidRPr="00C30E8A">
        <w:rPr>
          <w:rFonts w:ascii="Times New Roman" w:hAnsi="Times New Roman"/>
          <w:sz w:val="28"/>
          <w:szCs w:val="28"/>
          <w:lang w:val="en-US"/>
        </w:rPr>
        <w:t>104 Schmoll H</w:t>
      </w:r>
      <w:r>
        <w:rPr>
          <w:rFonts w:ascii="Times New Roman" w:hAnsi="Times New Roman"/>
          <w:sz w:val="28"/>
          <w:szCs w:val="28"/>
          <w:lang w:val="en-US"/>
        </w:rPr>
        <w:t>.</w:t>
      </w:r>
      <w:r w:rsidRPr="00C30E8A">
        <w:rPr>
          <w:rFonts w:ascii="Times New Roman" w:hAnsi="Times New Roman"/>
          <w:sz w:val="28"/>
          <w:szCs w:val="28"/>
          <w:lang w:val="en-US"/>
        </w:rPr>
        <w:t>J</w:t>
      </w:r>
      <w:r>
        <w:rPr>
          <w:rFonts w:ascii="Times New Roman" w:hAnsi="Times New Roman"/>
          <w:sz w:val="28"/>
          <w:szCs w:val="28"/>
          <w:lang w:val="en-US"/>
        </w:rPr>
        <w:t>.</w:t>
      </w:r>
      <w:r w:rsidRPr="00C30E8A">
        <w:rPr>
          <w:rFonts w:ascii="Times New Roman" w:hAnsi="Times New Roman"/>
          <w:sz w:val="28"/>
          <w:szCs w:val="28"/>
          <w:lang w:val="en-US"/>
        </w:rPr>
        <w:t>, Van Cutsem E</w:t>
      </w:r>
      <w:r>
        <w:rPr>
          <w:rFonts w:ascii="Times New Roman" w:hAnsi="Times New Roman"/>
          <w:sz w:val="28"/>
          <w:szCs w:val="28"/>
          <w:lang w:val="en-US"/>
        </w:rPr>
        <w:t>.</w:t>
      </w:r>
      <w:r w:rsidRPr="00C30E8A">
        <w:rPr>
          <w:rFonts w:ascii="Times New Roman" w:hAnsi="Times New Roman"/>
          <w:sz w:val="28"/>
          <w:szCs w:val="28"/>
          <w:lang w:val="en-US"/>
        </w:rPr>
        <w:t>, Stein A</w:t>
      </w:r>
      <w:r>
        <w:rPr>
          <w:rFonts w:ascii="Times New Roman" w:hAnsi="Times New Roman"/>
          <w:sz w:val="28"/>
          <w:szCs w:val="28"/>
          <w:lang w:val="en-US"/>
        </w:rPr>
        <w:t>.</w:t>
      </w:r>
      <w:r w:rsidRPr="00C30E8A">
        <w:rPr>
          <w:rFonts w:ascii="Times New Roman" w:hAnsi="Times New Roman"/>
          <w:sz w:val="28"/>
          <w:szCs w:val="28"/>
          <w:lang w:val="en-US"/>
        </w:rPr>
        <w:t>, et al. ESMO consensus guidelines for management of patients with colon and rectal cancer. A personalized approach to clinical decision making</w:t>
      </w:r>
      <w:r w:rsidRPr="0060528F">
        <w:rPr>
          <w:rFonts w:ascii="Times New Roman" w:hAnsi="Times New Roman"/>
          <w:sz w:val="28"/>
          <w:szCs w:val="28"/>
          <w:lang w:val="en-US"/>
        </w:rPr>
        <w:t xml:space="preserve"> // </w:t>
      </w:r>
      <w:r w:rsidRPr="00E9751A">
        <w:rPr>
          <w:rFonts w:ascii="Times New Roman" w:hAnsi="Times New Roman"/>
          <w:sz w:val="28"/>
          <w:szCs w:val="28"/>
          <w:lang w:val="en-US"/>
        </w:rPr>
        <w:t>Annals of oncology: official journal of the European Society for Medical Oncology</w:t>
      </w:r>
      <w:r w:rsidRPr="0060528F">
        <w:rPr>
          <w:rFonts w:ascii="Times New Roman" w:hAnsi="Times New Roman"/>
          <w:sz w:val="28"/>
          <w:szCs w:val="28"/>
          <w:lang w:val="en-US"/>
        </w:rPr>
        <w:t xml:space="preserve">. – </w:t>
      </w:r>
      <w:r w:rsidRPr="00C30E8A">
        <w:rPr>
          <w:rFonts w:ascii="Times New Roman" w:hAnsi="Times New Roman"/>
          <w:sz w:val="28"/>
          <w:szCs w:val="28"/>
          <w:lang w:val="en-US"/>
        </w:rPr>
        <w:t>2012</w:t>
      </w:r>
      <w:r w:rsidRPr="0060528F">
        <w:rPr>
          <w:rFonts w:ascii="Times New Roman" w:hAnsi="Times New Roman"/>
          <w:sz w:val="28"/>
          <w:szCs w:val="28"/>
          <w:lang w:val="en-US"/>
        </w:rPr>
        <w:t>. –</w:t>
      </w:r>
      <w:r w:rsidRPr="007762DD">
        <w:rPr>
          <w:rFonts w:ascii="Times New Roman" w:hAnsi="Times New Roman"/>
          <w:sz w:val="28"/>
          <w:szCs w:val="28"/>
          <w:lang w:val="en-US"/>
        </w:rPr>
        <w:t xml:space="preserve"> </w:t>
      </w:r>
      <w:r w:rsidRPr="0060528F">
        <w:rPr>
          <w:rFonts w:ascii="Times New Roman" w:hAnsi="Times New Roman"/>
          <w:sz w:val="28"/>
          <w:szCs w:val="28"/>
          <w:lang w:val="en-US"/>
        </w:rPr>
        <w:t xml:space="preserve">Vol. </w:t>
      </w:r>
      <w:r w:rsidRPr="00C30E8A">
        <w:rPr>
          <w:rFonts w:ascii="Times New Roman" w:hAnsi="Times New Roman"/>
          <w:sz w:val="28"/>
          <w:szCs w:val="28"/>
          <w:lang w:val="en-US"/>
        </w:rPr>
        <w:t>23</w:t>
      </w:r>
      <w:r w:rsidRPr="0060528F">
        <w:rPr>
          <w:rFonts w:ascii="Times New Roman" w:hAnsi="Times New Roman"/>
          <w:sz w:val="28"/>
          <w:szCs w:val="28"/>
          <w:lang w:val="en-US"/>
        </w:rPr>
        <w:t>, №</w:t>
      </w:r>
      <w:r>
        <w:rPr>
          <w:rFonts w:ascii="Times New Roman" w:hAnsi="Times New Roman"/>
          <w:sz w:val="28"/>
          <w:szCs w:val="28"/>
          <w:lang w:val="en-US"/>
        </w:rPr>
        <w:t xml:space="preserve"> </w:t>
      </w:r>
      <w:r w:rsidRPr="00C30E8A">
        <w:rPr>
          <w:rFonts w:ascii="Times New Roman" w:hAnsi="Times New Roman"/>
          <w:sz w:val="28"/>
          <w:szCs w:val="28"/>
          <w:lang w:val="en-US"/>
        </w:rPr>
        <w:t>10</w:t>
      </w:r>
      <w:r>
        <w:rPr>
          <w:rFonts w:ascii="Times New Roman" w:hAnsi="Times New Roman"/>
          <w:sz w:val="28"/>
          <w:szCs w:val="28"/>
          <w:lang w:val="en-US"/>
        </w:rPr>
        <w:t>.</w:t>
      </w:r>
      <w:r w:rsidRPr="0060528F">
        <w:rPr>
          <w:rFonts w:ascii="Times New Roman" w:hAnsi="Times New Roman"/>
          <w:sz w:val="28"/>
          <w:szCs w:val="28"/>
          <w:lang w:val="en-US"/>
        </w:rPr>
        <w:t xml:space="preserve"> – P. </w:t>
      </w:r>
      <w:r w:rsidRPr="00C30E8A">
        <w:rPr>
          <w:rFonts w:ascii="Times New Roman" w:hAnsi="Times New Roman"/>
          <w:sz w:val="28"/>
          <w:szCs w:val="28"/>
          <w:lang w:val="en-US"/>
        </w:rPr>
        <w:t>2479–</w:t>
      </w:r>
      <w:r>
        <w:rPr>
          <w:rFonts w:ascii="Times New Roman" w:hAnsi="Times New Roman"/>
          <w:sz w:val="28"/>
          <w:szCs w:val="28"/>
          <w:lang w:val="en-US"/>
        </w:rPr>
        <w:t>2</w:t>
      </w:r>
      <w:r w:rsidRPr="00C30E8A">
        <w:rPr>
          <w:rFonts w:ascii="Times New Roman" w:hAnsi="Times New Roman"/>
          <w:sz w:val="28"/>
          <w:szCs w:val="28"/>
          <w:lang w:val="en-US"/>
        </w:rPr>
        <w:t>516.</w:t>
      </w:r>
    </w:p>
    <w:p w14:paraId="409ACB6B"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Fonts w:ascii="Times New Roman" w:hAnsi="Times New Roman"/>
          <w:sz w:val="28"/>
          <w:szCs w:val="28"/>
          <w:lang w:val="en-US"/>
        </w:rPr>
        <w:t>105</w:t>
      </w:r>
      <w:r w:rsidRPr="0060528F">
        <w:rPr>
          <w:rFonts w:ascii="Times New Roman" w:hAnsi="Times New Roman"/>
          <w:sz w:val="28"/>
          <w:szCs w:val="28"/>
          <w:lang w:val="en-US"/>
        </w:rPr>
        <w:t xml:space="preserve"> </w:t>
      </w:r>
      <w:r w:rsidRPr="00E9751A">
        <w:rPr>
          <w:rFonts w:ascii="Times New Roman" w:hAnsi="Times New Roman"/>
          <w:sz w:val="28"/>
          <w:szCs w:val="28"/>
          <w:lang w:val="en-US"/>
        </w:rPr>
        <w:t>Wu L.M., Zhou F.R., Lin Q.F., Li H., Li L.H</w:t>
      </w:r>
      <w:r w:rsidRPr="0060528F">
        <w:rPr>
          <w:rFonts w:ascii="Times New Roman" w:hAnsi="Times New Roman"/>
          <w:sz w:val="28"/>
          <w:szCs w:val="28"/>
          <w:lang w:val="en-US"/>
        </w:rPr>
        <w:t xml:space="preserve">. Impact of nutritional status on postoperative outcomes for patients with colorectal cancer // </w:t>
      </w:r>
      <w:r w:rsidRPr="00E9751A">
        <w:rPr>
          <w:rFonts w:ascii="Times New Roman" w:hAnsi="Times New Roman"/>
          <w:sz w:val="28"/>
          <w:szCs w:val="28"/>
          <w:lang w:val="en-US"/>
        </w:rPr>
        <w:t>Zhonghua wei chang wai ke za zhi = Chinese journal of gastrointestinal surgery</w:t>
      </w:r>
      <w:r w:rsidRPr="0060528F">
        <w:rPr>
          <w:rFonts w:ascii="Times New Roman" w:hAnsi="Times New Roman"/>
          <w:sz w:val="28"/>
          <w:szCs w:val="28"/>
          <w:lang w:val="en-US"/>
        </w:rPr>
        <w:t>. – 2011. –</w:t>
      </w:r>
      <w:r w:rsidRPr="007762DD">
        <w:rPr>
          <w:rFonts w:ascii="Times New Roman" w:hAnsi="Times New Roman"/>
          <w:sz w:val="28"/>
          <w:szCs w:val="28"/>
          <w:lang w:val="en-US"/>
        </w:rPr>
        <w:t xml:space="preserve"> </w:t>
      </w:r>
      <w:r w:rsidRPr="0060528F">
        <w:rPr>
          <w:rFonts w:ascii="Times New Roman" w:hAnsi="Times New Roman"/>
          <w:sz w:val="28"/>
          <w:szCs w:val="28"/>
          <w:lang w:val="en-US"/>
        </w:rPr>
        <w:t>Vol. 14, №</w:t>
      </w:r>
      <w:r>
        <w:rPr>
          <w:rFonts w:ascii="Times New Roman" w:hAnsi="Times New Roman"/>
          <w:sz w:val="28"/>
          <w:szCs w:val="28"/>
          <w:lang w:val="en-US"/>
        </w:rPr>
        <w:t xml:space="preserve"> </w:t>
      </w:r>
      <w:r w:rsidRPr="0060528F">
        <w:rPr>
          <w:rFonts w:ascii="Times New Roman" w:hAnsi="Times New Roman"/>
          <w:sz w:val="28"/>
          <w:szCs w:val="28"/>
          <w:lang w:val="en-US"/>
        </w:rPr>
        <w:t>4. – P. 271-274.</w:t>
      </w:r>
    </w:p>
    <w:p w14:paraId="0D7A9700"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Fonts w:ascii="Times New Roman" w:hAnsi="Times New Roman"/>
          <w:sz w:val="28"/>
          <w:szCs w:val="28"/>
          <w:lang w:val="en-US"/>
        </w:rPr>
        <w:lastRenderedPageBreak/>
        <w:t>106</w:t>
      </w:r>
      <w:r w:rsidRPr="0060528F">
        <w:rPr>
          <w:rFonts w:ascii="Times New Roman" w:hAnsi="Times New Roman"/>
          <w:sz w:val="28"/>
          <w:szCs w:val="28"/>
          <w:lang w:val="en-US"/>
        </w:rPr>
        <w:t xml:space="preserve"> </w:t>
      </w:r>
      <w:r w:rsidRPr="00372D7E">
        <w:rPr>
          <w:rFonts w:ascii="Times New Roman" w:hAnsi="Times New Roman"/>
          <w:sz w:val="28"/>
          <w:szCs w:val="28"/>
          <w:lang w:val="en-US"/>
        </w:rPr>
        <w:t xml:space="preserve">Iseki Y., Shibutani M., Maeda K., </w:t>
      </w:r>
      <w:r w:rsidRPr="0060528F">
        <w:rPr>
          <w:rFonts w:ascii="Times New Roman" w:hAnsi="Times New Roman"/>
          <w:sz w:val="28"/>
          <w:szCs w:val="28"/>
          <w:lang w:val="en-US"/>
        </w:rPr>
        <w:t>et al. Impact of the Preoperative Controlling Nutritional Status (CONUT) Score on the Survival after Curative Surgery for Colorectal Cancer // PLoS One. – 2015. – Vol. 10, №</w:t>
      </w:r>
      <w:r>
        <w:rPr>
          <w:rFonts w:ascii="Times New Roman" w:hAnsi="Times New Roman"/>
          <w:sz w:val="28"/>
          <w:szCs w:val="28"/>
          <w:lang w:val="en-US"/>
        </w:rPr>
        <w:t xml:space="preserve"> </w:t>
      </w:r>
      <w:r w:rsidRPr="0060528F">
        <w:rPr>
          <w:rFonts w:ascii="Times New Roman" w:hAnsi="Times New Roman"/>
          <w:sz w:val="28"/>
          <w:szCs w:val="28"/>
          <w:lang w:val="en-US"/>
        </w:rPr>
        <w:t>7. – P. 1-13.</w:t>
      </w:r>
    </w:p>
    <w:p w14:paraId="32FF8749"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Fonts w:ascii="Times New Roman" w:hAnsi="Times New Roman"/>
          <w:sz w:val="28"/>
          <w:szCs w:val="28"/>
          <w:lang w:val="en-US"/>
        </w:rPr>
        <w:t>107</w:t>
      </w:r>
      <w:r w:rsidRPr="0060528F">
        <w:rPr>
          <w:rFonts w:ascii="Times New Roman" w:hAnsi="Times New Roman"/>
          <w:sz w:val="28"/>
          <w:szCs w:val="28"/>
          <w:lang w:val="en-US"/>
        </w:rPr>
        <w:t xml:space="preserve"> </w:t>
      </w:r>
      <w:r w:rsidRPr="00372D7E">
        <w:rPr>
          <w:rFonts w:ascii="Times New Roman" w:hAnsi="Times New Roman"/>
          <w:sz w:val="28"/>
          <w:szCs w:val="28"/>
          <w:lang w:val="en-US"/>
        </w:rPr>
        <w:t xml:space="preserve">Yang C., Wei C., Wang S., </w:t>
      </w:r>
      <w:r w:rsidRPr="0060528F">
        <w:rPr>
          <w:rFonts w:ascii="Times New Roman" w:hAnsi="Times New Roman"/>
          <w:sz w:val="28"/>
          <w:szCs w:val="28"/>
          <w:lang w:val="en-US"/>
        </w:rPr>
        <w:t xml:space="preserve">et al. Combined Features Based on Preoperative Controlling Nutritional Status Score and Circulating Tumour Cell Status Predict Prognosis for Colorectal Cancer Patients Treated with Curative Resection // </w:t>
      </w:r>
      <w:r w:rsidRPr="00372D7E">
        <w:rPr>
          <w:rFonts w:ascii="Times New Roman" w:hAnsi="Times New Roman"/>
          <w:sz w:val="28"/>
          <w:szCs w:val="28"/>
          <w:lang w:val="en-US"/>
        </w:rPr>
        <w:t>International journal of biological sciences</w:t>
      </w:r>
      <w:r w:rsidRPr="0060528F">
        <w:rPr>
          <w:rFonts w:ascii="Times New Roman" w:hAnsi="Times New Roman"/>
          <w:sz w:val="28"/>
          <w:szCs w:val="28"/>
          <w:lang w:val="en-US"/>
        </w:rPr>
        <w:t>. – 2019. – Vol. 15, №6. – P. 1325-1335.</w:t>
      </w:r>
    </w:p>
    <w:p w14:paraId="0FF5BC69" w14:textId="77777777" w:rsidR="00BB318A" w:rsidRPr="0060528F" w:rsidRDefault="00BB318A" w:rsidP="00BB318A">
      <w:pPr>
        <w:pStyle w:val="a7"/>
        <w:ind w:left="0" w:firstLine="567"/>
        <w:jc w:val="both"/>
        <w:rPr>
          <w:rFonts w:ascii="Times New Roman" w:hAnsi="Times New Roman"/>
          <w:sz w:val="28"/>
          <w:szCs w:val="28"/>
          <w:lang w:val="en-US"/>
        </w:rPr>
      </w:pPr>
      <w:r w:rsidRPr="007762DD">
        <w:rPr>
          <w:rFonts w:ascii="Times New Roman" w:hAnsi="Times New Roman"/>
          <w:sz w:val="28"/>
          <w:szCs w:val="28"/>
          <w:lang w:val="en-US"/>
        </w:rPr>
        <w:t>108</w:t>
      </w:r>
      <w:r w:rsidRPr="0060528F">
        <w:rPr>
          <w:rFonts w:ascii="Times New Roman" w:hAnsi="Times New Roman"/>
          <w:sz w:val="28"/>
          <w:szCs w:val="28"/>
          <w:lang w:val="en-US"/>
        </w:rPr>
        <w:t xml:space="preserve"> </w:t>
      </w:r>
      <w:r w:rsidRPr="00372D7E">
        <w:rPr>
          <w:rFonts w:ascii="Times New Roman" w:hAnsi="Times New Roman"/>
          <w:sz w:val="28"/>
          <w:szCs w:val="28"/>
          <w:lang w:val="en-US"/>
        </w:rPr>
        <w:t xml:space="preserve">Jeon C.H., Park K.B., Jung Y.J., </w:t>
      </w:r>
      <w:r w:rsidRPr="0060528F">
        <w:rPr>
          <w:rFonts w:ascii="Times New Roman" w:hAnsi="Times New Roman"/>
          <w:sz w:val="28"/>
          <w:szCs w:val="28"/>
          <w:lang w:val="en-US"/>
        </w:rPr>
        <w:t xml:space="preserve">et al. Modified controlling nutritional status score: A refined prognostic indicator depending on the stage of gastric cancer // </w:t>
      </w:r>
      <w:r w:rsidRPr="00372D7E">
        <w:rPr>
          <w:rFonts w:ascii="Times New Roman" w:hAnsi="Times New Roman"/>
          <w:sz w:val="28"/>
          <w:szCs w:val="28"/>
          <w:lang w:val="en-US"/>
        </w:rPr>
        <w:t>Surgical oncology</w:t>
      </w:r>
      <w:r w:rsidRPr="0060528F">
        <w:rPr>
          <w:rFonts w:ascii="Times New Roman" w:hAnsi="Times New Roman"/>
          <w:sz w:val="28"/>
          <w:szCs w:val="28"/>
          <w:lang w:val="en-US"/>
        </w:rPr>
        <w:t>. – 2020. – Vol. 34. – P. 261-269.</w:t>
      </w:r>
    </w:p>
    <w:p w14:paraId="6149C728"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Fonts w:ascii="Times New Roman" w:hAnsi="Times New Roman"/>
          <w:sz w:val="28"/>
          <w:szCs w:val="28"/>
          <w:lang w:val="en-US"/>
        </w:rPr>
        <w:t>109</w:t>
      </w:r>
      <w:r w:rsidRPr="0060528F">
        <w:rPr>
          <w:rFonts w:ascii="Times New Roman" w:hAnsi="Times New Roman"/>
          <w:sz w:val="28"/>
          <w:szCs w:val="28"/>
          <w:lang w:val="en-US"/>
        </w:rPr>
        <w:t xml:space="preserve"> </w:t>
      </w:r>
      <w:r w:rsidRPr="00372D7E">
        <w:rPr>
          <w:rFonts w:ascii="Times New Roman" w:hAnsi="Times New Roman"/>
          <w:sz w:val="28"/>
          <w:szCs w:val="28"/>
          <w:lang w:val="en-US"/>
        </w:rPr>
        <w:t>Takagi K., Buettner S., Ijzermans J., Wijnhoven B</w:t>
      </w:r>
      <w:r w:rsidRPr="0060528F">
        <w:rPr>
          <w:rFonts w:ascii="Times New Roman" w:hAnsi="Times New Roman"/>
          <w:sz w:val="28"/>
          <w:szCs w:val="28"/>
          <w:lang w:val="en-US"/>
        </w:rPr>
        <w:t xml:space="preserve">. Systematic Review on the Controlling Nutritional Status (CONUT) Score in Patients Undergoing Esophagectomy for Esophageal Cancer // </w:t>
      </w:r>
      <w:r w:rsidRPr="00372D7E">
        <w:rPr>
          <w:rFonts w:ascii="Times New Roman" w:hAnsi="Times New Roman"/>
          <w:sz w:val="28"/>
          <w:szCs w:val="28"/>
          <w:lang w:val="en-US"/>
        </w:rPr>
        <w:t>Anticancer research</w:t>
      </w:r>
      <w:r w:rsidRPr="0060528F">
        <w:rPr>
          <w:rFonts w:ascii="Times New Roman" w:hAnsi="Times New Roman"/>
          <w:sz w:val="28"/>
          <w:szCs w:val="28"/>
          <w:lang w:val="en-US"/>
        </w:rPr>
        <w:t>. – 2020. – Vol. 40, №10. – P. 5343-5349.</w:t>
      </w:r>
    </w:p>
    <w:p w14:paraId="666A4084"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Fonts w:ascii="Times New Roman" w:hAnsi="Times New Roman"/>
          <w:sz w:val="28"/>
          <w:szCs w:val="28"/>
          <w:lang w:val="en-US"/>
        </w:rPr>
        <w:t>110</w:t>
      </w:r>
      <w:r w:rsidRPr="0060528F">
        <w:rPr>
          <w:rFonts w:ascii="Times New Roman" w:hAnsi="Times New Roman"/>
          <w:sz w:val="28"/>
          <w:szCs w:val="28"/>
          <w:lang w:val="en-US"/>
        </w:rPr>
        <w:t xml:space="preserve"> </w:t>
      </w:r>
      <w:r w:rsidRPr="00372D7E">
        <w:rPr>
          <w:rFonts w:ascii="Times New Roman" w:hAnsi="Times New Roman"/>
          <w:sz w:val="28"/>
          <w:szCs w:val="28"/>
          <w:lang w:val="en-US"/>
        </w:rPr>
        <w:t>Xu W.Y., Yang X.B., Wang W.Q.,</w:t>
      </w:r>
      <w:r w:rsidRPr="0060528F">
        <w:rPr>
          <w:rFonts w:ascii="Times New Roman" w:hAnsi="Times New Roman"/>
          <w:sz w:val="28"/>
          <w:szCs w:val="28"/>
          <w:lang w:val="en-US"/>
        </w:rPr>
        <w:t xml:space="preserve"> et al. Prognostic impact of the red cell distribution width in esophageal cancer patients: A systematic review and meta-analysis // </w:t>
      </w:r>
      <w:r w:rsidRPr="00B752F2">
        <w:rPr>
          <w:rFonts w:ascii="Times New Roman" w:hAnsi="Times New Roman"/>
          <w:sz w:val="28"/>
          <w:szCs w:val="28"/>
          <w:lang w:val="en-US"/>
        </w:rPr>
        <w:t>World journal of gastroenterology</w:t>
      </w:r>
      <w:r w:rsidRPr="0060528F">
        <w:rPr>
          <w:rFonts w:ascii="Times New Roman" w:hAnsi="Times New Roman"/>
          <w:sz w:val="28"/>
          <w:szCs w:val="28"/>
          <w:lang w:val="en-US"/>
        </w:rPr>
        <w:t>. – 2018. – Vol. 24, №</w:t>
      </w:r>
      <w:r>
        <w:rPr>
          <w:rFonts w:ascii="Times New Roman" w:hAnsi="Times New Roman"/>
          <w:sz w:val="28"/>
          <w:szCs w:val="28"/>
          <w:lang w:val="en-US"/>
        </w:rPr>
        <w:t xml:space="preserve"> </w:t>
      </w:r>
      <w:r w:rsidRPr="0060528F">
        <w:rPr>
          <w:rFonts w:ascii="Times New Roman" w:hAnsi="Times New Roman"/>
          <w:sz w:val="28"/>
          <w:szCs w:val="28"/>
          <w:lang w:val="en-US"/>
        </w:rPr>
        <w:t>19. – P. 2120-2129.</w:t>
      </w:r>
    </w:p>
    <w:p w14:paraId="1539F2E1" w14:textId="77777777" w:rsidR="00BB318A" w:rsidRPr="0060528F" w:rsidRDefault="00BB318A" w:rsidP="00BB318A">
      <w:pPr>
        <w:pStyle w:val="a7"/>
        <w:ind w:left="0" w:firstLine="567"/>
        <w:jc w:val="both"/>
        <w:rPr>
          <w:rFonts w:ascii="Times New Roman" w:hAnsi="Times New Roman"/>
          <w:sz w:val="28"/>
          <w:szCs w:val="28"/>
        </w:rPr>
      </w:pPr>
      <w:r>
        <w:rPr>
          <w:rFonts w:ascii="Times New Roman" w:hAnsi="Times New Roman"/>
          <w:sz w:val="28"/>
          <w:szCs w:val="28"/>
        </w:rPr>
        <w:t>111</w:t>
      </w:r>
      <w:r w:rsidRPr="0060528F">
        <w:rPr>
          <w:rFonts w:ascii="Times New Roman" w:hAnsi="Times New Roman"/>
          <w:sz w:val="28"/>
          <w:szCs w:val="28"/>
        </w:rPr>
        <w:t xml:space="preserve"> Покровский В.М. Физиология человека: учеб. – Изд. 2-е, перер. и доп. – М.: Медицина, 2003. – 656 с.</w:t>
      </w:r>
    </w:p>
    <w:p w14:paraId="6B275CEE" w14:textId="77777777" w:rsidR="00BB318A" w:rsidRPr="0060528F" w:rsidRDefault="00BB318A" w:rsidP="00BB318A">
      <w:pPr>
        <w:pStyle w:val="a7"/>
        <w:ind w:left="0" w:firstLine="567"/>
        <w:jc w:val="both"/>
        <w:rPr>
          <w:rFonts w:ascii="Times New Roman" w:hAnsi="Times New Roman"/>
          <w:sz w:val="28"/>
          <w:szCs w:val="28"/>
        </w:rPr>
      </w:pPr>
      <w:r>
        <w:rPr>
          <w:rFonts w:ascii="Times New Roman" w:hAnsi="Times New Roman"/>
          <w:sz w:val="28"/>
          <w:szCs w:val="28"/>
        </w:rPr>
        <w:t>112</w:t>
      </w:r>
      <w:r w:rsidRPr="0060528F">
        <w:rPr>
          <w:rFonts w:ascii="Times New Roman" w:hAnsi="Times New Roman"/>
          <w:sz w:val="28"/>
          <w:szCs w:val="28"/>
        </w:rPr>
        <w:t xml:space="preserve"> Саблин О.А. Функциональная диагностика в гастроэнтерологии: учеб.-метод. пос. – СПб., 2002. – 88 с.</w:t>
      </w:r>
    </w:p>
    <w:p w14:paraId="60250355" w14:textId="77777777" w:rsidR="00BB318A" w:rsidRPr="0060528F" w:rsidRDefault="00BB318A" w:rsidP="00BB318A">
      <w:pPr>
        <w:pStyle w:val="a7"/>
        <w:ind w:left="0" w:firstLine="567"/>
        <w:jc w:val="both"/>
        <w:rPr>
          <w:rFonts w:ascii="Times New Roman" w:hAnsi="Times New Roman"/>
          <w:sz w:val="28"/>
          <w:szCs w:val="28"/>
          <w:lang w:val="en-US"/>
        </w:rPr>
      </w:pPr>
      <w:r w:rsidRPr="007762DD">
        <w:rPr>
          <w:rFonts w:ascii="Times New Roman" w:hAnsi="Times New Roman"/>
          <w:sz w:val="28"/>
          <w:szCs w:val="28"/>
          <w:lang w:val="en-US"/>
        </w:rPr>
        <w:t>113</w:t>
      </w:r>
      <w:r w:rsidRPr="0060528F">
        <w:rPr>
          <w:rFonts w:ascii="Times New Roman" w:hAnsi="Times New Roman"/>
          <w:sz w:val="28"/>
          <w:szCs w:val="28"/>
          <w:lang w:val="en-US"/>
        </w:rPr>
        <w:t xml:space="preserve"> Sundaram A., Koutkia P., Apovian C.M. Nutritional management of short bowel syndrome in adults // </w:t>
      </w:r>
      <w:r w:rsidRPr="00B752F2">
        <w:rPr>
          <w:rFonts w:ascii="Times New Roman" w:hAnsi="Times New Roman"/>
          <w:sz w:val="28"/>
          <w:szCs w:val="28"/>
          <w:lang w:val="en-US"/>
        </w:rPr>
        <w:t>Journal of clinical gastroenterology</w:t>
      </w:r>
      <w:r w:rsidRPr="0060528F">
        <w:rPr>
          <w:rFonts w:ascii="Times New Roman" w:hAnsi="Times New Roman"/>
          <w:sz w:val="28"/>
          <w:szCs w:val="28"/>
          <w:lang w:val="en-US"/>
        </w:rPr>
        <w:t>. – 2002. – Vol. 34, №3. –</w:t>
      </w:r>
      <w:r w:rsidRPr="00846808">
        <w:rPr>
          <w:rFonts w:ascii="Times New Roman" w:hAnsi="Times New Roman"/>
          <w:sz w:val="28"/>
          <w:szCs w:val="28"/>
          <w:lang w:val="en-US"/>
        </w:rPr>
        <w:t xml:space="preserve"> </w:t>
      </w:r>
      <w:r w:rsidRPr="0060528F">
        <w:rPr>
          <w:rFonts w:ascii="Times New Roman" w:hAnsi="Times New Roman"/>
          <w:sz w:val="28"/>
          <w:szCs w:val="28"/>
          <w:lang w:val="en-US"/>
        </w:rPr>
        <w:t>P. 207-220.</w:t>
      </w:r>
    </w:p>
    <w:p w14:paraId="06FDAAE0" w14:textId="77777777" w:rsidR="00BB318A" w:rsidRPr="0060528F" w:rsidRDefault="00BB318A" w:rsidP="00BB318A">
      <w:pPr>
        <w:pStyle w:val="a7"/>
        <w:ind w:left="0" w:firstLine="567"/>
        <w:jc w:val="both"/>
        <w:rPr>
          <w:rFonts w:ascii="Times New Roman" w:hAnsi="Times New Roman"/>
          <w:sz w:val="28"/>
          <w:szCs w:val="28"/>
        </w:rPr>
      </w:pPr>
      <w:r>
        <w:rPr>
          <w:rFonts w:ascii="Times New Roman" w:hAnsi="Times New Roman"/>
          <w:sz w:val="28"/>
          <w:szCs w:val="28"/>
        </w:rPr>
        <w:t>114</w:t>
      </w:r>
      <w:r w:rsidRPr="0060528F">
        <w:rPr>
          <w:rFonts w:ascii="Times New Roman" w:hAnsi="Times New Roman"/>
          <w:sz w:val="28"/>
          <w:szCs w:val="28"/>
        </w:rPr>
        <w:t xml:space="preserve"> Агаджанян Н.А., Смирнов В.М. Нормальная физиология: учеб. – М., 2009. – 520 с.</w:t>
      </w:r>
    </w:p>
    <w:p w14:paraId="4C91026E" w14:textId="77777777" w:rsidR="00BB318A" w:rsidRPr="0060528F" w:rsidRDefault="00BB318A" w:rsidP="00BB318A">
      <w:pPr>
        <w:pStyle w:val="a7"/>
        <w:ind w:left="0" w:firstLine="567"/>
        <w:jc w:val="both"/>
        <w:rPr>
          <w:rFonts w:ascii="Times New Roman" w:hAnsi="Times New Roman"/>
          <w:sz w:val="28"/>
          <w:szCs w:val="28"/>
        </w:rPr>
      </w:pPr>
      <w:r>
        <w:rPr>
          <w:rFonts w:ascii="Times New Roman" w:hAnsi="Times New Roman"/>
          <w:sz w:val="28"/>
          <w:szCs w:val="28"/>
        </w:rPr>
        <w:t>115</w:t>
      </w:r>
      <w:r w:rsidRPr="0060528F">
        <w:rPr>
          <w:rFonts w:ascii="Times New Roman" w:hAnsi="Times New Roman"/>
          <w:sz w:val="28"/>
          <w:szCs w:val="28"/>
        </w:rPr>
        <w:t xml:space="preserve"> Парфенов А.И. Энтерология. – М., 2002. – 880 с.</w:t>
      </w:r>
    </w:p>
    <w:p w14:paraId="7217127F" w14:textId="77777777" w:rsidR="00BB318A" w:rsidRPr="0060528F" w:rsidRDefault="00BB318A" w:rsidP="00BB318A">
      <w:pPr>
        <w:pStyle w:val="a7"/>
        <w:ind w:left="0" w:firstLine="567"/>
        <w:jc w:val="both"/>
        <w:rPr>
          <w:rFonts w:ascii="Times New Roman" w:hAnsi="Times New Roman"/>
          <w:sz w:val="28"/>
          <w:szCs w:val="28"/>
          <w:lang w:val="en-US"/>
        </w:rPr>
      </w:pPr>
      <w:r w:rsidRPr="007762DD">
        <w:rPr>
          <w:rFonts w:ascii="Times New Roman" w:hAnsi="Times New Roman"/>
          <w:sz w:val="28"/>
          <w:szCs w:val="28"/>
          <w:lang w:val="en-US"/>
        </w:rPr>
        <w:t>11</w:t>
      </w:r>
      <w:r w:rsidRPr="00641DD9">
        <w:rPr>
          <w:rFonts w:ascii="Times New Roman" w:hAnsi="Times New Roman"/>
          <w:sz w:val="28"/>
          <w:szCs w:val="28"/>
          <w:lang w:val="en-US"/>
        </w:rPr>
        <w:t>6</w:t>
      </w:r>
      <w:r w:rsidRPr="0060528F">
        <w:rPr>
          <w:rFonts w:ascii="Times New Roman" w:hAnsi="Times New Roman"/>
          <w:sz w:val="28"/>
          <w:szCs w:val="28"/>
          <w:lang w:val="en-US"/>
        </w:rPr>
        <w:t xml:space="preserve"> Zakharash M.P., Mel’nik V.M., Poĭda A.I. Method of postcolectomy syndrome prophylaxis // Khirurgiia. – 2007. – №4. – P. 39-44.</w:t>
      </w:r>
    </w:p>
    <w:p w14:paraId="7A2D787C" w14:textId="77777777" w:rsidR="00BB318A" w:rsidRPr="0060528F" w:rsidRDefault="00BB318A" w:rsidP="00BB318A">
      <w:pPr>
        <w:pStyle w:val="a7"/>
        <w:ind w:left="0" w:firstLine="567"/>
        <w:jc w:val="both"/>
        <w:rPr>
          <w:rFonts w:ascii="Times New Roman" w:hAnsi="Times New Roman"/>
          <w:sz w:val="28"/>
          <w:szCs w:val="28"/>
        </w:rPr>
      </w:pPr>
      <w:r>
        <w:rPr>
          <w:rFonts w:ascii="Times New Roman" w:hAnsi="Times New Roman"/>
          <w:sz w:val="28"/>
          <w:szCs w:val="28"/>
        </w:rPr>
        <w:t>117</w:t>
      </w:r>
      <w:r w:rsidRPr="0060528F">
        <w:rPr>
          <w:rFonts w:ascii="Times New Roman" w:hAnsi="Times New Roman"/>
          <w:sz w:val="28"/>
          <w:szCs w:val="28"/>
        </w:rPr>
        <w:t xml:space="preserve"> Цыган В. Патофизиология обмена веществ: учеб. пос. – СПб.: СпецЛит, 2013. – 335 с.</w:t>
      </w:r>
    </w:p>
    <w:p w14:paraId="3D74320C" w14:textId="77777777" w:rsidR="00BB318A" w:rsidRPr="0060528F" w:rsidRDefault="00BB318A" w:rsidP="00BB318A">
      <w:pPr>
        <w:spacing w:after="0" w:line="240" w:lineRule="auto"/>
        <w:ind w:firstLine="567"/>
        <w:jc w:val="both"/>
        <w:rPr>
          <w:rFonts w:ascii="Times New Roman" w:hAnsi="Times New Roman"/>
          <w:sz w:val="28"/>
          <w:szCs w:val="28"/>
        </w:rPr>
      </w:pPr>
      <w:r>
        <w:rPr>
          <w:rFonts w:ascii="Times New Roman" w:hAnsi="Times New Roman"/>
          <w:sz w:val="28"/>
          <w:szCs w:val="28"/>
        </w:rPr>
        <w:t>118</w:t>
      </w:r>
      <w:r w:rsidRPr="0060528F">
        <w:rPr>
          <w:rFonts w:ascii="Times New Roman" w:hAnsi="Times New Roman"/>
          <w:sz w:val="28"/>
          <w:szCs w:val="28"/>
        </w:rPr>
        <w:t xml:space="preserve"> Снеговой А.В., Бесова Н.С. Практические рекомендации по нутритивной поддержке при химиотерапии и/или лучевой терапии у онкологических больных // Злокачественные опухоли. – 2015. – №4. – С. 386-394. </w:t>
      </w:r>
    </w:p>
    <w:p w14:paraId="2DB0B9B9"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641DD9">
        <w:rPr>
          <w:rFonts w:ascii="Times New Roman" w:hAnsi="Times New Roman"/>
          <w:sz w:val="28"/>
          <w:szCs w:val="28"/>
          <w:lang w:val="en-US"/>
        </w:rPr>
        <w:t>119</w:t>
      </w:r>
      <w:r w:rsidRPr="0060528F">
        <w:rPr>
          <w:rFonts w:ascii="Times New Roman" w:hAnsi="Times New Roman"/>
          <w:sz w:val="28"/>
          <w:szCs w:val="28"/>
          <w:lang w:val="en-US"/>
        </w:rPr>
        <w:t xml:space="preserve"> </w:t>
      </w:r>
      <w:r w:rsidRPr="00B752F2">
        <w:rPr>
          <w:rFonts w:ascii="Times New Roman" w:hAnsi="Times New Roman"/>
          <w:sz w:val="28"/>
          <w:szCs w:val="28"/>
          <w:lang w:val="en-US"/>
        </w:rPr>
        <w:t>Doherty N.J., Sufian S., Pavlides C.A., Matsumoto T</w:t>
      </w:r>
      <w:r w:rsidRPr="0060528F">
        <w:rPr>
          <w:rFonts w:ascii="Times New Roman" w:hAnsi="Times New Roman"/>
          <w:sz w:val="28"/>
          <w:szCs w:val="28"/>
          <w:lang w:val="en-US"/>
        </w:rPr>
        <w:t xml:space="preserve">. Cimetidine in the treatment of severe metabolic alkalosis secondary to short bowel syndrome // </w:t>
      </w:r>
      <w:r w:rsidRPr="00B752F2">
        <w:rPr>
          <w:rFonts w:ascii="Times New Roman" w:hAnsi="Times New Roman"/>
          <w:sz w:val="28"/>
          <w:szCs w:val="28"/>
          <w:lang w:val="en-US"/>
        </w:rPr>
        <w:t>International surgery</w:t>
      </w:r>
      <w:r w:rsidRPr="0060528F">
        <w:rPr>
          <w:rFonts w:ascii="Times New Roman" w:hAnsi="Times New Roman"/>
          <w:sz w:val="28"/>
          <w:szCs w:val="28"/>
          <w:lang w:val="en-US"/>
        </w:rPr>
        <w:t>. – 1978. – Vol. 63, №</w:t>
      </w:r>
      <w:r>
        <w:rPr>
          <w:rFonts w:ascii="Times New Roman" w:hAnsi="Times New Roman"/>
          <w:sz w:val="28"/>
          <w:szCs w:val="28"/>
          <w:lang w:val="en-US"/>
        </w:rPr>
        <w:t xml:space="preserve"> </w:t>
      </w:r>
      <w:r w:rsidRPr="0060528F">
        <w:rPr>
          <w:rFonts w:ascii="Times New Roman" w:hAnsi="Times New Roman"/>
          <w:sz w:val="28"/>
          <w:szCs w:val="28"/>
          <w:lang w:val="en-US"/>
        </w:rPr>
        <w:t>3. – P. 140-142.</w:t>
      </w:r>
    </w:p>
    <w:p w14:paraId="6FD1ACFF" w14:textId="77777777" w:rsidR="00BB318A" w:rsidRPr="0060528F" w:rsidRDefault="00BB318A" w:rsidP="00BB318A">
      <w:pPr>
        <w:pStyle w:val="a7"/>
        <w:ind w:left="0" w:firstLine="567"/>
        <w:jc w:val="both"/>
        <w:rPr>
          <w:rFonts w:ascii="Times New Roman" w:hAnsi="Times New Roman"/>
          <w:sz w:val="28"/>
          <w:szCs w:val="28"/>
        </w:rPr>
      </w:pPr>
      <w:r>
        <w:rPr>
          <w:rFonts w:ascii="Times New Roman" w:hAnsi="Times New Roman"/>
          <w:sz w:val="28"/>
          <w:szCs w:val="28"/>
        </w:rPr>
        <w:t>120</w:t>
      </w:r>
      <w:r w:rsidRPr="0060528F">
        <w:rPr>
          <w:rFonts w:ascii="Times New Roman" w:hAnsi="Times New Roman"/>
          <w:sz w:val="28"/>
          <w:szCs w:val="28"/>
        </w:rPr>
        <w:t xml:space="preserve"> Костюченко Л.Н. Нутриционная поддержка при последствиях обширных резекций различных отделов кишечника // Современная медицинская наука. – 2013. – №3. – С. 48-68.</w:t>
      </w:r>
    </w:p>
    <w:p w14:paraId="59E694B7" w14:textId="77777777" w:rsidR="00BB318A" w:rsidRPr="0060528F" w:rsidRDefault="00BB318A" w:rsidP="00BB318A">
      <w:pPr>
        <w:pStyle w:val="a7"/>
        <w:ind w:left="0" w:firstLine="567"/>
        <w:jc w:val="both"/>
        <w:rPr>
          <w:rFonts w:ascii="Times New Roman" w:hAnsi="Times New Roman"/>
          <w:sz w:val="28"/>
          <w:szCs w:val="28"/>
        </w:rPr>
      </w:pPr>
      <w:r>
        <w:rPr>
          <w:rFonts w:ascii="Times New Roman" w:hAnsi="Times New Roman"/>
          <w:sz w:val="28"/>
          <w:szCs w:val="28"/>
        </w:rPr>
        <w:t>121</w:t>
      </w:r>
      <w:r w:rsidRPr="0060528F">
        <w:rPr>
          <w:rFonts w:ascii="Times New Roman" w:hAnsi="Times New Roman"/>
          <w:sz w:val="28"/>
          <w:szCs w:val="28"/>
        </w:rPr>
        <w:t xml:space="preserve"> Костюченко Л.Н. и др. Нутрициология в гастроэнтерологии: руков. для врачей. – М.: МК, 2013. – 432 с.</w:t>
      </w:r>
    </w:p>
    <w:p w14:paraId="7DE427D6"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Fonts w:ascii="Times New Roman" w:hAnsi="Times New Roman"/>
          <w:sz w:val="28"/>
          <w:szCs w:val="28"/>
          <w:lang w:val="en-US"/>
        </w:rPr>
        <w:t>122</w:t>
      </w:r>
      <w:r w:rsidRPr="0060528F">
        <w:rPr>
          <w:rFonts w:ascii="Times New Roman" w:hAnsi="Times New Roman"/>
          <w:sz w:val="28"/>
          <w:szCs w:val="28"/>
          <w:lang w:val="en-US"/>
        </w:rPr>
        <w:t xml:space="preserve"> </w:t>
      </w:r>
      <w:r w:rsidRPr="00B752F2">
        <w:rPr>
          <w:rFonts w:ascii="Times New Roman" w:hAnsi="Times New Roman"/>
          <w:sz w:val="28"/>
          <w:szCs w:val="28"/>
          <w:lang w:val="en-US"/>
        </w:rPr>
        <w:t>Pimentel M., Saad R.J., Long M.D., Rao S</w:t>
      </w:r>
      <w:r w:rsidRPr="0060528F">
        <w:rPr>
          <w:rFonts w:ascii="Times New Roman" w:hAnsi="Times New Roman"/>
          <w:sz w:val="28"/>
          <w:szCs w:val="28"/>
          <w:lang w:val="en-US"/>
        </w:rPr>
        <w:t>. ACG Clinical Guideline: Small Intestinal Bacterial Overgrowth // The American Journal of Gastroenterology. – 2020. – Vol. 115, №</w:t>
      </w:r>
      <w:r>
        <w:rPr>
          <w:rFonts w:ascii="Times New Roman" w:hAnsi="Times New Roman"/>
          <w:sz w:val="28"/>
          <w:szCs w:val="28"/>
          <w:lang w:val="en-US"/>
        </w:rPr>
        <w:t xml:space="preserve"> </w:t>
      </w:r>
      <w:r w:rsidRPr="0060528F">
        <w:rPr>
          <w:rFonts w:ascii="Times New Roman" w:hAnsi="Times New Roman"/>
          <w:sz w:val="28"/>
          <w:szCs w:val="28"/>
          <w:lang w:val="en-US"/>
        </w:rPr>
        <w:t>2. –</w:t>
      </w:r>
      <w:r>
        <w:rPr>
          <w:rFonts w:ascii="Times New Roman" w:hAnsi="Times New Roman"/>
          <w:sz w:val="28"/>
          <w:szCs w:val="28"/>
          <w:lang w:val="en-US"/>
        </w:rPr>
        <w:t xml:space="preserve"> </w:t>
      </w:r>
      <w:r w:rsidRPr="0060528F">
        <w:rPr>
          <w:rFonts w:ascii="Times New Roman" w:hAnsi="Times New Roman"/>
          <w:sz w:val="28"/>
          <w:szCs w:val="28"/>
          <w:lang w:val="en-US"/>
        </w:rPr>
        <w:t>P. 165-178.</w:t>
      </w:r>
    </w:p>
    <w:p w14:paraId="34D94A82" w14:textId="77777777" w:rsidR="00BB318A" w:rsidRPr="0060528F" w:rsidRDefault="00BB318A" w:rsidP="00BB318A">
      <w:pPr>
        <w:pStyle w:val="a7"/>
        <w:ind w:left="0" w:firstLine="567"/>
        <w:jc w:val="both"/>
        <w:rPr>
          <w:rFonts w:ascii="Times New Roman" w:hAnsi="Times New Roman"/>
          <w:sz w:val="28"/>
          <w:szCs w:val="28"/>
          <w:lang w:val="en-US"/>
        </w:rPr>
      </w:pPr>
      <w:r w:rsidRPr="00263ACA">
        <w:rPr>
          <w:rFonts w:ascii="Times New Roman" w:hAnsi="Times New Roman"/>
          <w:sz w:val="28"/>
          <w:szCs w:val="28"/>
          <w:lang w:val="en-US"/>
        </w:rPr>
        <w:lastRenderedPageBreak/>
        <w:t>123</w:t>
      </w:r>
      <w:r w:rsidRPr="0060528F">
        <w:rPr>
          <w:rFonts w:ascii="Times New Roman" w:hAnsi="Times New Roman"/>
          <w:sz w:val="28"/>
          <w:szCs w:val="28"/>
          <w:lang w:val="en-US"/>
        </w:rPr>
        <w:t xml:space="preserve"> Pimentel M. The prevalence of small intestinal bacterial overgrowth in irritable bowel syndrome: IBS vs healthy controls (not historical definitions) // Gut. – 2008. – Vol. 57, №</w:t>
      </w:r>
      <w:r>
        <w:rPr>
          <w:rFonts w:ascii="Times New Roman" w:hAnsi="Times New Roman"/>
          <w:sz w:val="28"/>
          <w:szCs w:val="28"/>
          <w:lang w:val="en-US"/>
        </w:rPr>
        <w:t xml:space="preserve"> </w:t>
      </w:r>
      <w:r w:rsidRPr="0060528F">
        <w:rPr>
          <w:rFonts w:ascii="Times New Roman" w:hAnsi="Times New Roman"/>
          <w:sz w:val="28"/>
          <w:szCs w:val="28"/>
          <w:lang w:val="en-US"/>
        </w:rPr>
        <w:t>9. – P. 1334-1335.</w:t>
      </w:r>
    </w:p>
    <w:p w14:paraId="0F0C2A2E" w14:textId="77777777" w:rsidR="00BB318A" w:rsidRPr="0060528F" w:rsidRDefault="00BB318A" w:rsidP="00BB318A">
      <w:pPr>
        <w:pStyle w:val="a7"/>
        <w:ind w:left="0" w:firstLine="567"/>
        <w:jc w:val="both"/>
        <w:rPr>
          <w:rFonts w:ascii="Times New Roman" w:hAnsi="Times New Roman"/>
          <w:sz w:val="28"/>
          <w:szCs w:val="28"/>
          <w:lang w:val="en-US"/>
        </w:rPr>
      </w:pPr>
      <w:r w:rsidRPr="00263ACA">
        <w:rPr>
          <w:rFonts w:ascii="Times New Roman" w:hAnsi="Times New Roman"/>
          <w:sz w:val="28"/>
          <w:szCs w:val="28"/>
          <w:lang w:val="en-US"/>
        </w:rPr>
        <w:t>124</w:t>
      </w:r>
      <w:r w:rsidRPr="0060528F">
        <w:rPr>
          <w:rFonts w:ascii="Times New Roman" w:hAnsi="Times New Roman"/>
          <w:sz w:val="28"/>
          <w:szCs w:val="28"/>
          <w:lang w:val="en-US"/>
        </w:rPr>
        <w:t xml:space="preserve"> Gregg C.R. Enteric bacterial flora and bacterial overgrowth syndrome // </w:t>
      </w:r>
      <w:r w:rsidRPr="00B752F2">
        <w:rPr>
          <w:rFonts w:ascii="Times New Roman" w:hAnsi="Times New Roman"/>
          <w:sz w:val="28"/>
          <w:szCs w:val="28"/>
          <w:lang w:val="en-US"/>
        </w:rPr>
        <w:t>Seminars in gastrointestinal disease</w:t>
      </w:r>
      <w:r w:rsidRPr="0060528F">
        <w:rPr>
          <w:rFonts w:ascii="Times New Roman" w:hAnsi="Times New Roman"/>
          <w:sz w:val="28"/>
          <w:szCs w:val="28"/>
          <w:lang w:val="en-US"/>
        </w:rPr>
        <w:t>. – 2002. – Vol. 13, №4. – P. 200-209.</w:t>
      </w:r>
    </w:p>
    <w:p w14:paraId="60BAEF17"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Fonts w:ascii="Times New Roman" w:hAnsi="Times New Roman"/>
          <w:sz w:val="28"/>
          <w:szCs w:val="28"/>
          <w:lang w:val="en-US"/>
        </w:rPr>
        <w:t>125</w:t>
      </w:r>
      <w:r w:rsidRPr="0060528F">
        <w:rPr>
          <w:rFonts w:ascii="Times New Roman" w:hAnsi="Times New Roman"/>
          <w:sz w:val="28"/>
          <w:szCs w:val="28"/>
          <w:lang w:val="en-US"/>
        </w:rPr>
        <w:t xml:space="preserve"> </w:t>
      </w:r>
      <w:r w:rsidRPr="00B752F2">
        <w:rPr>
          <w:rFonts w:ascii="Times New Roman" w:hAnsi="Times New Roman"/>
          <w:sz w:val="28"/>
          <w:szCs w:val="28"/>
          <w:lang w:val="en-US"/>
        </w:rPr>
        <w:t>Vantrappen G., Janssens J., Hellemans J., Ghoos, Y</w:t>
      </w:r>
      <w:r w:rsidRPr="0060528F">
        <w:rPr>
          <w:rFonts w:ascii="Times New Roman" w:hAnsi="Times New Roman"/>
          <w:sz w:val="28"/>
          <w:szCs w:val="28"/>
          <w:lang w:val="en-US"/>
        </w:rPr>
        <w:t xml:space="preserve">. The interdigestive motor complex of normal subjects and patients with bacterial overgrowth of the small intestine // </w:t>
      </w:r>
      <w:r w:rsidRPr="00B752F2">
        <w:rPr>
          <w:rFonts w:ascii="Times New Roman" w:hAnsi="Times New Roman"/>
          <w:sz w:val="28"/>
          <w:szCs w:val="28"/>
          <w:lang w:val="en-US"/>
        </w:rPr>
        <w:t>The Journal of clinical investigation</w:t>
      </w:r>
      <w:r w:rsidRPr="0060528F">
        <w:rPr>
          <w:rFonts w:ascii="Times New Roman" w:hAnsi="Times New Roman"/>
          <w:sz w:val="28"/>
          <w:szCs w:val="28"/>
          <w:lang w:val="en-US"/>
        </w:rPr>
        <w:t>. – 1977. – Vol. 59, №</w:t>
      </w:r>
      <w:r>
        <w:rPr>
          <w:rFonts w:ascii="Times New Roman" w:hAnsi="Times New Roman"/>
          <w:sz w:val="28"/>
          <w:szCs w:val="28"/>
          <w:lang w:val="en-US"/>
        </w:rPr>
        <w:t xml:space="preserve"> </w:t>
      </w:r>
      <w:r w:rsidRPr="0060528F">
        <w:rPr>
          <w:rFonts w:ascii="Times New Roman" w:hAnsi="Times New Roman"/>
          <w:sz w:val="28"/>
          <w:szCs w:val="28"/>
          <w:lang w:val="en-US"/>
        </w:rPr>
        <w:t>6. – P. 1158-1166.</w:t>
      </w:r>
    </w:p>
    <w:p w14:paraId="7E733106"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263ACA">
        <w:rPr>
          <w:rFonts w:ascii="Times New Roman" w:hAnsi="Times New Roman"/>
          <w:sz w:val="28"/>
          <w:szCs w:val="28"/>
          <w:lang w:val="en-US"/>
        </w:rPr>
        <w:t>26</w:t>
      </w:r>
      <w:r w:rsidRPr="0060528F">
        <w:rPr>
          <w:rFonts w:ascii="Times New Roman" w:hAnsi="Times New Roman"/>
          <w:sz w:val="28"/>
          <w:szCs w:val="28"/>
          <w:lang w:val="en-US"/>
        </w:rPr>
        <w:t xml:space="preserve"> </w:t>
      </w:r>
      <w:r w:rsidRPr="00324F13">
        <w:rPr>
          <w:rFonts w:ascii="Times New Roman" w:hAnsi="Times New Roman"/>
          <w:sz w:val="28"/>
          <w:szCs w:val="28"/>
          <w:lang w:val="en-US"/>
        </w:rPr>
        <w:t>Petrone P., Sarkisyan G., Fernández M.,</w:t>
      </w:r>
      <w:r w:rsidRPr="0060528F">
        <w:rPr>
          <w:rFonts w:ascii="Times New Roman" w:hAnsi="Times New Roman"/>
          <w:sz w:val="28"/>
          <w:szCs w:val="28"/>
          <w:lang w:val="en-US"/>
        </w:rPr>
        <w:t xml:space="preserve"> </w:t>
      </w:r>
      <w:r>
        <w:rPr>
          <w:rFonts w:ascii="Times New Roman" w:hAnsi="Times New Roman"/>
          <w:sz w:val="28"/>
          <w:szCs w:val="28"/>
          <w:lang w:val="en-US"/>
        </w:rPr>
        <w:t xml:space="preserve">et al. </w:t>
      </w:r>
      <w:r w:rsidRPr="0060528F">
        <w:rPr>
          <w:rFonts w:ascii="Times New Roman" w:hAnsi="Times New Roman"/>
          <w:sz w:val="28"/>
          <w:szCs w:val="28"/>
          <w:lang w:val="en-US"/>
        </w:rPr>
        <w:t xml:space="preserve">Small intestinal bacterial overgrowth in patients with lower gastrointestinal symptoms and a history of previous abdominal surgery // </w:t>
      </w:r>
      <w:r w:rsidRPr="00324F13">
        <w:rPr>
          <w:rFonts w:ascii="Times New Roman" w:hAnsi="Times New Roman"/>
          <w:sz w:val="28"/>
          <w:szCs w:val="28"/>
          <w:lang w:val="en-US"/>
        </w:rPr>
        <w:t>Archives of surgery (Chicago, Ill.: 1960)</w:t>
      </w:r>
      <w:r w:rsidRPr="0060528F">
        <w:rPr>
          <w:rFonts w:ascii="Times New Roman" w:hAnsi="Times New Roman"/>
          <w:sz w:val="28"/>
          <w:szCs w:val="28"/>
          <w:lang w:val="en-US"/>
        </w:rPr>
        <w:t>. –2011. – Vol. 146, №4. – P. 444-447.</w:t>
      </w:r>
    </w:p>
    <w:p w14:paraId="242CB40F"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263ACA">
        <w:rPr>
          <w:rFonts w:ascii="Times New Roman" w:hAnsi="Times New Roman"/>
          <w:sz w:val="28"/>
          <w:szCs w:val="28"/>
          <w:lang w:val="en-US"/>
        </w:rPr>
        <w:t>27</w:t>
      </w:r>
      <w:r w:rsidRPr="0060528F">
        <w:rPr>
          <w:rFonts w:ascii="Times New Roman" w:hAnsi="Times New Roman"/>
          <w:sz w:val="28"/>
          <w:szCs w:val="28"/>
          <w:lang w:val="en-US"/>
        </w:rPr>
        <w:t xml:space="preserve"> Sachdev A.H., Pimentel M. Antibiotics for irritable bowel syndrome: rationale and current evidence // </w:t>
      </w:r>
      <w:r w:rsidRPr="00324F13">
        <w:rPr>
          <w:rFonts w:ascii="Times New Roman" w:hAnsi="Times New Roman"/>
          <w:sz w:val="28"/>
          <w:szCs w:val="28"/>
          <w:lang w:val="en-US"/>
        </w:rPr>
        <w:t>Current gastroenterology reports</w:t>
      </w:r>
      <w:r w:rsidRPr="0060528F">
        <w:rPr>
          <w:rFonts w:ascii="Times New Roman" w:hAnsi="Times New Roman"/>
          <w:sz w:val="28"/>
          <w:szCs w:val="28"/>
          <w:lang w:val="en-US"/>
        </w:rPr>
        <w:t>. – 2012. – Vol. 14, №</w:t>
      </w:r>
      <w:r>
        <w:rPr>
          <w:rFonts w:ascii="Times New Roman" w:hAnsi="Times New Roman"/>
          <w:sz w:val="28"/>
          <w:szCs w:val="28"/>
          <w:lang w:val="en-US"/>
        </w:rPr>
        <w:t xml:space="preserve"> </w:t>
      </w:r>
      <w:r w:rsidRPr="0060528F">
        <w:rPr>
          <w:rFonts w:ascii="Times New Roman" w:hAnsi="Times New Roman"/>
          <w:sz w:val="28"/>
          <w:szCs w:val="28"/>
          <w:lang w:val="en-US"/>
        </w:rPr>
        <w:t>5. –</w:t>
      </w:r>
      <w:r w:rsidRPr="00846808">
        <w:rPr>
          <w:rFonts w:ascii="Times New Roman" w:hAnsi="Times New Roman"/>
          <w:sz w:val="28"/>
          <w:szCs w:val="28"/>
          <w:lang w:val="en-US"/>
        </w:rPr>
        <w:t xml:space="preserve"> </w:t>
      </w:r>
      <w:r w:rsidRPr="0060528F">
        <w:rPr>
          <w:rFonts w:ascii="Times New Roman" w:hAnsi="Times New Roman"/>
          <w:sz w:val="28"/>
          <w:szCs w:val="28"/>
          <w:lang w:val="en-US"/>
        </w:rPr>
        <w:t>P. 439-445.</w:t>
      </w:r>
    </w:p>
    <w:p w14:paraId="6204671C"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12</w:t>
      </w:r>
      <w:r w:rsidRPr="00263ACA">
        <w:rPr>
          <w:rFonts w:ascii="Times New Roman" w:hAnsi="Times New Roman"/>
          <w:sz w:val="28"/>
          <w:szCs w:val="28"/>
          <w:lang w:val="en-US"/>
        </w:rPr>
        <w:t>8</w:t>
      </w:r>
      <w:r w:rsidRPr="0060528F">
        <w:rPr>
          <w:rFonts w:ascii="Times New Roman" w:hAnsi="Times New Roman"/>
          <w:sz w:val="28"/>
          <w:szCs w:val="28"/>
          <w:lang w:val="en-US"/>
        </w:rPr>
        <w:t xml:space="preserve"> </w:t>
      </w:r>
      <w:r w:rsidRPr="00324F13">
        <w:rPr>
          <w:rFonts w:ascii="Times New Roman" w:hAnsi="Times New Roman"/>
          <w:sz w:val="28"/>
          <w:szCs w:val="28"/>
          <w:lang w:val="en-US"/>
        </w:rPr>
        <w:t>Turnbaugh P.J., Ley R.E., Hamady M.,</w:t>
      </w:r>
      <w:r w:rsidRPr="0060528F">
        <w:rPr>
          <w:rFonts w:ascii="Times New Roman" w:hAnsi="Times New Roman"/>
          <w:sz w:val="28"/>
          <w:szCs w:val="28"/>
          <w:lang w:val="en-US"/>
        </w:rPr>
        <w:t xml:space="preserve"> et al. The Human Microbiome Project // Nature. – 2007. –Vol. 449, №7164. – P. 804-810.</w:t>
      </w:r>
    </w:p>
    <w:p w14:paraId="5DF477D5"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263ACA">
        <w:rPr>
          <w:rFonts w:ascii="Times New Roman" w:hAnsi="Times New Roman"/>
          <w:sz w:val="28"/>
          <w:szCs w:val="28"/>
          <w:lang w:val="en-US"/>
        </w:rPr>
        <w:t>29</w:t>
      </w:r>
      <w:r w:rsidRPr="0060528F">
        <w:rPr>
          <w:rFonts w:ascii="Times New Roman" w:hAnsi="Times New Roman"/>
          <w:sz w:val="28"/>
          <w:szCs w:val="28"/>
          <w:lang w:val="en-US"/>
        </w:rPr>
        <w:t xml:space="preserve"> Majewski M., McCallum R.W. Results of small intestinal bacterial overgrowth testing in irritable bowel syndrome patients: clinical profiles and effects of antibiotic trial // </w:t>
      </w:r>
      <w:r w:rsidRPr="00324F13">
        <w:rPr>
          <w:rFonts w:ascii="Times New Roman" w:hAnsi="Times New Roman"/>
          <w:sz w:val="28"/>
          <w:szCs w:val="28"/>
          <w:lang w:val="en-US"/>
        </w:rPr>
        <w:t>Advances in medical sciences</w:t>
      </w:r>
      <w:r w:rsidRPr="0060528F">
        <w:rPr>
          <w:rFonts w:ascii="Times New Roman" w:hAnsi="Times New Roman"/>
          <w:sz w:val="28"/>
          <w:szCs w:val="28"/>
          <w:lang w:val="en-US"/>
        </w:rPr>
        <w:t>. – 2007. – Vol. 52. – P. 139-142.</w:t>
      </w:r>
    </w:p>
    <w:p w14:paraId="06A61E58"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30</w:t>
      </w:r>
      <w:r w:rsidRPr="0060528F">
        <w:rPr>
          <w:rFonts w:ascii="Times New Roman" w:hAnsi="Times New Roman"/>
          <w:sz w:val="28"/>
          <w:szCs w:val="28"/>
          <w:lang w:val="en-US"/>
        </w:rPr>
        <w:t xml:space="preserve"> </w:t>
      </w:r>
      <w:r w:rsidRPr="00324F13">
        <w:rPr>
          <w:rFonts w:ascii="Times New Roman" w:hAnsi="Times New Roman"/>
          <w:sz w:val="28"/>
          <w:szCs w:val="28"/>
          <w:lang w:val="en-US"/>
        </w:rPr>
        <w:t xml:space="preserve">Shah A., Morrison M., Burger D., </w:t>
      </w:r>
      <w:r w:rsidRPr="0060528F">
        <w:rPr>
          <w:rFonts w:ascii="Times New Roman" w:hAnsi="Times New Roman"/>
          <w:sz w:val="28"/>
          <w:szCs w:val="28"/>
          <w:lang w:val="en-US"/>
        </w:rPr>
        <w:t xml:space="preserve">et al. Systematic review with meta-analysis: the prevalence of small intestinal bacterial overgrowth in inflammatory bowel disease // </w:t>
      </w:r>
      <w:r w:rsidRPr="00324F13">
        <w:rPr>
          <w:rFonts w:ascii="Times New Roman" w:hAnsi="Times New Roman"/>
          <w:sz w:val="28"/>
          <w:szCs w:val="28"/>
          <w:lang w:val="en-US"/>
        </w:rPr>
        <w:t>Alimentary pharmacology &amp; therapeutics</w:t>
      </w:r>
      <w:r w:rsidRPr="0060528F">
        <w:rPr>
          <w:rFonts w:ascii="Times New Roman" w:hAnsi="Times New Roman"/>
          <w:sz w:val="28"/>
          <w:szCs w:val="28"/>
          <w:lang w:val="en-US"/>
        </w:rPr>
        <w:t>. – 2019. – Vol. 49, №</w:t>
      </w:r>
      <w:r>
        <w:rPr>
          <w:rFonts w:ascii="Times New Roman" w:hAnsi="Times New Roman"/>
          <w:sz w:val="28"/>
          <w:szCs w:val="28"/>
          <w:lang w:val="en-US"/>
        </w:rPr>
        <w:t xml:space="preserve"> </w:t>
      </w:r>
      <w:r w:rsidRPr="0060528F">
        <w:rPr>
          <w:rFonts w:ascii="Times New Roman" w:hAnsi="Times New Roman"/>
          <w:sz w:val="28"/>
          <w:szCs w:val="28"/>
          <w:lang w:val="en-US"/>
        </w:rPr>
        <w:t>6. – P. 624-635.</w:t>
      </w:r>
    </w:p>
    <w:p w14:paraId="2DE6C207"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31</w:t>
      </w:r>
      <w:r w:rsidRPr="0060528F">
        <w:rPr>
          <w:rFonts w:ascii="Times New Roman" w:hAnsi="Times New Roman"/>
          <w:sz w:val="28"/>
          <w:szCs w:val="28"/>
          <w:lang w:val="en-US"/>
        </w:rPr>
        <w:t xml:space="preserve"> </w:t>
      </w:r>
      <w:r w:rsidRPr="00324F13">
        <w:rPr>
          <w:rFonts w:ascii="Times New Roman" w:hAnsi="Times New Roman"/>
          <w:sz w:val="28"/>
          <w:szCs w:val="28"/>
          <w:lang w:val="en-US"/>
        </w:rPr>
        <w:t>Tauber M., Avouac J., Benahmed A.,</w:t>
      </w:r>
      <w:r w:rsidRPr="0060528F">
        <w:rPr>
          <w:rFonts w:ascii="Times New Roman" w:hAnsi="Times New Roman"/>
          <w:sz w:val="28"/>
          <w:szCs w:val="28"/>
          <w:lang w:val="en-US"/>
        </w:rPr>
        <w:t xml:space="preserve"> et al. Prevalence and predictors of small intestinal bacterial overgrowth in systemic sclerosis patients with gastrointestinal symptoms // </w:t>
      </w:r>
      <w:r w:rsidRPr="00B4223E">
        <w:rPr>
          <w:rFonts w:ascii="Times New Roman" w:hAnsi="Times New Roman"/>
          <w:sz w:val="28"/>
          <w:szCs w:val="28"/>
          <w:lang w:val="en-US"/>
        </w:rPr>
        <w:t>Clinical and experimental rheumatology</w:t>
      </w:r>
      <w:r w:rsidRPr="0060528F">
        <w:rPr>
          <w:rFonts w:ascii="Times New Roman" w:hAnsi="Times New Roman"/>
          <w:sz w:val="28"/>
          <w:szCs w:val="28"/>
          <w:lang w:val="en-US"/>
        </w:rPr>
        <w:t>. – 2014. – Vol. 32, №</w:t>
      </w:r>
      <w:r>
        <w:rPr>
          <w:rFonts w:ascii="Times New Roman" w:hAnsi="Times New Roman"/>
          <w:sz w:val="28"/>
          <w:szCs w:val="28"/>
          <w:lang w:val="en-US"/>
        </w:rPr>
        <w:t xml:space="preserve"> </w:t>
      </w:r>
      <w:r w:rsidRPr="0060528F">
        <w:rPr>
          <w:rFonts w:ascii="Times New Roman" w:hAnsi="Times New Roman"/>
          <w:sz w:val="28"/>
          <w:szCs w:val="28"/>
          <w:lang w:val="en-US"/>
        </w:rPr>
        <w:t>6, Suppl 86. – P. S82-S87.</w:t>
      </w:r>
    </w:p>
    <w:p w14:paraId="08AE58E5"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2E3E9F">
        <w:rPr>
          <w:rFonts w:ascii="Times New Roman" w:hAnsi="Times New Roman"/>
          <w:sz w:val="28"/>
          <w:szCs w:val="28"/>
          <w:lang w:val="en-US"/>
        </w:rPr>
        <w:t>32</w:t>
      </w:r>
      <w:r w:rsidRPr="0060528F">
        <w:rPr>
          <w:rFonts w:ascii="Times New Roman" w:hAnsi="Times New Roman"/>
          <w:sz w:val="28"/>
          <w:szCs w:val="28"/>
          <w:lang w:val="en-US"/>
        </w:rPr>
        <w:t xml:space="preserve"> Vantrappen G., </w:t>
      </w:r>
      <w:r w:rsidRPr="00B4223E">
        <w:rPr>
          <w:rFonts w:ascii="Times New Roman" w:hAnsi="Times New Roman"/>
          <w:sz w:val="28"/>
          <w:szCs w:val="28"/>
          <w:lang w:val="en-US"/>
        </w:rPr>
        <w:t>Janssens J., Hellemans J., Ghoos, Y.</w:t>
      </w:r>
      <w:r w:rsidRPr="0060528F">
        <w:rPr>
          <w:rFonts w:ascii="Times New Roman" w:hAnsi="Times New Roman"/>
          <w:sz w:val="28"/>
          <w:szCs w:val="28"/>
          <w:lang w:val="en-US"/>
        </w:rPr>
        <w:t xml:space="preserve"> The interdigestive motor complex of normal subjects and patients with bacterial overgrowth of the small intestine //</w:t>
      </w:r>
      <w:r w:rsidRPr="0060528F">
        <w:rPr>
          <w:rFonts w:ascii="Times New Roman" w:hAnsi="Times New Roman"/>
          <w:iCs/>
          <w:sz w:val="28"/>
          <w:szCs w:val="28"/>
          <w:shd w:val="clear" w:color="auto" w:fill="FFFFFF"/>
          <w:lang w:val="en-US"/>
        </w:rPr>
        <w:t xml:space="preserve"> </w:t>
      </w:r>
      <w:r w:rsidRPr="00B4223E">
        <w:rPr>
          <w:rFonts w:ascii="Times New Roman" w:hAnsi="Times New Roman"/>
          <w:iCs/>
          <w:sz w:val="28"/>
          <w:szCs w:val="28"/>
          <w:shd w:val="clear" w:color="auto" w:fill="FFFFFF"/>
          <w:lang w:val="en-US"/>
        </w:rPr>
        <w:t>The Journal of clinical investigation</w:t>
      </w:r>
      <w:r w:rsidRPr="0060528F">
        <w:rPr>
          <w:rFonts w:ascii="Times New Roman" w:hAnsi="Times New Roman"/>
          <w:iCs/>
          <w:sz w:val="28"/>
          <w:szCs w:val="28"/>
          <w:shd w:val="clear" w:color="auto" w:fill="FFFFFF"/>
          <w:lang w:val="en-US"/>
        </w:rPr>
        <w:t>. – 1977. – Vol. 59, №</w:t>
      </w:r>
      <w:r>
        <w:rPr>
          <w:rFonts w:ascii="Times New Roman" w:hAnsi="Times New Roman"/>
          <w:iCs/>
          <w:sz w:val="28"/>
          <w:szCs w:val="28"/>
          <w:shd w:val="clear" w:color="auto" w:fill="FFFFFF"/>
          <w:lang w:val="en-US"/>
        </w:rPr>
        <w:t xml:space="preserve"> </w:t>
      </w:r>
      <w:r w:rsidRPr="0060528F">
        <w:rPr>
          <w:rFonts w:ascii="Times New Roman" w:hAnsi="Times New Roman"/>
          <w:iCs/>
          <w:sz w:val="28"/>
          <w:szCs w:val="28"/>
          <w:shd w:val="clear" w:color="auto" w:fill="FFFFFF"/>
          <w:lang w:val="en-US"/>
        </w:rPr>
        <w:t xml:space="preserve">6. – </w:t>
      </w:r>
      <w:r w:rsidRPr="0060528F">
        <w:rPr>
          <w:rFonts w:ascii="Times New Roman" w:hAnsi="Times New Roman"/>
          <w:iCs/>
          <w:sz w:val="28"/>
          <w:szCs w:val="28"/>
          <w:shd w:val="clear" w:color="auto" w:fill="FFFFFF"/>
        </w:rPr>
        <w:t>Р</w:t>
      </w:r>
      <w:r w:rsidRPr="0060528F">
        <w:rPr>
          <w:rFonts w:ascii="Times New Roman" w:hAnsi="Times New Roman"/>
          <w:iCs/>
          <w:sz w:val="28"/>
          <w:szCs w:val="28"/>
          <w:shd w:val="clear" w:color="auto" w:fill="FFFFFF"/>
          <w:lang w:val="en-US"/>
        </w:rPr>
        <w:t>. 1158-1166.</w:t>
      </w:r>
    </w:p>
    <w:p w14:paraId="2394EE35" w14:textId="77777777" w:rsidR="00BB318A"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33</w:t>
      </w:r>
      <w:r w:rsidRPr="0060528F">
        <w:rPr>
          <w:rFonts w:ascii="Times New Roman" w:hAnsi="Times New Roman"/>
          <w:sz w:val="28"/>
          <w:szCs w:val="28"/>
          <w:lang w:val="en-US"/>
        </w:rPr>
        <w:t xml:space="preserve"> </w:t>
      </w:r>
      <w:r w:rsidRPr="00B4223E">
        <w:rPr>
          <w:rFonts w:ascii="Times New Roman" w:hAnsi="Times New Roman"/>
          <w:sz w:val="28"/>
          <w:szCs w:val="28"/>
          <w:lang w:val="en-US"/>
        </w:rPr>
        <w:t>Husebye E., Skar V., Høverstad T., Iversen T., Melby K</w:t>
      </w:r>
      <w:r w:rsidRPr="0060528F">
        <w:rPr>
          <w:rFonts w:ascii="Times New Roman" w:hAnsi="Times New Roman"/>
          <w:sz w:val="28"/>
          <w:szCs w:val="28"/>
          <w:lang w:val="en-US"/>
        </w:rPr>
        <w:t>. Abnormal intestinal motor patterns explain enteric colonization with gram-negative bacilli in late radiation enteropathy // Gastroenterology. – 1995. – Vol. 109, №</w:t>
      </w:r>
      <w:r>
        <w:rPr>
          <w:rFonts w:ascii="Times New Roman" w:hAnsi="Times New Roman"/>
          <w:sz w:val="28"/>
          <w:szCs w:val="28"/>
          <w:lang w:val="en-US"/>
        </w:rPr>
        <w:t xml:space="preserve"> </w:t>
      </w:r>
      <w:r w:rsidRPr="0060528F">
        <w:rPr>
          <w:rFonts w:ascii="Times New Roman" w:hAnsi="Times New Roman"/>
          <w:sz w:val="28"/>
          <w:szCs w:val="28"/>
          <w:lang w:val="en-US"/>
        </w:rPr>
        <w:t>4. – P. 1078-1089.</w:t>
      </w:r>
    </w:p>
    <w:p w14:paraId="238336C1" w14:textId="77777777" w:rsidR="00BB318A"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2E3E9F">
        <w:rPr>
          <w:rFonts w:ascii="Times New Roman" w:hAnsi="Times New Roman"/>
          <w:sz w:val="28"/>
          <w:szCs w:val="28"/>
          <w:lang w:val="en-US"/>
        </w:rPr>
        <w:t>34</w:t>
      </w:r>
      <w:r w:rsidRPr="0060528F">
        <w:rPr>
          <w:rFonts w:ascii="Times New Roman" w:hAnsi="Times New Roman"/>
          <w:sz w:val="28"/>
          <w:szCs w:val="28"/>
          <w:lang w:val="en-US"/>
        </w:rPr>
        <w:t xml:space="preserve"> </w:t>
      </w:r>
      <w:r w:rsidRPr="00B4223E">
        <w:rPr>
          <w:rFonts w:ascii="Times New Roman" w:hAnsi="Times New Roman"/>
          <w:sz w:val="28"/>
          <w:szCs w:val="28"/>
          <w:lang w:val="en-US"/>
        </w:rPr>
        <w:t>Chander Roland B., Mullin G. E., Passi M.,</w:t>
      </w:r>
      <w:r w:rsidRPr="0060528F">
        <w:rPr>
          <w:rFonts w:ascii="Times New Roman" w:hAnsi="Times New Roman"/>
          <w:sz w:val="28"/>
          <w:szCs w:val="28"/>
          <w:lang w:val="en-US"/>
        </w:rPr>
        <w:t xml:space="preserve"> et al. A Prospective Evaluation of Ileocecal Valve Dysfunction and Intestinal Motility Derangements in Small Intestinal Bacterial Overgrowth // </w:t>
      </w:r>
      <w:r w:rsidRPr="00B4223E">
        <w:rPr>
          <w:rFonts w:ascii="Times New Roman" w:hAnsi="Times New Roman"/>
          <w:sz w:val="28"/>
          <w:szCs w:val="28"/>
          <w:lang w:val="en-US"/>
        </w:rPr>
        <w:t>Digestive diseases and sciences</w:t>
      </w:r>
      <w:r w:rsidRPr="0060528F">
        <w:rPr>
          <w:rFonts w:ascii="Times New Roman" w:hAnsi="Times New Roman"/>
          <w:sz w:val="28"/>
          <w:szCs w:val="28"/>
          <w:lang w:val="en-US"/>
        </w:rPr>
        <w:t>. – 2017. – Vol. 62, №</w:t>
      </w:r>
      <w:r>
        <w:rPr>
          <w:rFonts w:ascii="Times New Roman" w:hAnsi="Times New Roman"/>
          <w:sz w:val="28"/>
          <w:szCs w:val="28"/>
          <w:lang w:val="en-US"/>
        </w:rPr>
        <w:t xml:space="preserve"> </w:t>
      </w:r>
      <w:r w:rsidRPr="0060528F">
        <w:rPr>
          <w:rFonts w:ascii="Times New Roman" w:hAnsi="Times New Roman"/>
          <w:sz w:val="28"/>
          <w:szCs w:val="28"/>
          <w:lang w:val="en-US"/>
        </w:rPr>
        <w:t>12. – P. 3525-3535.</w:t>
      </w:r>
    </w:p>
    <w:p w14:paraId="7BD8593C" w14:textId="77777777" w:rsidR="00BB318A" w:rsidRPr="002E3E9F" w:rsidRDefault="00BB318A" w:rsidP="00BB318A">
      <w:pPr>
        <w:pStyle w:val="a7"/>
        <w:ind w:left="0" w:firstLine="567"/>
        <w:jc w:val="both"/>
        <w:rPr>
          <w:rFonts w:ascii="Times New Roman" w:hAnsi="Times New Roman"/>
          <w:sz w:val="28"/>
          <w:szCs w:val="28"/>
          <w:lang w:val="en-US"/>
        </w:rPr>
      </w:pPr>
      <w:r w:rsidRPr="002E3E9F">
        <w:rPr>
          <w:rFonts w:ascii="Times New Roman" w:hAnsi="Times New Roman"/>
          <w:sz w:val="28"/>
          <w:szCs w:val="28"/>
          <w:lang w:val="en-US"/>
        </w:rPr>
        <w:t>135 Avelar Rodriguez D., Ryan P.M., Toro Monjaraz</w:t>
      </w:r>
      <w:r>
        <w:rPr>
          <w:rFonts w:ascii="Times New Roman" w:hAnsi="Times New Roman"/>
          <w:sz w:val="28"/>
          <w:szCs w:val="28"/>
          <w:lang w:val="en-US"/>
        </w:rPr>
        <w:t xml:space="preserve"> </w:t>
      </w:r>
      <w:r w:rsidRPr="002E3E9F">
        <w:rPr>
          <w:rFonts w:ascii="Times New Roman" w:hAnsi="Times New Roman"/>
          <w:sz w:val="28"/>
          <w:szCs w:val="28"/>
          <w:lang w:val="en-US"/>
        </w:rPr>
        <w:t>E.M., Ramirez Mayans J.A., Quigley E.M. Small Intestinal Bacterial Overgrowth in Children: A State-Of-The-Art Review</w:t>
      </w:r>
      <w:r w:rsidRPr="0060528F">
        <w:rPr>
          <w:rFonts w:ascii="Times New Roman" w:hAnsi="Times New Roman"/>
          <w:sz w:val="28"/>
          <w:szCs w:val="28"/>
          <w:lang w:val="en-US"/>
        </w:rPr>
        <w:t xml:space="preserve"> // </w:t>
      </w:r>
      <w:r w:rsidRPr="002E3E9F">
        <w:rPr>
          <w:rFonts w:ascii="Times New Roman" w:hAnsi="Times New Roman"/>
          <w:sz w:val="28"/>
          <w:szCs w:val="28"/>
          <w:lang w:val="en-US"/>
        </w:rPr>
        <w:t>Frontiers in pediatrics</w:t>
      </w:r>
      <w:r w:rsidRPr="0060528F">
        <w:rPr>
          <w:rFonts w:ascii="Times New Roman" w:hAnsi="Times New Roman"/>
          <w:sz w:val="28"/>
          <w:szCs w:val="28"/>
          <w:lang w:val="en-US"/>
        </w:rPr>
        <w:t xml:space="preserve">. – </w:t>
      </w:r>
      <w:r w:rsidRPr="002E3E9F">
        <w:rPr>
          <w:rFonts w:ascii="Times New Roman" w:hAnsi="Times New Roman"/>
          <w:sz w:val="28"/>
          <w:szCs w:val="28"/>
          <w:lang w:val="en-US"/>
        </w:rPr>
        <w:t>2019.</w:t>
      </w:r>
      <w:r w:rsidRPr="0060528F">
        <w:rPr>
          <w:rFonts w:ascii="Times New Roman" w:hAnsi="Times New Roman"/>
          <w:sz w:val="28"/>
          <w:szCs w:val="28"/>
          <w:lang w:val="en-US"/>
        </w:rPr>
        <w:t xml:space="preserve"> – Vol.</w:t>
      </w:r>
      <w:r>
        <w:rPr>
          <w:rFonts w:ascii="Times New Roman" w:hAnsi="Times New Roman"/>
          <w:sz w:val="28"/>
          <w:szCs w:val="28"/>
          <w:lang w:val="en-US"/>
        </w:rPr>
        <w:t xml:space="preserve"> </w:t>
      </w:r>
      <w:r w:rsidRPr="002E3E9F">
        <w:rPr>
          <w:rFonts w:ascii="Times New Roman" w:hAnsi="Times New Roman"/>
          <w:sz w:val="28"/>
          <w:szCs w:val="28"/>
          <w:lang w:val="en-US"/>
        </w:rPr>
        <w:t>7</w:t>
      </w:r>
      <w:r>
        <w:rPr>
          <w:rFonts w:ascii="Times New Roman" w:hAnsi="Times New Roman"/>
          <w:sz w:val="28"/>
          <w:szCs w:val="28"/>
          <w:lang w:val="en-US"/>
        </w:rPr>
        <w:t>.</w:t>
      </w:r>
      <w:r w:rsidRPr="0060528F">
        <w:rPr>
          <w:rFonts w:ascii="Times New Roman" w:hAnsi="Times New Roman"/>
          <w:sz w:val="28"/>
          <w:szCs w:val="28"/>
          <w:lang w:val="en-US"/>
        </w:rPr>
        <w:t xml:space="preserve"> – P.</w:t>
      </w:r>
      <w:r>
        <w:rPr>
          <w:rFonts w:ascii="Times New Roman" w:hAnsi="Times New Roman"/>
          <w:sz w:val="28"/>
          <w:szCs w:val="28"/>
          <w:lang w:val="en-US"/>
        </w:rPr>
        <w:t xml:space="preserve"> </w:t>
      </w:r>
      <w:r w:rsidRPr="002E3E9F">
        <w:rPr>
          <w:rFonts w:ascii="Times New Roman" w:hAnsi="Times New Roman"/>
          <w:sz w:val="28"/>
          <w:szCs w:val="28"/>
          <w:lang w:val="en-US"/>
        </w:rPr>
        <w:t>363</w:t>
      </w:r>
      <w:r>
        <w:rPr>
          <w:rFonts w:ascii="Times New Roman" w:hAnsi="Times New Roman"/>
          <w:sz w:val="28"/>
          <w:szCs w:val="28"/>
          <w:lang w:val="en-US"/>
        </w:rPr>
        <w:t>-369</w:t>
      </w:r>
      <w:r w:rsidRPr="002E3E9F">
        <w:rPr>
          <w:rFonts w:ascii="Times New Roman" w:hAnsi="Times New Roman"/>
          <w:sz w:val="28"/>
          <w:szCs w:val="28"/>
          <w:lang w:val="en-US"/>
        </w:rPr>
        <w:t>.</w:t>
      </w:r>
    </w:p>
    <w:p w14:paraId="35E44BCF"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lastRenderedPageBreak/>
        <w:t>1</w:t>
      </w:r>
      <w:r w:rsidRPr="002E3E9F">
        <w:rPr>
          <w:rFonts w:ascii="Times New Roman" w:hAnsi="Times New Roman"/>
          <w:sz w:val="28"/>
          <w:szCs w:val="28"/>
          <w:lang w:val="en-US"/>
        </w:rPr>
        <w:t>36</w:t>
      </w:r>
      <w:r w:rsidRPr="0060528F">
        <w:rPr>
          <w:rFonts w:ascii="Times New Roman" w:hAnsi="Times New Roman"/>
          <w:sz w:val="28"/>
          <w:szCs w:val="28"/>
          <w:lang w:val="en-US"/>
        </w:rPr>
        <w:t xml:space="preserve"> Quigley E.M., Phillips S.F., Dent J. Distinctive patterns of interdigestive motility at the canine ileocolonic junction // Gastroenterology. – 1984. – Vol. 87, №</w:t>
      </w:r>
      <w:r>
        <w:rPr>
          <w:rFonts w:ascii="Times New Roman" w:hAnsi="Times New Roman"/>
          <w:sz w:val="28"/>
          <w:szCs w:val="28"/>
          <w:lang w:val="en-US"/>
        </w:rPr>
        <w:t xml:space="preserve"> </w:t>
      </w:r>
      <w:r w:rsidRPr="0060528F">
        <w:rPr>
          <w:rFonts w:ascii="Times New Roman" w:hAnsi="Times New Roman"/>
          <w:sz w:val="28"/>
          <w:szCs w:val="28"/>
          <w:lang w:val="en-US"/>
        </w:rPr>
        <w:t>4. – P. 836-844.</w:t>
      </w:r>
    </w:p>
    <w:p w14:paraId="123D052A"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2E3E9F">
        <w:rPr>
          <w:rFonts w:ascii="Times New Roman" w:hAnsi="Times New Roman"/>
          <w:sz w:val="28"/>
          <w:szCs w:val="28"/>
          <w:lang w:val="en-US"/>
        </w:rPr>
        <w:t>37</w:t>
      </w:r>
      <w:r w:rsidRPr="0060528F">
        <w:rPr>
          <w:rFonts w:ascii="Times New Roman" w:hAnsi="Times New Roman"/>
          <w:sz w:val="28"/>
          <w:szCs w:val="28"/>
          <w:lang w:val="en-US"/>
        </w:rPr>
        <w:t xml:space="preserve"> </w:t>
      </w:r>
      <w:r w:rsidRPr="00DD1CF4">
        <w:rPr>
          <w:rFonts w:ascii="Times New Roman" w:hAnsi="Times New Roman"/>
          <w:sz w:val="28"/>
          <w:szCs w:val="28"/>
          <w:lang w:val="en-US"/>
        </w:rPr>
        <w:t>Quigley E.M., Borody T.J., Phillips S.F.,</w:t>
      </w:r>
      <w:r w:rsidRPr="0060528F">
        <w:rPr>
          <w:rFonts w:ascii="Times New Roman" w:hAnsi="Times New Roman"/>
          <w:sz w:val="28"/>
          <w:szCs w:val="28"/>
          <w:lang w:val="en-US"/>
        </w:rPr>
        <w:t xml:space="preserve"> et al. Motility of the terminal ileum and ileocecal sphincter in healthy humans // Gastroenterology. – 1984. – Vol. 87, №</w:t>
      </w:r>
      <w:r>
        <w:rPr>
          <w:rFonts w:ascii="Times New Roman" w:hAnsi="Times New Roman"/>
          <w:sz w:val="28"/>
          <w:szCs w:val="28"/>
          <w:lang w:val="en-US"/>
        </w:rPr>
        <w:t xml:space="preserve"> </w:t>
      </w:r>
      <w:r w:rsidRPr="0060528F">
        <w:rPr>
          <w:rFonts w:ascii="Times New Roman" w:hAnsi="Times New Roman"/>
          <w:sz w:val="28"/>
          <w:szCs w:val="28"/>
          <w:lang w:val="en-US"/>
        </w:rPr>
        <w:t>4. – P. 857-866.</w:t>
      </w:r>
    </w:p>
    <w:p w14:paraId="49FBE23E"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256738">
        <w:rPr>
          <w:rFonts w:ascii="Times New Roman" w:hAnsi="Times New Roman"/>
          <w:sz w:val="28"/>
          <w:szCs w:val="28"/>
          <w:lang w:val="en-US"/>
        </w:rPr>
        <w:t>38</w:t>
      </w:r>
      <w:r w:rsidRPr="0060528F">
        <w:rPr>
          <w:rFonts w:ascii="Times New Roman" w:hAnsi="Times New Roman"/>
          <w:sz w:val="28"/>
          <w:szCs w:val="28"/>
          <w:lang w:val="en-US"/>
        </w:rPr>
        <w:t xml:space="preserve"> Ghoshal U.C., Ghoshal U. Small Intestinal Bacterial Overgrowth and Other Intestinal Disorders // Gastroenterol. Clin. North Am. – 2017. – Vol. 46, №</w:t>
      </w:r>
      <w:r>
        <w:rPr>
          <w:rFonts w:ascii="Times New Roman" w:hAnsi="Times New Roman"/>
          <w:sz w:val="28"/>
          <w:szCs w:val="28"/>
          <w:lang w:val="en-US"/>
        </w:rPr>
        <w:t xml:space="preserve"> </w:t>
      </w:r>
      <w:r w:rsidRPr="0060528F">
        <w:rPr>
          <w:rFonts w:ascii="Times New Roman" w:hAnsi="Times New Roman"/>
          <w:sz w:val="28"/>
          <w:szCs w:val="28"/>
          <w:lang w:val="en-US"/>
        </w:rPr>
        <w:t>1. –P. 103-120.</w:t>
      </w:r>
    </w:p>
    <w:p w14:paraId="5F233106"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535127">
        <w:rPr>
          <w:rFonts w:ascii="Times New Roman" w:hAnsi="Times New Roman"/>
          <w:sz w:val="28"/>
          <w:szCs w:val="28"/>
          <w:lang w:val="en-US"/>
        </w:rPr>
        <w:t>39</w:t>
      </w:r>
      <w:r w:rsidRPr="0060528F">
        <w:rPr>
          <w:rFonts w:ascii="Times New Roman" w:hAnsi="Times New Roman"/>
          <w:sz w:val="28"/>
          <w:szCs w:val="28"/>
          <w:lang w:val="en-US"/>
        </w:rPr>
        <w:t xml:space="preserve"> </w:t>
      </w:r>
      <w:r w:rsidRPr="00DD1CF4">
        <w:rPr>
          <w:rFonts w:ascii="Times New Roman" w:hAnsi="Times New Roman"/>
          <w:sz w:val="28"/>
          <w:szCs w:val="28"/>
          <w:lang w:val="en-US"/>
        </w:rPr>
        <w:t>Polkowska-Pruszyńska B., Gerkowicz A., Szczepanik-Kułak P., Krasowska</w:t>
      </w:r>
      <w:r w:rsidRPr="0060528F">
        <w:rPr>
          <w:rFonts w:ascii="Times New Roman" w:hAnsi="Times New Roman"/>
          <w:sz w:val="28"/>
          <w:szCs w:val="28"/>
          <w:lang w:val="en-US"/>
        </w:rPr>
        <w:t> </w:t>
      </w:r>
      <w:r>
        <w:rPr>
          <w:rFonts w:ascii="Times New Roman" w:hAnsi="Times New Roman"/>
          <w:sz w:val="28"/>
          <w:szCs w:val="28"/>
          <w:lang w:val="en-US"/>
        </w:rPr>
        <w:t xml:space="preserve"> </w:t>
      </w:r>
      <w:r w:rsidRPr="00DD1CF4">
        <w:rPr>
          <w:rFonts w:ascii="Times New Roman" w:hAnsi="Times New Roman"/>
          <w:sz w:val="28"/>
          <w:szCs w:val="28"/>
          <w:lang w:val="en-US"/>
        </w:rPr>
        <w:t>D</w:t>
      </w:r>
      <w:r w:rsidRPr="0060528F">
        <w:rPr>
          <w:rFonts w:ascii="Times New Roman" w:hAnsi="Times New Roman"/>
          <w:sz w:val="28"/>
          <w:szCs w:val="28"/>
          <w:lang w:val="en-US"/>
        </w:rPr>
        <w:t xml:space="preserve">. Small intestinal bacterial overgrowth in systemic sclerosis: a review of the literature // </w:t>
      </w:r>
      <w:r w:rsidRPr="00DD1CF4">
        <w:rPr>
          <w:rFonts w:ascii="Times New Roman" w:hAnsi="Times New Roman"/>
          <w:sz w:val="28"/>
          <w:szCs w:val="28"/>
          <w:lang w:val="en-US"/>
        </w:rPr>
        <w:t>Archives of dermatological research</w:t>
      </w:r>
      <w:r w:rsidRPr="0060528F">
        <w:rPr>
          <w:rFonts w:ascii="Times New Roman" w:hAnsi="Times New Roman"/>
          <w:sz w:val="28"/>
          <w:szCs w:val="28"/>
          <w:lang w:val="en-US"/>
        </w:rPr>
        <w:t>. – 2019. – Vol. 311, №1. – P. 1-8.</w:t>
      </w:r>
    </w:p>
    <w:p w14:paraId="641C9E7A"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535127">
        <w:rPr>
          <w:rFonts w:ascii="Times New Roman" w:hAnsi="Times New Roman"/>
          <w:sz w:val="28"/>
          <w:szCs w:val="28"/>
          <w:lang w:val="en-US"/>
        </w:rPr>
        <w:t>40</w:t>
      </w:r>
      <w:r w:rsidRPr="0060528F">
        <w:rPr>
          <w:rFonts w:ascii="Times New Roman" w:hAnsi="Times New Roman"/>
          <w:sz w:val="28"/>
          <w:szCs w:val="28"/>
          <w:lang w:val="en-US"/>
        </w:rPr>
        <w:t xml:space="preserve"> Quigley E.M.M., Quera R. Small Intestinal Bacterial Overgrowth: Roles of Antibiotics, Prebiotics, and Probiotics // Gastroenterology. – 2006. – Vol. 130, №2. –P. S78-S90.</w:t>
      </w:r>
    </w:p>
    <w:p w14:paraId="38F88C5B"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535127">
        <w:rPr>
          <w:rFonts w:ascii="Times New Roman" w:hAnsi="Times New Roman"/>
          <w:sz w:val="28"/>
          <w:szCs w:val="28"/>
          <w:lang w:val="en-US"/>
        </w:rPr>
        <w:t>41</w:t>
      </w:r>
      <w:r w:rsidRPr="0060528F">
        <w:rPr>
          <w:rFonts w:ascii="Times New Roman" w:hAnsi="Times New Roman"/>
          <w:sz w:val="28"/>
          <w:szCs w:val="28"/>
          <w:lang w:val="en-US"/>
        </w:rPr>
        <w:t xml:space="preserve"> Erdogan A., Rao S.S.C. Small intestinal fungal overgrowth // </w:t>
      </w:r>
      <w:r w:rsidRPr="00DD1CF4">
        <w:rPr>
          <w:rFonts w:ascii="Times New Roman" w:hAnsi="Times New Roman"/>
          <w:sz w:val="28"/>
          <w:szCs w:val="28"/>
          <w:lang w:val="en-US"/>
        </w:rPr>
        <w:t>Current gastroenterology reports</w:t>
      </w:r>
      <w:r w:rsidRPr="0060528F">
        <w:rPr>
          <w:rFonts w:ascii="Times New Roman" w:hAnsi="Times New Roman"/>
          <w:sz w:val="28"/>
          <w:szCs w:val="28"/>
          <w:lang w:val="en-US"/>
        </w:rPr>
        <w:t>. – 2015. – Vol. 17, №</w:t>
      </w:r>
      <w:r>
        <w:rPr>
          <w:rFonts w:ascii="Times New Roman" w:hAnsi="Times New Roman"/>
          <w:sz w:val="28"/>
          <w:szCs w:val="28"/>
          <w:lang w:val="en-US"/>
        </w:rPr>
        <w:t xml:space="preserve"> </w:t>
      </w:r>
      <w:r w:rsidRPr="0060528F">
        <w:rPr>
          <w:rFonts w:ascii="Times New Roman" w:hAnsi="Times New Roman"/>
          <w:sz w:val="28"/>
          <w:szCs w:val="28"/>
          <w:lang w:val="en-US"/>
        </w:rPr>
        <w:t>4. – P. 1-16.</w:t>
      </w:r>
    </w:p>
    <w:p w14:paraId="322D5753"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42</w:t>
      </w:r>
      <w:r w:rsidRPr="0060528F">
        <w:rPr>
          <w:rFonts w:ascii="Times New Roman" w:hAnsi="Times New Roman"/>
          <w:sz w:val="28"/>
          <w:szCs w:val="28"/>
          <w:lang w:val="en-US"/>
        </w:rPr>
        <w:t xml:space="preserve"> </w:t>
      </w:r>
      <w:r w:rsidRPr="00DD1CF4">
        <w:rPr>
          <w:rFonts w:ascii="Times New Roman" w:hAnsi="Times New Roman"/>
          <w:sz w:val="28"/>
          <w:szCs w:val="28"/>
          <w:lang w:val="en-US"/>
        </w:rPr>
        <w:t>Erdogan A., Rao S.S., Gulley D.,</w:t>
      </w:r>
      <w:r w:rsidRPr="0060528F">
        <w:rPr>
          <w:rFonts w:ascii="Times New Roman" w:hAnsi="Times New Roman"/>
          <w:sz w:val="28"/>
          <w:szCs w:val="28"/>
          <w:lang w:val="en-US"/>
        </w:rPr>
        <w:t xml:space="preserve"> et al. Small intestinal bacterial overgrowth: duodenal aspiration vs glucose breath test // </w:t>
      </w:r>
      <w:r w:rsidRPr="00DD1CF4">
        <w:rPr>
          <w:rFonts w:ascii="Times New Roman" w:hAnsi="Times New Roman"/>
          <w:sz w:val="28"/>
          <w:szCs w:val="28"/>
          <w:lang w:val="en-US"/>
        </w:rPr>
        <w:t>Neurogastroenterology and motility: the official journal of the European Gastrointestinal Motility Society</w:t>
      </w:r>
      <w:r w:rsidRPr="0060528F">
        <w:rPr>
          <w:rFonts w:ascii="Times New Roman" w:hAnsi="Times New Roman"/>
          <w:sz w:val="28"/>
          <w:szCs w:val="28"/>
          <w:lang w:val="en-US"/>
        </w:rPr>
        <w:t>. – 2015. – Vol. 27, №</w:t>
      </w:r>
      <w:r>
        <w:rPr>
          <w:rFonts w:ascii="Times New Roman" w:hAnsi="Times New Roman"/>
          <w:sz w:val="28"/>
          <w:szCs w:val="28"/>
          <w:lang w:val="en-US"/>
        </w:rPr>
        <w:t xml:space="preserve"> </w:t>
      </w:r>
      <w:r w:rsidRPr="0060528F">
        <w:rPr>
          <w:rFonts w:ascii="Times New Roman" w:hAnsi="Times New Roman"/>
          <w:sz w:val="28"/>
          <w:szCs w:val="28"/>
          <w:lang w:val="en-US"/>
        </w:rPr>
        <w:t>4. – P. 481-489.</w:t>
      </w:r>
    </w:p>
    <w:p w14:paraId="107BE3F2"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43</w:t>
      </w:r>
      <w:r w:rsidRPr="0060528F">
        <w:rPr>
          <w:rFonts w:ascii="Times New Roman" w:hAnsi="Times New Roman"/>
          <w:sz w:val="28"/>
          <w:szCs w:val="28"/>
          <w:lang w:val="en-US"/>
        </w:rPr>
        <w:t xml:space="preserve"> </w:t>
      </w:r>
      <w:r w:rsidRPr="00DD1CF4">
        <w:rPr>
          <w:rFonts w:ascii="Times New Roman" w:hAnsi="Times New Roman"/>
          <w:sz w:val="28"/>
          <w:szCs w:val="28"/>
          <w:lang w:val="en-US"/>
        </w:rPr>
        <w:t>Jacobs C., Coss Adame E., Attaluri A., Valestin J., Rao S.S</w:t>
      </w:r>
      <w:r w:rsidRPr="0060528F">
        <w:rPr>
          <w:rFonts w:ascii="Times New Roman" w:hAnsi="Times New Roman"/>
          <w:sz w:val="28"/>
          <w:szCs w:val="28"/>
          <w:lang w:val="en-US"/>
        </w:rPr>
        <w:t xml:space="preserve">. Dysmotility and proton pump inhibitor use are independent risk factors for small intestinal bacterial and/or fungal overgrowth // </w:t>
      </w:r>
      <w:r w:rsidRPr="0091474D">
        <w:rPr>
          <w:rFonts w:ascii="Times New Roman" w:hAnsi="Times New Roman"/>
          <w:sz w:val="28"/>
          <w:szCs w:val="28"/>
          <w:lang w:val="en-US"/>
        </w:rPr>
        <w:t>Alimentary pharmacology &amp; therapeutics</w:t>
      </w:r>
      <w:r w:rsidRPr="0060528F">
        <w:rPr>
          <w:rFonts w:ascii="Times New Roman" w:hAnsi="Times New Roman"/>
          <w:sz w:val="28"/>
          <w:szCs w:val="28"/>
          <w:lang w:val="en-US"/>
        </w:rPr>
        <w:t>. – 2013. – Vol.</w:t>
      </w:r>
      <w:r w:rsidRPr="00713F2E">
        <w:rPr>
          <w:rFonts w:ascii="Times New Roman" w:hAnsi="Times New Roman"/>
          <w:sz w:val="28"/>
          <w:szCs w:val="28"/>
          <w:lang w:val="en-US"/>
        </w:rPr>
        <w:t xml:space="preserve"> </w:t>
      </w:r>
      <w:r w:rsidRPr="0060528F">
        <w:rPr>
          <w:rFonts w:ascii="Times New Roman" w:hAnsi="Times New Roman"/>
          <w:sz w:val="28"/>
          <w:szCs w:val="28"/>
          <w:lang w:val="en-US"/>
        </w:rPr>
        <w:t> 37, №</w:t>
      </w:r>
      <w:r>
        <w:rPr>
          <w:rFonts w:ascii="Times New Roman" w:hAnsi="Times New Roman"/>
          <w:sz w:val="28"/>
          <w:szCs w:val="28"/>
          <w:lang w:val="en-US"/>
        </w:rPr>
        <w:t xml:space="preserve"> </w:t>
      </w:r>
      <w:r w:rsidRPr="0060528F">
        <w:rPr>
          <w:rFonts w:ascii="Times New Roman" w:hAnsi="Times New Roman"/>
          <w:sz w:val="28"/>
          <w:szCs w:val="28"/>
          <w:lang w:val="en-US"/>
        </w:rPr>
        <w:t>11. – P. 1103-1111.</w:t>
      </w:r>
    </w:p>
    <w:p w14:paraId="7BE477C1"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535127">
        <w:rPr>
          <w:rFonts w:ascii="Times New Roman" w:hAnsi="Times New Roman"/>
          <w:sz w:val="28"/>
          <w:szCs w:val="28"/>
          <w:lang w:val="en-US"/>
        </w:rPr>
        <w:t>44</w:t>
      </w:r>
      <w:r w:rsidRPr="0060528F">
        <w:rPr>
          <w:rFonts w:ascii="Times New Roman" w:hAnsi="Times New Roman"/>
          <w:sz w:val="28"/>
          <w:szCs w:val="28"/>
          <w:lang w:val="en-US"/>
        </w:rPr>
        <w:t xml:space="preserve"> </w:t>
      </w:r>
      <w:r w:rsidRPr="0091474D">
        <w:rPr>
          <w:rFonts w:ascii="Times New Roman" w:hAnsi="Times New Roman"/>
          <w:sz w:val="28"/>
          <w:szCs w:val="28"/>
          <w:lang w:val="en-US"/>
        </w:rPr>
        <w:t>Rao S., Rehman A., Yu S., Andino N.M</w:t>
      </w:r>
      <w:r w:rsidRPr="0060528F">
        <w:rPr>
          <w:rFonts w:ascii="Times New Roman" w:hAnsi="Times New Roman"/>
          <w:sz w:val="28"/>
          <w:szCs w:val="28"/>
          <w:lang w:val="en-US"/>
        </w:rPr>
        <w:t xml:space="preserve">. Brain fogginess, gas and bloating: a link between SIBO, probiotics and metabolic acidosis // </w:t>
      </w:r>
      <w:r w:rsidRPr="0091474D">
        <w:rPr>
          <w:rFonts w:ascii="Times New Roman" w:hAnsi="Times New Roman"/>
          <w:sz w:val="28"/>
          <w:szCs w:val="28"/>
          <w:lang w:val="en-US"/>
        </w:rPr>
        <w:t>Clinical and translational gastroenterology</w:t>
      </w:r>
      <w:r w:rsidRPr="0060528F">
        <w:rPr>
          <w:rFonts w:ascii="Times New Roman" w:hAnsi="Times New Roman"/>
          <w:sz w:val="28"/>
          <w:szCs w:val="28"/>
          <w:lang w:val="en-US"/>
        </w:rPr>
        <w:t>. – 2018. – Vol. 9, №</w:t>
      </w:r>
      <w:r>
        <w:rPr>
          <w:rFonts w:ascii="Times New Roman" w:hAnsi="Times New Roman"/>
          <w:sz w:val="28"/>
          <w:szCs w:val="28"/>
          <w:lang w:val="en-US"/>
        </w:rPr>
        <w:t xml:space="preserve"> </w:t>
      </w:r>
      <w:r w:rsidRPr="0060528F">
        <w:rPr>
          <w:rFonts w:ascii="Times New Roman" w:hAnsi="Times New Roman"/>
          <w:sz w:val="28"/>
          <w:szCs w:val="28"/>
          <w:lang w:val="en-US"/>
        </w:rPr>
        <w:t>6. – P. 1-9.</w:t>
      </w:r>
    </w:p>
    <w:p w14:paraId="06D313D7"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45</w:t>
      </w:r>
      <w:r w:rsidRPr="0060528F">
        <w:rPr>
          <w:rFonts w:ascii="Times New Roman" w:hAnsi="Times New Roman"/>
          <w:sz w:val="28"/>
          <w:szCs w:val="28"/>
          <w:lang w:val="en-US"/>
        </w:rPr>
        <w:t xml:space="preserve"> </w:t>
      </w:r>
      <w:r w:rsidRPr="0091474D">
        <w:rPr>
          <w:rFonts w:ascii="Times New Roman" w:hAnsi="Times New Roman"/>
          <w:sz w:val="28"/>
          <w:szCs w:val="28"/>
          <w:lang w:val="en-US"/>
        </w:rPr>
        <w:t>Andreyev J., Ross P., Donnellan C.,</w:t>
      </w:r>
      <w:r w:rsidRPr="0060528F">
        <w:rPr>
          <w:rFonts w:ascii="Times New Roman" w:hAnsi="Times New Roman"/>
          <w:sz w:val="28"/>
          <w:szCs w:val="28"/>
          <w:lang w:val="en-US"/>
        </w:rPr>
        <w:t xml:space="preserve"> et al. Guidance on the management of diarrhoea during cancer chemotherapy // </w:t>
      </w:r>
      <w:r w:rsidRPr="0091474D">
        <w:rPr>
          <w:rFonts w:ascii="Times New Roman" w:hAnsi="Times New Roman"/>
          <w:sz w:val="28"/>
          <w:szCs w:val="28"/>
          <w:lang w:val="en-US"/>
        </w:rPr>
        <w:t>The Lancet. Oncology</w:t>
      </w:r>
      <w:r w:rsidRPr="0060528F">
        <w:rPr>
          <w:rFonts w:ascii="Times New Roman" w:hAnsi="Times New Roman"/>
          <w:sz w:val="28"/>
          <w:szCs w:val="28"/>
          <w:lang w:val="en-US"/>
        </w:rPr>
        <w:t>. – 2014. – Vol. 15, №10. – P. e447-e460.</w:t>
      </w:r>
    </w:p>
    <w:p w14:paraId="6AACC1CC"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083DA2">
        <w:rPr>
          <w:rFonts w:ascii="Times New Roman" w:hAnsi="Times New Roman"/>
          <w:sz w:val="28"/>
          <w:szCs w:val="28"/>
          <w:lang w:val="en-US"/>
        </w:rPr>
        <w:t>46</w:t>
      </w:r>
      <w:r w:rsidRPr="0060528F">
        <w:rPr>
          <w:rFonts w:ascii="Times New Roman" w:hAnsi="Times New Roman"/>
          <w:sz w:val="28"/>
          <w:szCs w:val="28"/>
          <w:lang w:val="en-US"/>
        </w:rPr>
        <w:t xml:space="preserve"> Andreyev H.J. GI Consequences of Cancer Treatment: A Clinical Perspective // </w:t>
      </w:r>
      <w:r w:rsidRPr="0091474D">
        <w:rPr>
          <w:rFonts w:ascii="Times New Roman" w:hAnsi="Times New Roman"/>
          <w:sz w:val="28"/>
          <w:szCs w:val="28"/>
          <w:lang w:val="en-US"/>
        </w:rPr>
        <w:t>Radiation research</w:t>
      </w:r>
      <w:r w:rsidRPr="0060528F">
        <w:rPr>
          <w:rFonts w:ascii="Times New Roman" w:hAnsi="Times New Roman"/>
          <w:sz w:val="28"/>
          <w:szCs w:val="28"/>
          <w:lang w:val="en-US"/>
        </w:rPr>
        <w:t>. – 2016. – Vol. 185, №</w:t>
      </w:r>
      <w:r>
        <w:rPr>
          <w:rFonts w:ascii="Times New Roman" w:hAnsi="Times New Roman"/>
          <w:sz w:val="28"/>
          <w:szCs w:val="28"/>
          <w:lang w:val="en-US"/>
        </w:rPr>
        <w:t xml:space="preserve"> </w:t>
      </w:r>
      <w:r w:rsidRPr="0060528F">
        <w:rPr>
          <w:rFonts w:ascii="Times New Roman" w:hAnsi="Times New Roman"/>
          <w:sz w:val="28"/>
          <w:szCs w:val="28"/>
          <w:lang w:val="en-US"/>
        </w:rPr>
        <w:t>4. – P. 341-348.</w:t>
      </w:r>
    </w:p>
    <w:p w14:paraId="00938CC6"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083DA2">
        <w:rPr>
          <w:rFonts w:ascii="Times New Roman" w:hAnsi="Times New Roman"/>
          <w:sz w:val="28"/>
          <w:szCs w:val="28"/>
          <w:lang w:val="en-US"/>
        </w:rPr>
        <w:t>47</w:t>
      </w:r>
      <w:r w:rsidRPr="0060528F">
        <w:rPr>
          <w:rFonts w:ascii="Times New Roman" w:hAnsi="Times New Roman"/>
          <w:sz w:val="28"/>
          <w:szCs w:val="28"/>
          <w:lang w:val="en-US"/>
        </w:rPr>
        <w:t xml:space="preserve"> </w:t>
      </w:r>
      <w:r w:rsidRPr="0091474D">
        <w:rPr>
          <w:rFonts w:ascii="Times New Roman" w:hAnsi="Times New Roman"/>
          <w:sz w:val="28"/>
          <w:szCs w:val="28"/>
          <w:lang w:val="en-US"/>
        </w:rPr>
        <w:t>Nord C., Mykletun A., Thorsen</w:t>
      </w:r>
      <w:r>
        <w:rPr>
          <w:rFonts w:ascii="Times New Roman" w:hAnsi="Times New Roman"/>
          <w:sz w:val="28"/>
          <w:szCs w:val="28"/>
          <w:lang w:val="en-US"/>
        </w:rPr>
        <w:t xml:space="preserve"> </w:t>
      </w:r>
      <w:r w:rsidRPr="0091474D">
        <w:rPr>
          <w:rFonts w:ascii="Times New Roman" w:hAnsi="Times New Roman"/>
          <w:sz w:val="28"/>
          <w:szCs w:val="28"/>
          <w:lang w:val="en-US"/>
        </w:rPr>
        <w:t>L., Bjøro T., Fosså S.D.</w:t>
      </w:r>
      <w:r w:rsidRPr="0060528F">
        <w:rPr>
          <w:rFonts w:ascii="Times New Roman" w:hAnsi="Times New Roman"/>
          <w:sz w:val="28"/>
          <w:szCs w:val="28"/>
          <w:lang w:val="en-US"/>
        </w:rPr>
        <w:t xml:space="preserve"> Self-reported health and use of health care services in long-term cancer survivors // </w:t>
      </w:r>
      <w:r w:rsidRPr="0091474D">
        <w:rPr>
          <w:rFonts w:ascii="Times New Roman" w:hAnsi="Times New Roman"/>
          <w:sz w:val="28"/>
          <w:szCs w:val="28"/>
          <w:lang w:val="en-US"/>
        </w:rPr>
        <w:t>International journal of cancer</w:t>
      </w:r>
      <w:r w:rsidRPr="0060528F">
        <w:rPr>
          <w:rFonts w:ascii="Times New Roman" w:hAnsi="Times New Roman"/>
          <w:sz w:val="28"/>
          <w:szCs w:val="28"/>
          <w:lang w:val="en-US"/>
        </w:rPr>
        <w:t>. – 2005. – Vol. 114, №</w:t>
      </w:r>
      <w:r>
        <w:rPr>
          <w:rFonts w:ascii="Times New Roman" w:hAnsi="Times New Roman"/>
          <w:sz w:val="28"/>
          <w:szCs w:val="28"/>
          <w:lang w:val="en-US"/>
        </w:rPr>
        <w:t xml:space="preserve"> </w:t>
      </w:r>
      <w:r w:rsidRPr="0060528F">
        <w:rPr>
          <w:rFonts w:ascii="Times New Roman" w:hAnsi="Times New Roman"/>
          <w:sz w:val="28"/>
          <w:szCs w:val="28"/>
          <w:lang w:val="en-US"/>
        </w:rPr>
        <w:t>2. – P. 307-316.</w:t>
      </w:r>
    </w:p>
    <w:p w14:paraId="378C3D5B"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083DA2">
        <w:rPr>
          <w:rFonts w:ascii="Times New Roman" w:hAnsi="Times New Roman"/>
          <w:sz w:val="28"/>
          <w:szCs w:val="28"/>
          <w:lang w:val="en-US"/>
        </w:rPr>
        <w:t>48</w:t>
      </w:r>
      <w:r w:rsidRPr="0060528F">
        <w:rPr>
          <w:rFonts w:ascii="Times New Roman" w:hAnsi="Times New Roman"/>
          <w:sz w:val="28"/>
          <w:szCs w:val="28"/>
          <w:lang w:val="en-US"/>
        </w:rPr>
        <w:t xml:space="preserve"> </w:t>
      </w:r>
      <w:r w:rsidRPr="0091474D">
        <w:rPr>
          <w:rFonts w:ascii="Times New Roman" w:hAnsi="Times New Roman"/>
          <w:sz w:val="28"/>
          <w:szCs w:val="28"/>
          <w:lang w:val="en-US"/>
        </w:rPr>
        <w:t>Sadowski D.C., Camilleri M., Chey W.D.,</w:t>
      </w:r>
      <w:r w:rsidRPr="0060528F">
        <w:rPr>
          <w:rFonts w:ascii="Times New Roman" w:hAnsi="Times New Roman"/>
          <w:sz w:val="28"/>
          <w:szCs w:val="28"/>
          <w:lang w:val="en-US"/>
        </w:rPr>
        <w:t xml:space="preserve"> et al. Canadian association of gastroenterology clinical practice guideline on the management of bile acid diarrhea // </w:t>
      </w:r>
      <w:r w:rsidRPr="0091474D">
        <w:rPr>
          <w:rFonts w:ascii="Times New Roman" w:hAnsi="Times New Roman"/>
          <w:sz w:val="28"/>
          <w:szCs w:val="28"/>
          <w:lang w:val="en-US"/>
        </w:rPr>
        <w:t>Journal of the Canadian Association of Gastroenterology</w:t>
      </w:r>
      <w:r w:rsidRPr="0060528F">
        <w:rPr>
          <w:rFonts w:ascii="Times New Roman" w:hAnsi="Times New Roman"/>
          <w:sz w:val="28"/>
          <w:szCs w:val="28"/>
          <w:lang w:val="en-US"/>
        </w:rPr>
        <w:t>. – 2020. – Vol. 3, №</w:t>
      </w:r>
      <w:r>
        <w:rPr>
          <w:rFonts w:ascii="Times New Roman" w:hAnsi="Times New Roman"/>
          <w:sz w:val="28"/>
          <w:szCs w:val="28"/>
          <w:lang w:val="en-US"/>
        </w:rPr>
        <w:t xml:space="preserve"> </w:t>
      </w:r>
      <w:r w:rsidRPr="0060528F">
        <w:rPr>
          <w:rFonts w:ascii="Times New Roman" w:hAnsi="Times New Roman"/>
          <w:sz w:val="28"/>
          <w:szCs w:val="28"/>
          <w:lang w:val="en-US"/>
        </w:rPr>
        <w:t>1. – P.</w:t>
      </w:r>
      <w:r w:rsidRPr="00713F2E">
        <w:rPr>
          <w:rFonts w:ascii="Times New Roman" w:hAnsi="Times New Roman"/>
          <w:sz w:val="28"/>
          <w:szCs w:val="28"/>
          <w:lang w:val="en-US"/>
        </w:rPr>
        <w:t xml:space="preserve"> </w:t>
      </w:r>
      <w:r w:rsidRPr="0060528F">
        <w:rPr>
          <w:rFonts w:ascii="Times New Roman" w:hAnsi="Times New Roman"/>
          <w:sz w:val="28"/>
          <w:szCs w:val="28"/>
          <w:lang w:val="en-US"/>
        </w:rPr>
        <w:t> e10-e27.</w:t>
      </w:r>
    </w:p>
    <w:p w14:paraId="1A1A9318"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083DA2">
        <w:rPr>
          <w:rFonts w:ascii="Times New Roman" w:hAnsi="Times New Roman"/>
          <w:sz w:val="28"/>
          <w:szCs w:val="28"/>
          <w:lang w:val="en-US"/>
        </w:rPr>
        <w:t>49</w:t>
      </w:r>
      <w:r w:rsidRPr="0060528F">
        <w:rPr>
          <w:rFonts w:ascii="Times New Roman" w:hAnsi="Times New Roman"/>
          <w:sz w:val="28"/>
          <w:szCs w:val="28"/>
          <w:lang w:val="en-US"/>
        </w:rPr>
        <w:t xml:space="preserve"> </w:t>
      </w:r>
      <w:r w:rsidRPr="00127E97">
        <w:rPr>
          <w:rFonts w:ascii="Times New Roman" w:hAnsi="Times New Roman"/>
          <w:sz w:val="28"/>
          <w:szCs w:val="28"/>
          <w:lang w:val="en-US"/>
        </w:rPr>
        <w:t>Sprangers M.A., Taal B.G., Aaronson N.K., te Velde A</w:t>
      </w:r>
      <w:r w:rsidRPr="0060528F">
        <w:rPr>
          <w:rFonts w:ascii="Times New Roman" w:hAnsi="Times New Roman"/>
          <w:sz w:val="28"/>
          <w:szCs w:val="28"/>
          <w:lang w:val="en-US"/>
        </w:rPr>
        <w:t xml:space="preserve">. Quality of life in colorectal cancer. Stoma vs. nonstoma patients // </w:t>
      </w:r>
      <w:r w:rsidRPr="00127E97">
        <w:rPr>
          <w:rFonts w:ascii="Times New Roman" w:hAnsi="Times New Roman"/>
          <w:sz w:val="28"/>
          <w:szCs w:val="28"/>
          <w:lang w:val="en-US"/>
        </w:rPr>
        <w:t>Diseases of the colon and rectum</w:t>
      </w:r>
      <w:r w:rsidRPr="0060528F">
        <w:rPr>
          <w:rFonts w:ascii="Times New Roman" w:hAnsi="Times New Roman"/>
          <w:sz w:val="28"/>
          <w:szCs w:val="28"/>
          <w:lang w:val="en-US"/>
        </w:rPr>
        <w:t>. – 1995. – Vol. 38, №</w:t>
      </w:r>
      <w:r>
        <w:rPr>
          <w:rFonts w:ascii="Times New Roman" w:hAnsi="Times New Roman"/>
          <w:sz w:val="28"/>
          <w:szCs w:val="28"/>
          <w:lang w:val="en-US"/>
        </w:rPr>
        <w:t xml:space="preserve"> </w:t>
      </w:r>
      <w:r w:rsidRPr="0060528F">
        <w:rPr>
          <w:rFonts w:ascii="Times New Roman" w:hAnsi="Times New Roman"/>
          <w:sz w:val="28"/>
          <w:szCs w:val="28"/>
          <w:lang w:val="en-US"/>
        </w:rPr>
        <w:t>4. – P. 361-369.</w:t>
      </w:r>
    </w:p>
    <w:p w14:paraId="0889C628"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083DA2">
        <w:rPr>
          <w:rFonts w:ascii="Times New Roman" w:hAnsi="Times New Roman"/>
          <w:sz w:val="28"/>
          <w:szCs w:val="28"/>
          <w:lang w:val="en-US"/>
        </w:rPr>
        <w:t>50</w:t>
      </w:r>
      <w:r w:rsidRPr="0060528F">
        <w:rPr>
          <w:rFonts w:ascii="Times New Roman" w:hAnsi="Times New Roman"/>
          <w:sz w:val="28"/>
          <w:szCs w:val="28"/>
          <w:lang w:val="en-US"/>
        </w:rPr>
        <w:t xml:space="preserve"> </w:t>
      </w:r>
      <w:r w:rsidRPr="00127E97">
        <w:rPr>
          <w:rFonts w:ascii="Times New Roman" w:hAnsi="Times New Roman"/>
          <w:sz w:val="28"/>
          <w:szCs w:val="28"/>
          <w:lang w:val="en-US"/>
        </w:rPr>
        <w:t xml:space="preserve">Arndt V., Merx H., Stegmaier C., Ziegler H., Brenner H. </w:t>
      </w:r>
      <w:r w:rsidRPr="0060528F">
        <w:rPr>
          <w:rFonts w:ascii="Times New Roman" w:hAnsi="Times New Roman"/>
          <w:sz w:val="28"/>
          <w:szCs w:val="28"/>
          <w:lang w:val="en-US"/>
        </w:rPr>
        <w:t xml:space="preserve"> Restrictions in quality of life in colorectal cancer patients over three years after diagnosis: a population </w:t>
      </w:r>
      <w:r w:rsidRPr="0060528F">
        <w:rPr>
          <w:rFonts w:ascii="Times New Roman" w:hAnsi="Times New Roman"/>
          <w:sz w:val="28"/>
          <w:szCs w:val="28"/>
          <w:lang w:val="en-US"/>
        </w:rPr>
        <w:lastRenderedPageBreak/>
        <w:t xml:space="preserve">based study // </w:t>
      </w:r>
      <w:r w:rsidRPr="00127E97">
        <w:rPr>
          <w:rFonts w:ascii="Times New Roman" w:hAnsi="Times New Roman"/>
          <w:sz w:val="28"/>
          <w:szCs w:val="28"/>
          <w:lang w:val="en-US"/>
        </w:rPr>
        <w:t>European journal of cancer (Oxford, England : 1990)</w:t>
      </w:r>
      <w:r w:rsidRPr="0060528F">
        <w:rPr>
          <w:rFonts w:ascii="Times New Roman" w:hAnsi="Times New Roman"/>
          <w:sz w:val="28"/>
          <w:szCs w:val="28"/>
          <w:lang w:val="en-US"/>
        </w:rPr>
        <w:t>. – 2006. – Vol. 42, №</w:t>
      </w:r>
      <w:r>
        <w:rPr>
          <w:rFonts w:ascii="Times New Roman" w:hAnsi="Times New Roman"/>
          <w:sz w:val="28"/>
          <w:szCs w:val="28"/>
          <w:lang w:val="en-US"/>
        </w:rPr>
        <w:t xml:space="preserve"> </w:t>
      </w:r>
      <w:r w:rsidRPr="0060528F">
        <w:rPr>
          <w:rFonts w:ascii="Times New Roman" w:hAnsi="Times New Roman"/>
          <w:sz w:val="28"/>
          <w:szCs w:val="28"/>
          <w:lang w:val="en-US"/>
        </w:rPr>
        <w:t>2. – P. 1848-1857.</w:t>
      </w:r>
    </w:p>
    <w:p w14:paraId="2883961E"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51</w:t>
      </w:r>
      <w:r w:rsidRPr="0060528F">
        <w:rPr>
          <w:rFonts w:ascii="Times New Roman" w:hAnsi="Times New Roman"/>
          <w:sz w:val="28"/>
          <w:szCs w:val="28"/>
          <w:lang w:val="en-US"/>
        </w:rPr>
        <w:t xml:space="preserve"> </w:t>
      </w:r>
      <w:r w:rsidRPr="00127E97">
        <w:rPr>
          <w:rFonts w:ascii="Times New Roman" w:hAnsi="Times New Roman"/>
          <w:sz w:val="28"/>
          <w:szCs w:val="28"/>
          <w:lang w:val="en-US"/>
        </w:rPr>
        <w:t>Duclos J., Lefevre J.H., Lefrançois M.,</w:t>
      </w:r>
      <w:r w:rsidRPr="0060528F">
        <w:rPr>
          <w:rFonts w:ascii="Times New Roman" w:hAnsi="Times New Roman"/>
          <w:sz w:val="28"/>
          <w:szCs w:val="28"/>
          <w:lang w:val="en-US"/>
        </w:rPr>
        <w:t xml:space="preserve"> et al. Immediate outcome, long-term function and quality of life after extended colectomy with ileorectal or ileosigmoid anastomosis // </w:t>
      </w:r>
      <w:r w:rsidRPr="00127E97">
        <w:rPr>
          <w:rFonts w:ascii="Times New Roman" w:hAnsi="Times New Roman"/>
          <w:sz w:val="28"/>
          <w:szCs w:val="28"/>
          <w:lang w:val="en-US"/>
        </w:rPr>
        <w:t>Colorectal disease: the official journal of the Association of Coloproctology of Great Britain and Ireland</w:t>
      </w:r>
      <w:r w:rsidRPr="0060528F">
        <w:rPr>
          <w:rFonts w:ascii="Times New Roman" w:hAnsi="Times New Roman"/>
          <w:sz w:val="28"/>
          <w:szCs w:val="28"/>
          <w:lang w:val="en-US"/>
        </w:rPr>
        <w:t>. – 2014. – Vol. 16, №</w:t>
      </w:r>
      <w:r>
        <w:rPr>
          <w:rFonts w:ascii="Times New Roman" w:hAnsi="Times New Roman"/>
          <w:sz w:val="28"/>
          <w:szCs w:val="28"/>
          <w:lang w:val="en-US"/>
        </w:rPr>
        <w:t xml:space="preserve"> </w:t>
      </w:r>
      <w:r w:rsidRPr="0060528F">
        <w:rPr>
          <w:rFonts w:ascii="Times New Roman" w:hAnsi="Times New Roman"/>
          <w:sz w:val="28"/>
          <w:szCs w:val="28"/>
          <w:lang w:val="en-US"/>
        </w:rPr>
        <w:t>8. – P. 288-296.</w:t>
      </w:r>
    </w:p>
    <w:p w14:paraId="5B22CF78"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083DA2">
        <w:rPr>
          <w:rFonts w:ascii="Times New Roman" w:hAnsi="Times New Roman"/>
          <w:sz w:val="28"/>
          <w:szCs w:val="28"/>
          <w:lang w:val="en-US"/>
        </w:rPr>
        <w:t>52</w:t>
      </w:r>
      <w:r w:rsidRPr="0060528F">
        <w:rPr>
          <w:rFonts w:ascii="Times New Roman" w:hAnsi="Times New Roman"/>
          <w:sz w:val="28"/>
          <w:szCs w:val="28"/>
          <w:lang w:val="en-US"/>
        </w:rPr>
        <w:t xml:space="preserve"> </w:t>
      </w:r>
      <w:r w:rsidRPr="00127E97">
        <w:rPr>
          <w:rFonts w:ascii="Times New Roman" w:hAnsi="Times New Roman"/>
          <w:sz w:val="28"/>
          <w:szCs w:val="28"/>
          <w:lang w:val="en-US"/>
        </w:rPr>
        <w:t xml:space="preserve">Haanstra J.F., de Vos Tot Nederveen Cappel W.H., Gopie J.P., </w:t>
      </w:r>
      <w:r w:rsidRPr="0060528F">
        <w:rPr>
          <w:rFonts w:ascii="Times New Roman" w:hAnsi="Times New Roman"/>
          <w:sz w:val="28"/>
          <w:szCs w:val="28"/>
          <w:lang w:val="en-US"/>
        </w:rPr>
        <w:t xml:space="preserve">et al. Quality of life after surgery for colon cancer in patients with Lynch syndrome: partial versus subtotal colectomy // </w:t>
      </w:r>
      <w:r w:rsidRPr="00127E97">
        <w:rPr>
          <w:rFonts w:ascii="Times New Roman" w:hAnsi="Times New Roman"/>
          <w:sz w:val="28"/>
          <w:szCs w:val="28"/>
          <w:lang w:val="en-US"/>
        </w:rPr>
        <w:t>Diseases of the colon and rectum</w:t>
      </w:r>
      <w:r w:rsidRPr="0060528F">
        <w:rPr>
          <w:rFonts w:ascii="Times New Roman" w:hAnsi="Times New Roman"/>
          <w:sz w:val="28"/>
          <w:szCs w:val="28"/>
          <w:lang w:val="en-US"/>
        </w:rPr>
        <w:t>. – 2012. – Vol. 55, №</w:t>
      </w:r>
      <w:r>
        <w:rPr>
          <w:rFonts w:ascii="Times New Roman" w:hAnsi="Times New Roman"/>
          <w:sz w:val="28"/>
          <w:szCs w:val="28"/>
          <w:lang w:val="en-US"/>
        </w:rPr>
        <w:t xml:space="preserve"> </w:t>
      </w:r>
      <w:r w:rsidRPr="0060528F">
        <w:rPr>
          <w:rFonts w:ascii="Times New Roman" w:hAnsi="Times New Roman"/>
          <w:sz w:val="28"/>
          <w:szCs w:val="28"/>
          <w:lang w:val="en-US"/>
        </w:rPr>
        <w:t>6. – P.</w:t>
      </w:r>
      <w:r w:rsidRPr="00713F2E">
        <w:rPr>
          <w:rFonts w:ascii="Times New Roman" w:hAnsi="Times New Roman"/>
          <w:sz w:val="28"/>
          <w:szCs w:val="28"/>
          <w:lang w:val="en-US"/>
        </w:rPr>
        <w:t xml:space="preserve"> </w:t>
      </w:r>
      <w:r w:rsidRPr="0060528F">
        <w:rPr>
          <w:rFonts w:ascii="Times New Roman" w:hAnsi="Times New Roman"/>
          <w:sz w:val="28"/>
          <w:szCs w:val="28"/>
          <w:lang w:val="en-US"/>
        </w:rPr>
        <w:t> 653-659.</w:t>
      </w:r>
    </w:p>
    <w:p w14:paraId="617E0EE0"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53</w:t>
      </w:r>
      <w:r w:rsidRPr="0060528F">
        <w:rPr>
          <w:rFonts w:ascii="Times New Roman" w:hAnsi="Times New Roman"/>
          <w:sz w:val="28"/>
          <w:szCs w:val="28"/>
          <w:lang w:val="en-US"/>
        </w:rPr>
        <w:t xml:space="preserve"> </w:t>
      </w:r>
      <w:r w:rsidRPr="00127E97">
        <w:rPr>
          <w:rFonts w:ascii="Times New Roman" w:hAnsi="Times New Roman"/>
          <w:sz w:val="28"/>
          <w:szCs w:val="28"/>
          <w:lang w:val="en-US"/>
        </w:rPr>
        <w:t>Manceau G., d'Annunzio E., Karoui M.,</w:t>
      </w:r>
      <w:r w:rsidRPr="0060528F">
        <w:rPr>
          <w:rFonts w:ascii="Times New Roman" w:hAnsi="Times New Roman"/>
          <w:sz w:val="28"/>
          <w:szCs w:val="28"/>
          <w:lang w:val="en-US"/>
        </w:rPr>
        <w:t xml:space="preserve"> et al. Elective subtotal colectomy with ileosigmoid anastomosis for colon cancer preserves bowel function and quality of life // </w:t>
      </w:r>
      <w:r w:rsidRPr="00127E97">
        <w:rPr>
          <w:rFonts w:ascii="Times New Roman" w:hAnsi="Times New Roman"/>
          <w:sz w:val="28"/>
          <w:szCs w:val="28"/>
          <w:lang w:val="en-US"/>
        </w:rPr>
        <w:t>Colorectal disease : the official journal of the Association of Coloproctology of Great Britain and Ireland</w:t>
      </w:r>
      <w:r w:rsidRPr="0060528F">
        <w:rPr>
          <w:rFonts w:ascii="Times New Roman" w:hAnsi="Times New Roman"/>
          <w:sz w:val="28"/>
          <w:szCs w:val="28"/>
          <w:lang w:val="en-US"/>
        </w:rPr>
        <w:t>. – 2013. – Vol. 15, №</w:t>
      </w:r>
      <w:r>
        <w:rPr>
          <w:rFonts w:ascii="Times New Roman" w:hAnsi="Times New Roman"/>
          <w:sz w:val="28"/>
          <w:szCs w:val="28"/>
          <w:lang w:val="en-US"/>
        </w:rPr>
        <w:t xml:space="preserve"> </w:t>
      </w:r>
      <w:r w:rsidRPr="0060528F">
        <w:rPr>
          <w:rFonts w:ascii="Times New Roman" w:hAnsi="Times New Roman"/>
          <w:sz w:val="28"/>
          <w:szCs w:val="28"/>
          <w:lang w:val="en-US"/>
        </w:rPr>
        <w:t>9. – P. 1078-1085.</w:t>
      </w:r>
    </w:p>
    <w:p w14:paraId="3C0D90E0"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54</w:t>
      </w:r>
      <w:r w:rsidRPr="0060528F">
        <w:rPr>
          <w:rFonts w:ascii="Times New Roman" w:hAnsi="Times New Roman"/>
          <w:sz w:val="28"/>
          <w:szCs w:val="28"/>
          <w:lang w:val="en-US"/>
        </w:rPr>
        <w:t xml:space="preserve"> </w:t>
      </w:r>
      <w:r w:rsidRPr="00127E97">
        <w:rPr>
          <w:rFonts w:ascii="Times New Roman" w:hAnsi="Times New Roman"/>
          <w:sz w:val="28"/>
          <w:szCs w:val="28"/>
          <w:lang w:val="en-US"/>
        </w:rPr>
        <w:t>You Y.N., Chua H.K., Nelson H.,</w:t>
      </w:r>
      <w:r w:rsidRPr="0060528F">
        <w:rPr>
          <w:rFonts w:ascii="Times New Roman" w:hAnsi="Times New Roman"/>
          <w:sz w:val="28"/>
          <w:szCs w:val="28"/>
          <w:lang w:val="en-US"/>
        </w:rPr>
        <w:t xml:space="preserve"> et al. Segmental vs. extended colectomy: measurable differences in morbidity, function, and quality of life // </w:t>
      </w:r>
      <w:r w:rsidRPr="003D2903">
        <w:rPr>
          <w:rFonts w:ascii="Times New Roman" w:hAnsi="Times New Roman"/>
          <w:sz w:val="28"/>
          <w:szCs w:val="28"/>
          <w:lang w:val="en-US"/>
        </w:rPr>
        <w:t>Diseases of the colon and rectum</w:t>
      </w:r>
      <w:r w:rsidRPr="0060528F">
        <w:rPr>
          <w:rFonts w:ascii="Times New Roman" w:hAnsi="Times New Roman"/>
          <w:sz w:val="28"/>
          <w:szCs w:val="28"/>
          <w:lang w:val="en-US"/>
        </w:rPr>
        <w:t>. – 2008. – Vol. 51, №</w:t>
      </w:r>
      <w:r>
        <w:rPr>
          <w:rFonts w:ascii="Times New Roman" w:hAnsi="Times New Roman"/>
          <w:sz w:val="28"/>
          <w:szCs w:val="28"/>
          <w:lang w:val="en-US"/>
        </w:rPr>
        <w:t xml:space="preserve"> </w:t>
      </w:r>
      <w:r w:rsidRPr="0060528F">
        <w:rPr>
          <w:rFonts w:ascii="Times New Roman" w:hAnsi="Times New Roman"/>
          <w:sz w:val="28"/>
          <w:szCs w:val="28"/>
          <w:lang w:val="en-US"/>
        </w:rPr>
        <w:t>7. – P. 1036-1043.</w:t>
      </w:r>
    </w:p>
    <w:p w14:paraId="6F7BB19F"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083DA2">
        <w:rPr>
          <w:rFonts w:ascii="Times New Roman" w:hAnsi="Times New Roman"/>
          <w:sz w:val="28"/>
          <w:szCs w:val="28"/>
          <w:lang w:val="en-US"/>
        </w:rPr>
        <w:t>55</w:t>
      </w:r>
      <w:r w:rsidRPr="0060528F">
        <w:rPr>
          <w:rFonts w:ascii="Times New Roman" w:hAnsi="Times New Roman"/>
          <w:sz w:val="28"/>
          <w:szCs w:val="28"/>
          <w:lang w:val="en-US"/>
        </w:rPr>
        <w:t xml:space="preserve"> </w:t>
      </w:r>
      <w:r w:rsidRPr="003D2903">
        <w:rPr>
          <w:rFonts w:ascii="Times New Roman" w:hAnsi="Times New Roman"/>
          <w:sz w:val="28"/>
          <w:szCs w:val="28"/>
          <w:lang w:val="en-US"/>
        </w:rPr>
        <w:t>Theodoropoulos G.E., Papanikolaou I.G., Karantanos T., Zografos G.</w:t>
      </w:r>
      <w:r w:rsidRPr="0060528F">
        <w:rPr>
          <w:rFonts w:ascii="Times New Roman" w:hAnsi="Times New Roman"/>
          <w:sz w:val="28"/>
          <w:szCs w:val="28"/>
          <w:lang w:val="en-US"/>
        </w:rPr>
        <w:t xml:space="preserve"> Post-colectomy assessment of gastrointestinal function: a prospective study on colorectal cancer patients // </w:t>
      </w:r>
      <w:r w:rsidRPr="003D2903">
        <w:rPr>
          <w:rFonts w:ascii="Times New Roman" w:hAnsi="Times New Roman"/>
          <w:sz w:val="28"/>
          <w:szCs w:val="28"/>
          <w:lang w:val="en-US"/>
        </w:rPr>
        <w:t>Techniques in coloproctology</w:t>
      </w:r>
      <w:r w:rsidRPr="0060528F">
        <w:rPr>
          <w:rFonts w:ascii="Times New Roman" w:hAnsi="Times New Roman"/>
          <w:sz w:val="28"/>
          <w:szCs w:val="28"/>
          <w:lang w:val="en-US"/>
        </w:rPr>
        <w:t>. – 2013. – Vol. 17, №</w:t>
      </w:r>
      <w:r>
        <w:rPr>
          <w:rFonts w:ascii="Times New Roman" w:hAnsi="Times New Roman"/>
          <w:sz w:val="28"/>
          <w:szCs w:val="28"/>
          <w:lang w:val="en-US"/>
        </w:rPr>
        <w:t xml:space="preserve"> </w:t>
      </w:r>
      <w:r w:rsidRPr="0060528F">
        <w:rPr>
          <w:rFonts w:ascii="Times New Roman" w:hAnsi="Times New Roman"/>
          <w:sz w:val="28"/>
          <w:szCs w:val="28"/>
          <w:lang w:val="en-US"/>
        </w:rPr>
        <w:t>5. – P. 525-536.</w:t>
      </w:r>
    </w:p>
    <w:p w14:paraId="775A0F34"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083DA2">
        <w:rPr>
          <w:rFonts w:ascii="Times New Roman" w:hAnsi="Times New Roman"/>
          <w:sz w:val="28"/>
          <w:szCs w:val="28"/>
          <w:lang w:val="en-US"/>
        </w:rPr>
        <w:t>56</w:t>
      </w:r>
      <w:r w:rsidRPr="0060528F">
        <w:rPr>
          <w:rFonts w:ascii="Times New Roman" w:hAnsi="Times New Roman"/>
          <w:sz w:val="28"/>
          <w:szCs w:val="28"/>
          <w:lang w:val="en-US"/>
        </w:rPr>
        <w:t xml:space="preserve"> Gazet J.C. The surgical significance of the ileo-caecal junction // </w:t>
      </w:r>
      <w:r w:rsidRPr="003D2903">
        <w:rPr>
          <w:rFonts w:ascii="Times New Roman" w:hAnsi="Times New Roman"/>
          <w:sz w:val="28"/>
          <w:szCs w:val="28"/>
          <w:lang w:val="en-US"/>
        </w:rPr>
        <w:t>Annals of the Royal College of Surgeons of England</w:t>
      </w:r>
      <w:r w:rsidRPr="0060528F">
        <w:rPr>
          <w:rFonts w:ascii="Times New Roman" w:hAnsi="Times New Roman"/>
          <w:sz w:val="28"/>
          <w:szCs w:val="28"/>
          <w:lang w:val="en-US"/>
        </w:rPr>
        <w:t>. – 1968. – Vol. 43, №</w:t>
      </w:r>
      <w:r>
        <w:rPr>
          <w:rFonts w:ascii="Times New Roman" w:hAnsi="Times New Roman"/>
          <w:sz w:val="28"/>
          <w:szCs w:val="28"/>
          <w:lang w:val="en-US"/>
        </w:rPr>
        <w:t xml:space="preserve"> </w:t>
      </w:r>
      <w:r w:rsidRPr="0060528F">
        <w:rPr>
          <w:rFonts w:ascii="Times New Roman" w:hAnsi="Times New Roman"/>
          <w:sz w:val="28"/>
          <w:szCs w:val="28"/>
          <w:lang w:val="en-US"/>
        </w:rPr>
        <w:t>1. – P. 19-38.</w:t>
      </w:r>
    </w:p>
    <w:p w14:paraId="55063434"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57</w:t>
      </w:r>
      <w:r w:rsidRPr="0060528F">
        <w:rPr>
          <w:rFonts w:ascii="Times New Roman" w:hAnsi="Times New Roman"/>
          <w:sz w:val="28"/>
          <w:szCs w:val="28"/>
          <w:lang w:val="en-US"/>
        </w:rPr>
        <w:t xml:space="preserve"> </w:t>
      </w:r>
      <w:r w:rsidRPr="003D2903">
        <w:rPr>
          <w:rFonts w:ascii="Times New Roman" w:hAnsi="Times New Roman"/>
          <w:sz w:val="28"/>
          <w:szCs w:val="28"/>
          <w:lang w:val="en-US"/>
        </w:rPr>
        <w:t>Ohigashi S., Hoshino Y., Ohde S., Onodera H</w:t>
      </w:r>
      <w:r w:rsidRPr="0060528F">
        <w:rPr>
          <w:rFonts w:ascii="Times New Roman" w:hAnsi="Times New Roman"/>
          <w:sz w:val="28"/>
          <w:szCs w:val="28"/>
          <w:lang w:val="en-US"/>
        </w:rPr>
        <w:t xml:space="preserve">. Functional outcome, quality of life, and efficacy of probiotics in postoperative patients with colorectal cancer // </w:t>
      </w:r>
      <w:r w:rsidRPr="003D2903">
        <w:rPr>
          <w:rFonts w:ascii="Times New Roman" w:hAnsi="Times New Roman"/>
          <w:sz w:val="28"/>
          <w:szCs w:val="28"/>
          <w:lang w:val="en-US"/>
        </w:rPr>
        <w:t>Surgery today</w:t>
      </w:r>
      <w:r w:rsidRPr="0060528F">
        <w:rPr>
          <w:rFonts w:ascii="Times New Roman" w:hAnsi="Times New Roman"/>
          <w:sz w:val="28"/>
          <w:szCs w:val="28"/>
          <w:lang w:val="en-US"/>
        </w:rPr>
        <w:t>. – 2011. –Vol. 41, №</w:t>
      </w:r>
      <w:r>
        <w:rPr>
          <w:rFonts w:ascii="Times New Roman" w:hAnsi="Times New Roman"/>
          <w:sz w:val="28"/>
          <w:szCs w:val="28"/>
          <w:lang w:val="en-US"/>
        </w:rPr>
        <w:t xml:space="preserve"> </w:t>
      </w:r>
      <w:r w:rsidRPr="0060528F">
        <w:rPr>
          <w:rFonts w:ascii="Times New Roman" w:hAnsi="Times New Roman"/>
          <w:sz w:val="28"/>
          <w:szCs w:val="28"/>
          <w:lang w:val="en-US"/>
        </w:rPr>
        <w:t>9. – P. 1200-1206.</w:t>
      </w:r>
    </w:p>
    <w:p w14:paraId="6A0D8189"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58</w:t>
      </w:r>
      <w:r w:rsidRPr="0060528F">
        <w:rPr>
          <w:rFonts w:ascii="Times New Roman" w:hAnsi="Times New Roman"/>
          <w:sz w:val="28"/>
          <w:szCs w:val="28"/>
          <w:lang w:val="en-US"/>
        </w:rPr>
        <w:t xml:space="preserve"> Ho Y.H., Low D., Goh H.S. Bowel function survey after segmental colorectal resections // </w:t>
      </w:r>
      <w:r w:rsidRPr="003D2903">
        <w:rPr>
          <w:rFonts w:ascii="Times New Roman" w:hAnsi="Times New Roman"/>
          <w:sz w:val="28"/>
          <w:szCs w:val="28"/>
          <w:lang w:val="en-US"/>
        </w:rPr>
        <w:t>Diseases of the colon and rectum</w:t>
      </w:r>
      <w:r w:rsidRPr="0060528F">
        <w:rPr>
          <w:rFonts w:ascii="Times New Roman" w:hAnsi="Times New Roman"/>
          <w:sz w:val="28"/>
          <w:szCs w:val="28"/>
          <w:lang w:val="en-US"/>
        </w:rPr>
        <w:t>. – 1996. – Vol. 39, №</w:t>
      </w:r>
      <w:r>
        <w:rPr>
          <w:rFonts w:ascii="Times New Roman" w:hAnsi="Times New Roman"/>
          <w:sz w:val="28"/>
          <w:szCs w:val="28"/>
          <w:lang w:val="en-US"/>
        </w:rPr>
        <w:t xml:space="preserve"> </w:t>
      </w:r>
      <w:r w:rsidRPr="0060528F">
        <w:rPr>
          <w:rFonts w:ascii="Times New Roman" w:hAnsi="Times New Roman"/>
          <w:sz w:val="28"/>
          <w:szCs w:val="28"/>
          <w:lang w:val="en-US"/>
        </w:rPr>
        <w:t>3. – P.</w:t>
      </w:r>
      <w:r w:rsidRPr="00713F2E">
        <w:rPr>
          <w:rFonts w:ascii="Times New Roman" w:hAnsi="Times New Roman"/>
          <w:sz w:val="28"/>
          <w:szCs w:val="28"/>
          <w:lang w:val="en-US"/>
        </w:rPr>
        <w:t xml:space="preserve"> </w:t>
      </w:r>
      <w:r w:rsidRPr="0060528F">
        <w:rPr>
          <w:rFonts w:ascii="Times New Roman" w:hAnsi="Times New Roman"/>
          <w:sz w:val="28"/>
          <w:szCs w:val="28"/>
          <w:lang w:val="en-US"/>
        </w:rPr>
        <w:t> 307-310.</w:t>
      </w:r>
    </w:p>
    <w:p w14:paraId="232F4C06"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59</w:t>
      </w:r>
      <w:r w:rsidRPr="0060528F">
        <w:rPr>
          <w:rFonts w:ascii="Times New Roman" w:hAnsi="Times New Roman"/>
          <w:sz w:val="28"/>
          <w:szCs w:val="28"/>
          <w:lang w:val="en-US"/>
        </w:rPr>
        <w:t xml:space="preserve"> </w:t>
      </w:r>
      <w:r w:rsidRPr="003D2903">
        <w:rPr>
          <w:rFonts w:ascii="Times New Roman" w:hAnsi="Times New Roman"/>
          <w:sz w:val="28"/>
          <w:szCs w:val="28"/>
          <w:lang w:val="en-US"/>
        </w:rPr>
        <w:t>Magdeburg J., Glatz N., Post S., Kienl P., Rickert A</w:t>
      </w:r>
      <w:r w:rsidRPr="0060528F">
        <w:rPr>
          <w:rFonts w:ascii="Times New Roman" w:hAnsi="Times New Roman"/>
          <w:sz w:val="28"/>
          <w:szCs w:val="28"/>
          <w:lang w:val="en-US"/>
        </w:rPr>
        <w:t xml:space="preserve">. Long-term functional outcome of colonic resections: how much does faecal impairment influence quality of life? // </w:t>
      </w:r>
      <w:r w:rsidRPr="003D2903">
        <w:rPr>
          <w:rFonts w:ascii="Times New Roman" w:hAnsi="Times New Roman"/>
          <w:sz w:val="28"/>
          <w:szCs w:val="28"/>
          <w:lang w:val="en-US"/>
        </w:rPr>
        <w:t>Colorectal disease: the official journal of the Association of Coloproctology of Great Britain and Ireland</w:t>
      </w:r>
      <w:r w:rsidRPr="0060528F">
        <w:rPr>
          <w:rFonts w:ascii="Times New Roman" w:hAnsi="Times New Roman"/>
          <w:sz w:val="28"/>
          <w:szCs w:val="28"/>
          <w:lang w:val="en-US"/>
        </w:rPr>
        <w:t>. – 2016. – Vol. 18, №</w:t>
      </w:r>
      <w:r>
        <w:rPr>
          <w:rFonts w:ascii="Times New Roman" w:hAnsi="Times New Roman"/>
          <w:sz w:val="28"/>
          <w:szCs w:val="28"/>
          <w:lang w:val="en-US"/>
        </w:rPr>
        <w:t xml:space="preserve"> </w:t>
      </w:r>
      <w:r w:rsidRPr="0060528F">
        <w:rPr>
          <w:rFonts w:ascii="Times New Roman" w:hAnsi="Times New Roman"/>
          <w:sz w:val="28"/>
          <w:szCs w:val="28"/>
          <w:lang w:val="en-US"/>
        </w:rPr>
        <w:t>11. – P. O405-O413.</w:t>
      </w:r>
    </w:p>
    <w:p w14:paraId="68844131"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60</w:t>
      </w:r>
      <w:r w:rsidRPr="0060528F">
        <w:rPr>
          <w:rFonts w:ascii="Times New Roman" w:hAnsi="Times New Roman"/>
          <w:sz w:val="28"/>
          <w:szCs w:val="28"/>
          <w:lang w:val="en-US"/>
        </w:rPr>
        <w:t xml:space="preserve"> </w:t>
      </w:r>
      <w:r w:rsidRPr="00576052">
        <w:rPr>
          <w:rFonts w:ascii="Times New Roman" w:hAnsi="Times New Roman"/>
          <w:sz w:val="28"/>
          <w:szCs w:val="28"/>
          <w:lang w:val="en-US"/>
        </w:rPr>
        <w:t>Brigic A., Sakuma S., Lovegrove R.E.,</w:t>
      </w:r>
      <w:r w:rsidRPr="0060528F">
        <w:rPr>
          <w:rFonts w:ascii="Times New Roman" w:hAnsi="Times New Roman"/>
          <w:sz w:val="28"/>
          <w:szCs w:val="28"/>
          <w:lang w:val="en-US"/>
        </w:rPr>
        <w:t xml:space="preserve"> et al. A prospective case control study of functional outcomes and related quality of life after colectomy for neoplasia // </w:t>
      </w:r>
      <w:r w:rsidRPr="00576052">
        <w:rPr>
          <w:rFonts w:ascii="Times New Roman" w:hAnsi="Times New Roman"/>
          <w:sz w:val="28"/>
          <w:szCs w:val="28"/>
          <w:lang w:val="en-US"/>
        </w:rPr>
        <w:t>International journal of colorectal disease</w:t>
      </w:r>
      <w:r w:rsidRPr="0060528F">
        <w:rPr>
          <w:rFonts w:ascii="Times New Roman" w:hAnsi="Times New Roman"/>
          <w:sz w:val="28"/>
          <w:szCs w:val="28"/>
          <w:lang w:val="en-US"/>
        </w:rPr>
        <w:t>. – 2017. –Vol. 32, №</w:t>
      </w:r>
      <w:r>
        <w:rPr>
          <w:rFonts w:ascii="Times New Roman" w:hAnsi="Times New Roman"/>
          <w:sz w:val="28"/>
          <w:szCs w:val="28"/>
          <w:lang w:val="en-US"/>
        </w:rPr>
        <w:t xml:space="preserve"> </w:t>
      </w:r>
      <w:r w:rsidRPr="0060528F">
        <w:rPr>
          <w:rFonts w:ascii="Times New Roman" w:hAnsi="Times New Roman"/>
          <w:sz w:val="28"/>
          <w:szCs w:val="28"/>
          <w:lang w:val="en-US"/>
        </w:rPr>
        <w:t xml:space="preserve">6. – </w:t>
      </w:r>
      <w:r w:rsidRPr="0060528F">
        <w:rPr>
          <w:rFonts w:ascii="Times New Roman" w:hAnsi="Times New Roman"/>
          <w:sz w:val="28"/>
          <w:szCs w:val="28"/>
        </w:rPr>
        <w:t>Р</w:t>
      </w:r>
      <w:r w:rsidRPr="0060528F">
        <w:rPr>
          <w:rFonts w:ascii="Times New Roman" w:hAnsi="Times New Roman"/>
          <w:sz w:val="28"/>
          <w:szCs w:val="28"/>
          <w:lang w:val="en-US"/>
        </w:rPr>
        <w:t>. 777-787.</w:t>
      </w:r>
    </w:p>
    <w:p w14:paraId="34C5EBCA"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61</w:t>
      </w:r>
      <w:r w:rsidRPr="0060528F">
        <w:rPr>
          <w:rFonts w:ascii="Times New Roman" w:hAnsi="Times New Roman"/>
          <w:sz w:val="28"/>
          <w:szCs w:val="28"/>
          <w:lang w:val="en-US"/>
        </w:rPr>
        <w:t xml:space="preserve"> </w:t>
      </w:r>
      <w:r w:rsidRPr="00325504">
        <w:rPr>
          <w:rFonts w:ascii="Times New Roman" w:hAnsi="Times New Roman"/>
          <w:sz w:val="28"/>
          <w:szCs w:val="28"/>
          <w:lang w:val="en-US"/>
        </w:rPr>
        <w:t>Papa M.Z., Karni T., Koller M.,</w:t>
      </w:r>
      <w:r w:rsidRPr="0060528F">
        <w:rPr>
          <w:rFonts w:ascii="Times New Roman" w:hAnsi="Times New Roman"/>
          <w:sz w:val="28"/>
          <w:szCs w:val="28"/>
          <w:lang w:val="en-US"/>
        </w:rPr>
        <w:t xml:space="preserve"> et al. Avoiding diarrhea after subtotal colectomy with primary anastomosis in the treatment of colon cancer // </w:t>
      </w:r>
      <w:r w:rsidRPr="00325504">
        <w:rPr>
          <w:rFonts w:ascii="Times New Roman" w:hAnsi="Times New Roman"/>
          <w:sz w:val="28"/>
          <w:szCs w:val="28"/>
          <w:lang w:val="en-US"/>
        </w:rPr>
        <w:t>Journal of the American College of Surgeons</w:t>
      </w:r>
      <w:r w:rsidRPr="0060528F">
        <w:rPr>
          <w:rFonts w:ascii="Times New Roman" w:hAnsi="Times New Roman"/>
          <w:sz w:val="28"/>
          <w:szCs w:val="28"/>
          <w:lang w:val="en-US"/>
        </w:rPr>
        <w:t>. – 1997. – Vol. 184, №</w:t>
      </w:r>
      <w:r>
        <w:rPr>
          <w:rFonts w:ascii="Times New Roman" w:hAnsi="Times New Roman"/>
          <w:sz w:val="28"/>
          <w:szCs w:val="28"/>
          <w:lang w:val="en-US"/>
        </w:rPr>
        <w:t xml:space="preserve"> </w:t>
      </w:r>
      <w:r w:rsidRPr="0060528F">
        <w:rPr>
          <w:rFonts w:ascii="Times New Roman" w:hAnsi="Times New Roman"/>
          <w:sz w:val="28"/>
          <w:szCs w:val="28"/>
          <w:lang w:val="en-US"/>
        </w:rPr>
        <w:t>3. – P. 269-272.</w:t>
      </w:r>
    </w:p>
    <w:p w14:paraId="27F368F2"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62</w:t>
      </w:r>
      <w:r w:rsidRPr="0060528F">
        <w:rPr>
          <w:rFonts w:ascii="Times New Roman" w:hAnsi="Times New Roman"/>
          <w:sz w:val="28"/>
          <w:szCs w:val="28"/>
          <w:lang w:val="en-US"/>
        </w:rPr>
        <w:t xml:space="preserve"> Cummings J.H., James W.P., Wiggins H.S. Role of the colon in ileal-resection diarrhoea // Lancet. – 1973. – Vol. 1, №</w:t>
      </w:r>
      <w:r>
        <w:rPr>
          <w:rFonts w:ascii="Times New Roman" w:hAnsi="Times New Roman"/>
          <w:sz w:val="28"/>
          <w:szCs w:val="28"/>
          <w:lang w:val="en-US"/>
        </w:rPr>
        <w:t xml:space="preserve"> </w:t>
      </w:r>
      <w:r w:rsidRPr="0060528F">
        <w:rPr>
          <w:rFonts w:ascii="Times New Roman" w:hAnsi="Times New Roman"/>
          <w:sz w:val="28"/>
          <w:szCs w:val="28"/>
          <w:lang w:val="en-US"/>
        </w:rPr>
        <w:t>7799. – P. 344-347.</w:t>
      </w:r>
    </w:p>
    <w:p w14:paraId="400DC71C"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63</w:t>
      </w:r>
      <w:r w:rsidRPr="0060528F">
        <w:rPr>
          <w:rFonts w:ascii="Times New Roman" w:hAnsi="Times New Roman"/>
          <w:sz w:val="28"/>
          <w:szCs w:val="28"/>
          <w:lang w:val="en-US"/>
        </w:rPr>
        <w:t xml:space="preserve"> </w:t>
      </w:r>
      <w:r w:rsidRPr="00325504">
        <w:rPr>
          <w:rFonts w:ascii="Times New Roman" w:hAnsi="Times New Roman"/>
          <w:sz w:val="28"/>
          <w:szCs w:val="28"/>
          <w:lang w:val="en-US"/>
        </w:rPr>
        <w:t>Mitchell J.E., Breuer R.I., Zuckerman L.,</w:t>
      </w:r>
      <w:r w:rsidRPr="0060528F">
        <w:rPr>
          <w:rFonts w:ascii="Times New Roman" w:hAnsi="Times New Roman"/>
          <w:sz w:val="28"/>
          <w:szCs w:val="28"/>
          <w:lang w:val="en-US"/>
        </w:rPr>
        <w:t xml:space="preserve"> et al. The colon influences ileal resection diarrhea // </w:t>
      </w:r>
      <w:r w:rsidRPr="00325504">
        <w:rPr>
          <w:rFonts w:ascii="Times New Roman" w:hAnsi="Times New Roman"/>
          <w:sz w:val="28"/>
          <w:szCs w:val="28"/>
          <w:lang w:val="en-US"/>
        </w:rPr>
        <w:t>Digestive diseases and sciences</w:t>
      </w:r>
      <w:r w:rsidRPr="0060528F">
        <w:rPr>
          <w:rFonts w:ascii="Times New Roman" w:hAnsi="Times New Roman"/>
          <w:sz w:val="28"/>
          <w:szCs w:val="28"/>
          <w:lang w:val="en-US"/>
        </w:rPr>
        <w:t>. – 1980. – Vol. 25, №</w:t>
      </w:r>
      <w:r>
        <w:rPr>
          <w:rFonts w:ascii="Times New Roman" w:hAnsi="Times New Roman"/>
          <w:sz w:val="28"/>
          <w:szCs w:val="28"/>
          <w:lang w:val="en-US"/>
        </w:rPr>
        <w:t xml:space="preserve"> </w:t>
      </w:r>
      <w:r w:rsidRPr="0060528F">
        <w:rPr>
          <w:rFonts w:ascii="Times New Roman" w:hAnsi="Times New Roman"/>
          <w:sz w:val="28"/>
          <w:szCs w:val="28"/>
          <w:lang w:val="en-US"/>
        </w:rPr>
        <w:t>1. – P. 33-41.</w:t>
      </w:r>
    </w:p>
    <w:p w14:paraId="6B9C43AD"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64</w:t>
      </w:r>
      <w:r w:rsidRPr="0060528F">
        <w:rPr>
          <w:rFonts w:ascii="Times New Roman" w:hAnsi="Times New Roman"/>
          <w:sz w:val="28"/>
          <w:szCs w:val="28"/>
          <w:lang w:val="en-US"/>
        </w:rPr>
        <w:t xml:space="preserve"> </w:t>
      </w:r>
      <w:r w:rsidRPr="00325504">
        <w:rPr>
          <w:rFonts w:ascii="Times New Roman" w:hAnsi="Times New Roman"/>
          <w:sz w:val="28"/>
          <w:szCs w:val="28"/>
          <w:lang w:val="en-US"/>
        </w:rPr>
        <w:t>Yoon J., Ahn S.H., Lee Y.J., Kim C.M</w:t>
      </w:r>
      <w:r w:rsidRPr="0060528F">
        <w:rPr>
          <w:rFonts w:ascii="Times New Roman" w:hAnsi="Times New Roman"/>
          <w:sz w:val="28"/>
          <w:szCs w:val="28"/>
          <w:lang w:val="en-US"/>
        </w:rPr>
        <w:t xml:space="preserve">. Hyponatremia as an independent prognostic factor in patients with terminal cancer // </w:t>
      </w:r>
      <w:r w:rsidRPr="00325504">
        <w:rPr>
          <w:rFonts w:ascii="Times New Roman" w:hAnsi="Times New Roman"/>
          <w:sz w:val="28"/>
          <w:szCs w:val="28"/>
          <w:lang w:val="en-US"/>
        </w:rPr>
        <w:t xml:space="preserve">Supportive care in cancer: official </w:t>
      </w:r>
      <w:r w:rsidRPr="00325504">
        <w:rPr>
          <w:rFonts w:ascii="Times New Roman" w:hAnsi="Times New Roman"/>
          <w:sz w:val="28"/>
          <w:szCs w:val="28"/>
          <w:lang w:val="en-US"/>
        </w:rPr>
        <w:lastRenderedPageBreak/>
        <w:t>journal of the Multinational Association of Supportive Care in Cancer</w:t>
      </w:r>
      <w:r w:rsidRPr="0060528F">
        <w:rPr>
          <w:rFonts w:ascii="Times New Roman" w:hAnsi="Times New Roman"/>
          <w:sz w:val="28"/>
          <w:szCs w:val="28"/>
          <w:lang w:val="en-US"/>
        </w:rPr>
        <w:t>. – 2015. – Vol.</w:t>
      </w:r>
      <w:r w:rsidRPr="00713F2E">
        <w:rPr>
          <w:rFonts w:ascii="Times New Roman" w:hAnsi="Times New Roman"/>
          <w:sz w:val="28"/>
          <w:szCs w:val="28"/>
          <w:lang w:val="en-US"/>
        </w:rPr>
        <w:t xml:space="preserve"> </w:t>
      </w:r>
      <w:r w:rsidRPr="0060528F">
        <w:rPr>
          <w:rFonts w:ascii="Times New Roman" w:hAnsi="Times New Roman"/>
          <w:sz w:val="28"/>
          <w:szCs w:val="28"/>
          <w:lang w:val="en-US"/>
        </w:rPr>
        <w:t> 23, №</w:t>
      </w:r>
      <w:r>
        <w:rPr>
          <w:rFonts w:ascii="Times New Roman" w:hAnsi="Times New Roman"/>
          <w:sz w:val="28"/>
          <w:szCs w:val="28"/>
          <w:lang w:val="en-US"/>
        </w:rPr>
        <w:t xml:space="preserve"> </w:t>
      </w:r>
      <w:r w:rsidRPr="0060528F">
        <w:rPr>
          <w:rFonts w:ascii="Times New Roman" w:hAnsi="Times New Roman"/>
          <w:sz w:val="28"/>
          <w:szCs w:val="28"/>
          <w:lang w:val="en-US"/>
        </w:rPr>
        <w:t>6. – P. 1735-1740.</w:t>
      </w:r>
    </w:p>
    <w:p w14:paraId="64DD4120"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65</w:t>
      </w:r>
      <w:r w:rsidRPr="0060528F">
        <w:rPr>
          <w:rFonts w:ascii="Times New Roman" w:hAnsi="Times New Roman"/>
          <w:sz w:val="28"/>
          <w:szCs w:val="28"/>
          <w:lang w:val="en-US"/>
        </w:rPr>
        <w:t xml:space="preserve"> </w:t>
      </w:r>
      <w:r w:rsidRPr="00325504">
        <w:rPr>
          <w:rFonts w:ascii="Times New Roman" w:hAnsi="Times New Roman"/>
          <w:sz w:val="28"/>
          <w:szCs w:val="28"/>
          <w:lang w:val="en-US"/>
        </w:rPr>
        <w:t>Doshi S.M., Shah P., Lei X., Lahoti A., Salahudeen A.K</w:t>
      </w:r>
      <w:r w:rsidRPr="0060528F">
        <w:rPr>
          <w:rFonts w:ascii="Times New Roman" w:hAnsi="Times New Roman"/>
          <w:sz w:val="28"/>
          <w:szCs w:val="28"/>
          <w:lang w:val="en-US"/>
        </w:rPr>
        <w:t xml:space="preserve">. Hyponatremia in Hospitalized Cancer Patients and Its Impact on Clinical Outcomes // </w:t>
      </w:r>
      <w:r w:rsidRPr="00325504">
        <w:rPr>
          <w:rFonts w:ascii="Times New Roman" w:hAnsi="Times New Roman"/>
          <w:sz w:val="28"/>
          <w:szCs w:val="28"/>
          <w:lang w:val="en-US"/>
        </w:rPr>
        <w:t>American journal of kidney diseases: the official journal of the National Kidney Foundation</w:t>
      </w:r>
      <w:r w:rsidRPr="0060528F">
        <w:rPr>
          <w:rFonts w:ascii="Times New Roman" w:hAnsi="Times New Roman"/>
          <w:sz w:val="28"/>
          <w:szCs w:val="28"/>
          <w:lang w:val="en-US"/>
        </w:rPr>
        <w:t>. – 2012. –</w:t>
      </w:r>
      <w:r>
        <w:rPr>
          <w:rFonts w:ascii="Times New Roman" w:hAnsi="Times New Roman"/>
          <w:sz w:val="28"/>
          <w:szCs w:val="28"/>
          <w:lang w:val="en-US"/>
        </w:rPr>
        <w:t xml:space="preserve"> </w:t>
      </w:r>
      <w:r w:rsidRPr="0060528F">
        <w:rPr>
          <w:rFonts w:ascii="Times New Roman" w:hAnsi="Times New Roman"/>
          <w:sz w:val="28"/>
          <w:szCs w:val="28"/>
          <w:lang w:val="en-US"/>
        </w:rPr>
        <w:t>Vol. 59, №</w:t>
      </w:r>
      <w:r>
        <w:rPr>
          <w:rFonts w:ascii="Times New Roman" w:hAnsi="Times New Roman"/>
          <w:sz w:val="28"/>
          <w:szCs w:val="28"/>
          <w:lang w:val="en-US"/>
        </w:rPr>
        <w:t xml:space="preserve"> </w:t>
      </w:r>
      <w:r w:rsidRPr="0060528F">
        <w:rPr>
          <w:rFonts w:ascii="Times New Roman" w:hAnsi="Times New Roman"/>
          <w:sz w:val="28"/>
          <w:szCs w:val="28"/>
          <w:lang w:val="en-US"/>
        </w:rPr>
        <w:t>2. – P. 222-228.</w:t>
      </w:r>
    </w:p>
    <w:p w14:paraId="17185D71"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66</w:t>
      </w:r>
      <w:r w:rsidRPr="0060528F">
        <w:rPr>
          <w:rFonts w:ascii="Times New Roman" w:hAnsi="Times New Roman"/>
          <w:sz w:val="28"/>
          <w:szCs w:val="28"/>
          <w:lang w:val="en-US"/>
        </w:rPr>
        <w:t xml:space="preserve"> </w:t>
      </w:r>
      <w:r w:rsidRPr="00325504">
        <w:rPr>
          <w:rFonts w:ascii="Times New Roman" w:hAnsi="Times New Roman"/>
          <w:sz w:val="28"/>
          <w:szCs w:val="28"/>
          <w:lang w:val="en-US"/>
        </w:rPr>
        <w:t xml:space="preserve">Shaikh A.J., Bawany S.A., Masood N., </w:t>
      </w:r>
      <w:r w:rsidRPr="0060528F">
        <w:rPr>
          <w:rFonts w:ascii="Times New Roman" w:hAnsi="Times New Roman"/>
          <w:sz w:val="28"/>
          <w:szCs w:val="28"/>
          <w:lang w:val="en-US"/>
        </w:rPr>
        <w:t xml:space="preserve">et al. Incidence and impact of baseline electrolyte abnormalities in patients admitted with chemotherapy induced febrile neutropenia // </w:t>
      </w:r>
      <w:r w:rsidRPr="00325504">
        <w:rPr>
          <w:rFonts w:ascii="Times New Roman" w:hAnsi="Times New Roman"/>
          <w:sz w:val="28"/>
          <w:szCs w:val="28"/>
          <w:lang w:val="en-US"/>
        </w:rPr>
        <w:t>Journal of Cancer</w:t>
      </w:r>
      <w:r w:rsidRPr="0060528F">
        <w:rPr>
          <w:rFonts w:ascii="Times New Roman" w:hAnsi="Times New Roman"/>
          <w:sz w:val="28"/>
          <w:szCs w:val="28"/>
          <w:lang w:val="en-US"/>
        </w:rPr>
        <w:t xml:space="preserve">. – 2011. – №2. – </w:t>
      </w:r>
      <w:r w:rsidRPr="0060528F">
        <w:rPr>
          <w:rFonts w:ascii="Times New Roman" w:hAnsi="Times New Roman"/>
          <w:sz w:val="28"/>
          <w:szCs w:val="28"/>
        </w:rPr>
        <w:t>Р</w:t>
      </w:r>
      <w:r w:rsidRPr="0060528F">
        <w:rPr>
          <w:rFonts w:ascii="Times New Roman" w:hAnsi="Times New Roman"/>
          <w:sz w:val="28"/>
          <w:szCs w:val="28"/>
          <w:lang w:val="en-US"/>
        </w:rPr>
        <w:t>. 62-66.</w:t>
      </w:r>
    </w:p>
    <w:p w14:paraId="1CC57259"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67</w:t>
      </w:r>
      <w:r w:rsidRPr="0060528F">
        <w:rPr>
          <w:rFonts w:ascii="Times New Roman" w:hAnsi="Times New Roman"/>
          <w:sz w:val="28"/>
          <w:szCs w:val="28"/>
          <w:lang w:val="en-US"/>
        </w:rPr>
        <w:t xml:space="preserve"> </w:t>
      </w:r>
      <w:r w:rsidRPr="009D56C6">
        <w:rPr>
          <w:rFonts w:ascii="Times New Roman" w:hAnsi="Times New Roman"/>
          <w:sz w:val="28"/>
          <w:szCs w:val="28"/>
          <w:lang w:val="en-US"/>
        </w:rPr>
        <w:t>Miltiadous G., Christidis D., Kalogirou M., Elisaf, M</w:t>
      </w:r>
      <w:r w:rsidRPr="0060528F">
        <w:rPr>
          <w:rFonts w:ascii="Times New Roman" w:hAnsi="Times New Roman"/>
          <w:sz w:val="28"/>
          <w:szCs w:val="28"/>
          <w:lang w:val="en-US"/>
        </w:rPr>
        <w:t xml:space="preserve">. Causes and mechanisms of acid-base and electrolyte abnormalities in cancer patients // </w:t>
      </w:r>
      <w:r w:rsidRPr="009D56C6">
        <w:rPr>
          <w:rFonts w:ascii="Times New Roman" w:hAnsi="Times New Roman"/>
          <w:sz w:val="28"/>
          <w:szCs w:val="28"/>
          <w:lang w:val="en-US"/>
        </w:rPr>
        <w:t>European journal of internal medicine</w:t>
      </w:r>
      <w:r w:rsidRPr="0060528F">
        <w:rPr>
          <w:rFonts w:ascii="Times New Roman" w:hAnsi="Times New Roman"/>
          <w:sz w:val="28"/>
          <w:szCs w:val="28"/>
          <w:lang w:val="en-US"/>
        </w:rPr>
        <w:t>. – 2008. – Vol. 19, №</w:t>
      </w:r>
      <w:r>
        <w:rPr>
          <w:rFonts w:ascii="Times New Roman" w:hAnsi="Times New Roman"/>
          <w:sz w:val="28"/>
          <w:szCs w:val="28"/>
          <w:lang w:val="en-US"/>
        </w:rPr>
        <w:t xml:space="preserve"> </w:t>
      </w:r>
      <w:r w:rsidRPr="0060528F">
        <w:rPr>
          <w:rFonts w:ascii="Times New Roman" w:hAnsi="Times New Roman"/>
          <w:sz w:val="28"/>
          <w:szCs w:val="28"/>
          <w:lang w:val="en-US"/>
        </w:rPr>
        <w:t>1. – P. 1-7.</w:t>
      </w:r>
    </w:p>
    <w:p w14:paraId="5DC07FF2"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68</w:t>
      </w:r>
      <w:r w:rsidRPr="0060528F">
        <w:rPr>
          <w:rFonts w:ascii="Times New Roman" w:hAnsi="Times New Roman"/>
          <w:sz w:val="28"/>
          <w:szCs w:val="28"/>
          <w:lang w:val="en-US"/>
        </w:rPr>
        <w:t xml:space="preserve"> Zaloga G., Chernow B. The multifactorial basis for hypocalcemia during sepsis. Studies of the parathyroid hormone-vitamin D axis // </w:t>
      </w:r>
      <w:r w:rsidRPr="009D56C6">
        <w:rPr>
          <w:rFonts w:ascii="Times New Roman" w:hAnsi="Times New Roman"/>
          <w:sz w:val="28"/>
          <w:szCs w:val="28"/>
          <w:lang w:val="en-US"/>
        </w:rPr>
        <w:t>Annals of internal medicine</w:t>
      </w:r>
      <w:r w:rsidRPr="0060528F">
        <w:rPr>
          <w:rFonts w:ascii="Times New Roman" w:hAnsi="Times New Roman"/>
          <w:sz w:val="28"/>
          <w:szCs w:val="28"/>
          <w:lang w:val="en-US"/>
        </w:rPr>
        <w:t>. – 1987. – Vol. 107, №</w:t>
      </w:r>
      <w:r>
        <w:rPr>
          <w:rFonts w:ascii="Times New Roman" w:hAnsi="Times New Roman"/>
          <w:sz w:val="28"/>
          <w:szCs w:val="28"/>
          <w:lang w:val="en-US"/>
        </w:rPr>
        <w:t xml:space="preserve"> </w:t>
      </w:r>
      <w:r w:rsidRPr="0060528F">
        <w:rPr>
          <w:rFonts w:ascii="Times New Roman" w:hAnsi="Times New Roman"/>
          <w:sz w:val="28"/>
          <w:szCs w:val="28"/>
          <w:lang w:val="en-US"/>
        </w:rPr>
        <w:t xml:space="preserve">1. – </w:t>
      </w:r>
      <w:r w:rsidRPr="0060528F">
        <w:rPr>
          <w:rFonts w:ascii="Times New Roman" w:hAnsi="Times New Roman"/>
          <w:sz w:val="28"/>
          <w:szCs w:val="28"/>
        </w:rPr>
        <w:t>Р</w:t>
      </w:r>
      <w:r w:rsidRPr="0060528F">
        <w:rPr>
          <w:rFonts w:ascii="Times New Roman" w:hAnsi="Times New Roman"/>
          <w:sz w:val="28"/>
          <w:szCs w:val="28"/>
          <w:lang w:val="en-US"/>
        </w:rPr>
        <w:t>. 36-41.</w:t>
      </w:r>
    </w:p>
    <w:p w14:paraId="3CF948EC"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69</w:t>
      </w:r>
      <w:r w:rsidRPr="0060528F">
        <w:rPr>
          <w:rFonts w:ascii="Times New Roman" w:hAnsi="Times New Roman"/>
          <w:sz w:val="28"/>
          <w:szCs w:val="28"/>
          <w:lang w:val="en-US"/>
        </w:rPr>
        <w:t xml:space="preserve"> Abramson E.C., Gajardo H., Kukreja S.C. Hypocalcemia in cancer // </w:t>
      </w:r>
      <w:r w:rsidRPr="009D56C6">
        <w:rPr>
          <w:rFonts w:ascii="Times New Roman" w:hAnsi="Times New Roman"/>
          <w:sz w:val="28"/>
          <w:szCs w:val="28"/>
          <w:lang w:val="en-US"/>
        </w:rPr>
        <w:t>Bone and mineral</w:t>
      </w:r>
      <w:r w:rsidRPr="0060528F">
        <w:rPr>
          <w:rFonts w:ascii="Times New Roman" w:hAnsi="Times New Roman"/>
          <w:sz w:val="28"/>
          <w:szCs w:val="28"/>
          <w:lang w:val="en-US"/>
        </w:rPr>
        <w:t>. – 1990. – Vol. 10, №</w:t>
      </w:r>
      <w:r>
        <w:rPr>
          <w:rFonts w:ascii="Times New Roman" w:hAnsi="Times New Roman"/>
          <w:sz w:val="28"/>
          <w:szCs w:val="28"/>
          <w:lang w:val="en-US"/>
        </w:rPr>
        <w:t xml:space="preserve"> </w:t>
      </w:r>
      <w:r w:rsidRPr="0060528F">
        <w:rPr>
          <w:rFonts w:ascii="Times New Roman" w:hAnsi="Times New Roman"/>
          <w:sz w:val="28"/>
          <w:szCs w:val="28"/>
          <w:lang w:val="en-US"/>
        </w:rPr>
        <w:t>3. – P. 161-169.</w:t>
      </w:r>
    </w:p>
    <w:p w14:paraId="426F4FB0"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70</w:t>
      </w:r>
      <w:r w:rsidRPr="0060528F">
        <w:rPr>
          <w:rFonts w:ascii="Times New Roman" w:hAnsi="Times New Roman"/>
          <w:sz w:val="28"/>
          <w:szCs w:val="28"/>
          <w:lang w:val="en-US"/>
        </w:rPr>
        <w:t xml:space="preserve"> Khan M.I., Dellinger R.P., Waguespack S.G. Electrolyte Disturbances in Critically Ill Cancer Patients: An Endocrine Perspective // </w:t>
      </w:r>
      <w:r w:rsidRPr="00771142">
        <w:rPr>
          <w:rFonts w:ascii="Times New Roman" w:hAnsi="Times New Roman"/>
          <w:sz w:val="28"/>
          <w:szCs w:val="28"/>
          <w:lang w:val="en-US"/>
        </w:rPr>
        <w:t>Journal of intensive care medicine</w:t>
      </w:r>
      <w:r w:rsidRPr="0060528F">
        <w:rPr>
          <w:rFonts w:ascii="Times New Roman" w:hAnsi="Times New Roman"/>
          <w:sz w:val="28"/>
          <w:szCs w:val="28"/>
          <w:lang w:val="en-US"/>
        </w:rPr>
        <w:t>. – 2018. – Vol. 33, №3. – P. 147-158.</w:t>
      </w:r>
    </w:p>
    <w:p w14:paraId="4350F77E"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71</w:t>
      </w:r>
      <w:r w:rsidRPr="0060528F">
        <w:rPr>
          <w:rFonts w:ascii="Times New Roman" w:hAnsi="Times New Roman"/>
          <w:sz w:val="28"/>
          <w:szCs w:val="28"/>
          <w:lang w:val="en-US"/>
        </w:rPr>
        <w:t xml:space="preserve"> </w:t>
      </w:r>
      <w:r w:rsidRPr="00771142">
        <w:rPr>
          <w:rFonts w:ascii="Times New Roman" w:hAnsi="Times New Roman"/>
          <w:sz w:val="28"/>
          <w:szCs w:val="28"/>
          <w:lang w:val="en-US"/>
        </w:rPr>
        <w:t>Abu Zeinah G.F., Al-Kindi S.G., Hassan A.A., Allam A</w:t>
      </w:r>
      <w:r w:rsidRPr="0060528F">
        <w:rPr>
          <w:rFonts w:ascii="Times New Roman" w:hAnsi="Times New Roman"/>
          <w:sz w:val="28"/>
          <w:szCs w:val="28"/>
          <w:lang w:val="en-US"/>
        </w:rPr>
        <w:t xml:space="preserve">. Hyponatraemia in cancer: association with type of cancer and mortality // </w:t>
      </w:r>
      <w:r w:rsidRPr="00771142">
        <w:rPr>
          <w:rFonts w:ascii="Times New Roman" w:hAnsi="Times New Roman"/>
          <w:sz w:val="28"/>
          <w:szCs w:val="28"/>
          <w:lang w:val="en-US"/>
        </w:rPr>
        <w:t>European journal of cancer care</w:t>
      </w:r>
      <w:r w:rsidRPr="0060528F">
        <w:rPr>
          <w:rFonts w:ascii="Times New Roman" w:hAnsi="Times New Roman"/>
          <w:sz w:val="28"/>
          <w:szCs w:val="28"/>
          <w:lang w:val="en-US"/>
        </w:rPr>
        <w:t>. – 2015. – Vol. 24, №</w:t>
      </w:r>
      <w:r>
        <w:rPr>
          <w:rFonts w:ascii="Times New Roman" w:hAnsi="Times New Roman"/>
          <w:sz w:val="28"/>
          <w:szCs w:val="28"/>
          <w:lang w:val="en-US"/>
        </w:rPr>
        <w:t xml:space="preserve"> </w:t>
      </w:r>
      <w:r w:rsidRPr="0060528F">
        <w:rPr>
          <w:rFonts w:ascii="Times New Roman" w:hAnsi="Times New Roman"/>
          <w:sz w:val="28"/>
          <w:szCs w:val="28"/>
          <w:lang w:val="en-US"/>
        </w:rPr>
        <w:t>2. – P. 224-231.</w:t>
      </w:r>
    </w:p>
    <w:p w14:paraId="14336D79"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72</w:t>
      </w:r>
      <w:r w:rsidRPr="0060528F">
        <w:rPr>
          <w:rFonts w:ascii="Times New Roman" w:hAnsi="Times New Roman"/>
          <w:sz w:val="28"/>
          <w:szCs w:val="28"/>
          <w:lang w:val="en-US"/>
        </w:rPr>
        <w:t xml:space="preserve"> Hill G.L., Mair W.S., Goligher J.C. Cause and management of high volume output salt-depleting ileostomy // </w:t>
      </w:r>
      <w:r w:rsidRPr="00B37229">
        <w:rPr>
          <w:rFonts w:ascii="Times New Roman" w:hAnsi="Times New Roman"/>
          <w:sz w:val="28"/>
          <w:szCs w:val="28"/>
          <w:lang w:val="en-US"/>
        </w:rPr>
        <w:t>The British journal of surgery</w:t>
      </w:r>
      <w:r w:rsidRPr="0060528F">
        <w:rPr>
          <w:rFonts w:ascii="Times New Roman" w:hAnsi="Times New Roman"/>
          <w:sz w:val="28"/>
          <w:szCs w:val="28"/>
          <w:lang w:val="en-US"/>
        </w:rPr>
        <w:t>. – 1975. – Vol. 62, № 9. –</w:t>
      </w:r>
      <w:r>
        <w:rPr>
          <w:rFonts w:ascii="Times New Roman" w:hAnsi="Times New Roman"/>
          <w:sz w:val="28"/>
          <w:szCs w:val="28"/>
          <w:lang w:val="en-US"/>
        </w:rPr>
        <w:t xml:space="preserve"> </w:t>
      </w:r>
      <w:r w:rsidRPr="0060528F">
        <w:rPr>
          <w:rFonts w:ascii="Times New Roman" w:hAnsi="Times New Roman"/>
          <w:sz w:val="28"/>
          <w:szCs w:val="28"/>
          <w:lang w:val="en-US"/>
        </w:rPr>
        <w:t>P. 720-726.</w:t>
      </w:r>
    </w:p>
    <w:p w14:paraId="13FB867D"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73</w:t>
      </w:r>
      <w:r w:rsidRPr="0060528F">
        <w:rPr>
          <w:rFonts w:ascii="Times New Roman" w:hAnsi="Times New Roman"/>
          <w:sz w:val="28"/>
          <w:szCs w:val="28"/>
          <w:lang w:val="en-US"/>
        </w:rPr>
        <w:t xml:space="preserve"> </w:t>
      </w:r>
      <w:r w:rsidRPr="00F11B42">
        <w:rPr>
          <w:rStyle w:val="markedcontent"/>
          <w:rFonts w:ascii="Times New Roman" w:hAnsi="Times New Roman"/>
          <w:sz w:val="28"/>
          <w:szCs w:val="28"/>
          <w:lang w:val="en-US"/>
        </w:rPr>
        <w:t>Yang Y., Sun N., Sun P., Zhang L</w:t>
      </w:r>
      <w:r w:rsidRPr="0060528F">
        <w:rPr>
          <w:rStyle w:val="markedcontent"/>
          <w:rFonts w:ascii="Times New Roman" w:hAnsi="Times New Roman"/>
          <w:sz w:val="28"/>
          <w:szCs w:val="28"/>
          <w:lang w:val="en-US"/>
        </w:rPr>
        <w:t xml:space="preserve">. </w:t>
      </w:r>
      <w:r w:rsidRPr="0060528F">
        <w:rPr>
          <w:rFonts w:ascii="Times New Roman" w:hAnsi="Times New Roman"/>
          <w:sz w:val="28"/>
          <w:szCs w:val="28"/>
          <w:lang w:val="en-US"/>
        </w:rPr>
        <w:t xml:space="preserve">Clinical Characteristics and Prognosis of Elderly Small Cell Lung Cancer Patients Complicated with Hyponatremia: A Retrospective Analysis // </w:t>
      </w:r>
      <w:r w:rsidRPr="00F11B42">
        <w:rPr>
          <w:rFonts w:ascii="Times New Roman" w:hAnsi="Times New Roman"/>
          <w:sz w:val="28"/>
          <w:szCs w:val="28"/>
          <w:lang w:val="en-US"/>
        </w:rPr>
        <w:t>Anticancer research</w:t>
      </w:r>
      <w:r w:rsidRPr="0060528F">
        <w:rPr>
          <w:rFonts w:ascii="Times New Roman" w:hAnsi="Times New Roman"/>
          <w:sz w:val="28"/>
          <w:szCs w:val="28"/>
          <w:lang w:val="en-US"/>
        </w:rPr>
        <w:t>. – 2017. – Vol. 37, №</w:t>
      </w:r>
      <w:r>
        <w:rPr>
          <w:rFonts w:ascii="Times New Roman" w:hAnsi="Times New Roman"/>
          <w:sz w:val="28"/>
          <w:szCs w:val="28"/>
          <w:lang w:val="en-US"/>
        </w:rPr>
        <w:t xml:space="preserve"> </w:t>
      </w:r>
      <w:r w:rsidRPr="0060528F">
        <w:rPr>
          <w:rFonts w:ascii="Times New Roman" w:hAnsi="Times New Roman"/>
          <w:sz w:val="28"/>
          <w:szCs w:val="28"/>
          <w:lang w:val="en-US"/>
        </w:rPr>
        <w:t xml:space="preserve">8. – </w:t>
      </w:r>
      <w:r w:rsidRPr="0060528F">
        <w:rPr>
          <w:rFonts w:ascii="Times New Roman" w:hAnsi="Times New Roman"/>
          <w:sz w:val="28"/>
          <w:szCs w:val="28"/>
        </w:rPr>
        <w:t>Р</w:t>
      </w:r>
      <w:r w:rsidRPr="0060528F">
        <w:rPr>
          <w:rFonts w:ascii="Times New Roman" w:hAnsi="Times New Roman"/>
          <w:sz w:val="28"/>
          <w:szCs w:val="28"/>
          <w:lang w:val="en-US"/>
        </w:rPr>
        <w:t>. 4681-4686.</w:t>
      </w:r>
    </w:p>
    <w:p w14:paraId="3363207C"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74</w:t>
      </w:r>
      <w:r w:rsidRPr="0060528F">
        <w:rPr>
          <w:rFonts w:ascii="Times New Roman" w:hAnsi="Times New Roman"/>
          <w:sz w:val="28"/>
          <w:szCs w:val="28"/>
          <w:lang w:val="en-US"/>
        </w:rPr>
        <w:t xml:space="preserve"> </w:t>
      </w:r>
      <w:r w:rsidRPr="00F11B42">
        <w:rPr>
          <w:rFonts w:ascii="Times New Roman" w:hAnsi="Times New Roman"/>
          <w:sz w:val="28"/>
          <w:szCs w:val="28"/>
          <w:lang w:val="en-US"/>
        </w:rPr>
        <w:t>Hébuterne X., Lemarié E., Michallet M.,</w:t>
      </w:r>
      <w:r w:rsidRPr="0060528F">
        <w:rPr>
          <w:rFonts w:ascii="Times New Roman" w:hAnsi="Times New Roman"/>
          <w:sz w:val="28"/>
          <w:szCs w:val="28"/>
          <w:lang w:val="en-US"/>
        </w:rPr>
        <w:t xml:space="preserve"> et al. Prevalence of malnutrition and current use of nutrition support in patients with cancer // </w:t>
      </w:r>
      <w:r w:rsidRPr="00F11B42">
        <w:rPr>
          <w:rFonts w:ascii="Times New Roman" w:hAnsi="Times New Roman"/>
          <w:sz w:val="28"/>
          <w:szCs w:val="28"/>
          <w:lang w:val="en-US"/>
        </w:rPr>
        <w:t>JPEN. Journal of parenteral and enteral nutrition</w:t>
      </w:r>
      <w:r w:rsidRPr="0060528F">
        <w:rPr>
          <w:rFonts w:ascii="Times New Roman" w:hAnsi="Times New Roman"/>
          <w:sz w:val="28"/>
          <w:szCs w:val="28"/>
          <w:lang w:val="en-US"/>
        </w:rPr>
        <w:t>. – 2014. – Vol. 38, №</w:t>
      </w:r>
      <w:r>
        <w:rPr>
          <w:rFonts w:ascii="Times New Roman" w:hAnsi="Times New Roman"/>
          <w:sz w:val="28"/>
          <w:szCs w:val="28"/>
          <w:lang w:val="en-US"/>
        </w:rPr>
        <w:t xml:space="preserve"> </w:t>
      </w:r>
      <w:r w:rsidRPr="0060528F">
        <w:rPr>
          <w:rFonts w:ascii="Times New Roman" w:hAnsi="Times New Roman"/>
          <w:sz w:val="28"/>
          <w:szCs w:val="28"/>
          <w:lang w:val="en-US"/>
        </w:rPr>
        <w:t>2. – P. 196-204.</w:t>
      </w:r>
    </w:p>
    <w:p w14:paraId="7CE1FBED"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75</w:t>
      </w:r>
      <w:r w:rsidRPr="0060528F">
        <w:rPr>
          <w:rFonts w:ascii="Times New Roman" w:hAnsi="Times New Roman"/>
          <w:sz w:val="28"/>
          <w:szCs w:val="28"/>
          <w:lang w:val="en-US"/>
        </w:rPr>
        <w:t xml:space="preserve"> Huhmann M.B., Cunningham R.S. Importance of nutritional screening in treatment of cancer-related weight loss // </w:t>
      </w:r>
      <w:r w:rsidRPr="00F11B42">
        <w:rPr>
          <w:rFonts w:ascii="Times New Roman" w:hAnsi="Times New Roman"/>
          <w:sz w:val="28"/>
          <w:szCs w:val="28"/>
          <w:lang w:val="en-US"/>
        </w:rPr>
        <w:t>The Lancet. Oncology</w:t>
      </w:r>
      <w:r w:rsidRPr="0060528F">
        <w:rPr>
          <w:rFonts w:ascii="Times New Roman" w:hAnsi="Times New Roman"/>
          <w:sz w:val="28"/>
          <w:szCs w:val="28"/>
          <w:lang w:val="en-US"/>
        </w:rPr>
        <w:t>. – 2005. – Vol. 6, № 5. – P. 334-343.</w:t>
      </w:r>
    </w:p>
    <w:p w14:paraId="048AACDC"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76</w:t>
      </w:r>
      <w:r w:rsidRPr="0060528F">
        <w:rPr>
          <w:rFonts w:ascii="Times New Roman" w:hAnsi="Times New Roman"/>
          <w:sz w:val="28"/>
          <w:szCs w:val="28"/>
          <w:lang w:val="en-US"/>
        </w:rPr>
        <w:t xml:space="preserve"> </w:t>
      </w:r>
      <w:r w:rsidRPr="00F11B42">
        <w:rPr>
          <w:rFonts w:ascii="Times New Roman" w:hAnsi="Times New Roman"/>
          <w:sz w:val="28"/>
          <w:szCs w:val="28"/>
          <w:lang w:val="en-US"/>
        </w:rPr>
        <w:t>Beattie</w:t>
      </w:r>
      <w:r>
        <w:rPr>
          <w:rFonts w:ascii="Times New Roman" w:hAnsi="Times New Roman"/>
          <w:sz w:val="28"/>
          <w:szCs w:val="28"/>
          <w:lang w:val="en-US"/>
        </w:rPr>
        <w:t xml:space="preserve"> </w:t>
      </w:r>
      <w:r w:rsidRPr="00F11B42">
        <w:rPr>
          <w:rFonts w:ascii="Times New Roman" w:hAnsi="Times New Roman"/>
          <w:sz w:val="28"/>
          <w:szCs w:val="28"/>
          <w:lang w:val="en-US"/>
        </w:rPr>
        <w:t>A.H., Prach A.T., Baxter J.P., Pennington C.R</w:t>
      </w:r>
      <w:r w:rsidRPr="0060528F">
        <w:rPr>
          <w:rFonts w:ascii="Times New Roman" w:hAnsi="Times New Roman"/>
          <w:sz w:val="28"/>
          <w:szCs w:val="28"/>
          <w:lang w:val="en-US"/>
        </w:rPr>
        <w:t>. A randomised controlled trial evaluating the use of enteral nutritional supplements postoperatively in malnourished surgical patients // Gut. – 2000. – Vol. 46, №</w:t>
      </w:r>
      <w:r>
        <w:rPr>
          <w:rFonts w:ascii="Times New Roman" w:hAnsi="Times New Roman"/>
          <w:sz w:val="28"/>
          <w:szCs w:val="28"/>
          <w:lang w:val="en-US"/>
        </w:rPr>
        <w:t xml:space="preserve"> </w:t>
      </w:r>
      <w:r w:rsidRPr="0060528F">
        <w:rPr>
          <w:rFonts w:ascii="Times New Roman" w:hAnsi="Times New Roman"/>
          <w:sz w:val="28"/>
          <w:szCs w:val="28"/>
          <w:lang w:val="en-US"/>
        </w:rPr>
        <w:t>6. – P. 813-818.</w:t>
      </w:r>
    </w:p>
    <w:p w14:paraId="57162DD7"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795B49">
        <w:rPr>
          <w:rFonts w:ascii="Times New Roman" w:hAnsi="Times New Roman"/>
          <w:sz w:val="28"/>
          <w:szCs w:val="28"/>
          <w:lang w:val="en-US"/>
        </w:rPr>
        <w:t>77</w:t>
      </w:r>
      <w:r w:rsidRPr="0060528F">
        <w:rPr>
          <w:rFonts w:ascii="Times New Roman" w:hAnsi="Times New Roman"/>
          <w:sz w:val="28"/>
          <w:szCs w:val="28"/>
          <w:lang w:val="en-US"/>
        </w:rPr>
        <w:t xml:space="preserve"> August D.A., Huhmann M.B., American Society for Parenteral and Enteral Nutrition (A.S.P.E.N.) Board of Directors. A.S.P.E.N. clinical guidelines: nutrition support therapy during adult anticancer treatment and in hematopoietic cell transplantation // </w:t>
      </w:r>
      <w:r w:rsidRPr="00F11B42">
        <w:rPr>
          <w:rFonts w:ascii="Times New Roman" w:hAnsi="Times New Roman"/>
          <w:sz w:val="28"/>
          <w:szCs w:val="28"/>
          <w:lang w:val="en-US"/>
        </w:rPr>
        <w:t>JPEN. Journal of parenteral and enteral nutrition</w:t>
      </w:r>
      <w:r w:rsidRPr="0060528F">
        <w:rPr>
          <w:rFonts w:ascii="Times New Roman" w:hAnsi="Times New Roman"/>
          <w:sz w:val="28"/>
          <w:szCs w:val="28"/>
          <w:lang w:val="en-US"/>
        </w:rPr>
        <w:t>. – 2009. – Vol. 33, №</w:t>
      </w:r>
      <w:r>
        <w:rPr>
          <w:rFonts w:ascii="Times New Roman" w:hAnsi="Times New Roman"/>
          <w:sz w:val="28"/>
          <w:szCs w:val="28"/>
          <w:lang w:val="en-US"/>
        </w:rPr>
        <w:t xml:space="preserve"> </w:t>
      </w:r>
      <w:r w:rsidRPr="0060528F">
        <w:rPr>
          <w:rFonts w:ascii="Times New Roman" w:hAnsi="Times New Roman"/>
          <w:sz w:val="28"/>
          <w:szCs w:val="28"/>
          <w:lang w:val="en-US"/>
        </w:rPr>
        <w:t>5. – P. 472-500.</w:t>
      </w:r>
    </w:p>
    <w:p w14:paraId="08E97A9C"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lastRenderedPageBreak/>
        <w:t>1</w:t>
      </w:r>
      <w:r w:rsidRPr="00C954CB">
        <w:rPr>
          <w:rFonts w:ascii="Times New Roman" w:hAnsi="Times New Roman"/>
          <w:sz w:val="28"/>
          <w:szCs w:val="28"/>
          <w:lang w:val="en-US"/>
        </w:rPr>
        <w:t>78</w:t>
      </w:r>
      <w:r w:rsidRPr="0060528F">
        <w:rPr>
          <w:rFonts w:ascii="Times New Roman" w:hAnsi="Times New Roman"/>
          <w:sz w:val="28"/>
          <w:szCs w:val="28"/>
          <w:lang w:val="en-US"/>
        </w:rPr>
        <w:t xml:space="preserve"> </w:t>
      </w:r>
      <w:r w:rsidRPr="00F11B42">
        <w:rPr>
          <w:rFonts w:ascii="Times New Roman" w:hAnsi="Times New Roman"/>
          <w:sz w:val="28"/>
          <w:szCs w:val="28"/>
          <w:lang w:val="en-US"/>
        </w:rPr>
        <w:t>Pressoir M., Desné S., Berchery D.,</w:t>
      </w:r>
      <w:r w:rsidRPr="0060528F">
        <w:rPr>
          <w:rFonts w:ascii="Times New Roman" w:hAnsi="Times New Roman"/>
          <w:sz w:val="28"/>
          <w:szCs w:val="28"/>
          <w:lang w:val="en-US"/>
        </w:rPr>
        <w:t xml:space="preserve"> et al. Prevalence, risk factors and clinical implications of malnutrition in French Comprehensive Cancer Centres // </w:t>
      </w:r>
      <w:r w:rsidRPr="00BE5A19">
        <w:rPr>
          <w:rFonts w:ascii="Times New Roman" w:hAnsi="Times New Roman"/>
          <w:sz w:val="28"/>
          <w:szCs w:val="28"/>
          <w:lang w:val="en-US"/>
        </w:rPr>
        <w:t>British journal of cancer</w:t>
      </w:r>
      <w:r w:rsidRPr="0060528F">
        <w:rPr>
          <w:rFonts w:ascii="Times New Roman" w:hAnsi="Times New Roman"/>
          <w:sz w:val="28"/>
          <w:szCs w:val="28"/>
          <w:lang w:val="en-US"/>
        </w:rPr>
        <w:t>. – 2010. – Vol. 102, №</w:t>
      </w:r>
      <w:r>
        <w:rPr>
          <w:rFonts w:ascii="Times New Roman" w:hAnsi="Times New Roman"/>
          <w:sz w:val="28"/>
          <w:szCs w:val="28"/>
          <w:lang w:val="en-US"/>
        </w:rPr>
        <w:t xml:space="preserve"> </w:t>
      </w:r>
      <w:r w:rsidRPr="0060528F">
        <w:rPr>
          <w:rFonts w:ascii="Times New Roman" w:hAnsi="Times New Roman"/>
          <w:sz w:val="28"/>
          <w:szCs w:val="28"/>
          <w:lang w:val="en-US"/>
        </w:rPr>
        <w:t>6. – P. 966-971.</w:t>
      </w:r>
    </w:p>
    <w:p w14:paraId="00115C90"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79</w:t>
      </w:r>
      <w:r w:rsidRPr="0060528F">
        <w:rPr>
          <w:rFonts w:ascii="Times New Roman" w:hAnsi="Times New Roman"/>
          <w:sz w:val="28"/>
          <w:szCs w:val="28"/>
          <w:lang w:val="en-US"/>
        </w:rPr>
        <w:t xml:space="preserve"> </w:t>
      </w:r>
      <w:r w:rsidRPr="00BE5A19">
        <w:rPr>
          <w:rFonts w:ascii="Times New Roman" w:hAnsi="Times New Roman"/>
          <w:sz w:val="28"/>
          <w:szCs w:val="28"/>
          <w:lang w:val="en-US"/>
        </w:rPr>
        <w:t>Bozzetti F., SCRINIO Working Group</w:t>
      </w:r>
      <w:r w:rsidRPr="0060528F">
        <w:rPr>
          <w:rFonts w:ascii="Times New Roman" w:hAnsi="Times New Roman"/>
          <w:sz w:val="28"/>
          <w:szCs w:val="28"/>
          <w:lang w:val="en-US"/>
        </w:rPr>
        <w:t xml:space="preserve">. Screening the nutritional status in oncology: a preliminary report on 1,000 outpatients // </w:t>
      </w:r>
      <w:r w:rsidRPr="00BE5A19">
        <w:rPr>
          <w:rFonts w:ascii="Times New Roman" w:hAnsi="Times New Roman"/>
          <w:sz w:val="28"/>
          <w:szCs w:val="28"/>
          <w:lang w:val="en-US"/>
        </w:rPr>
        <w:t>Supportive care in cancer: official journal of the Multinational Association of Supportive Care in Cancer</w:t>
      </w:r>
      <w:r w:rsidRPr="0060528F">
        <w:rPr>
          <w:rFonts w:ascii="Times New Roman" w:hAnsi="Times New Roman"/>
          <w:sz w:val="28"/>
          <w:szCs w:val="28"/>
          <w:lang w:val="en-US"/>
        </w:rPr>
        <w:t>. – 2009. – Vol. 17, №</w:t>
      </w:r>
      <w:r>
        <w:rPr>
          <w:rFonts w:ascii="Times New Roman" w:hAnsi="Times New Roman"/>
          <w:sz w:val="28"/>
          <w:szCs w:val="28"/>
          <w:lang w:val="en-US"/>
        </w:rPr>
        <w:t xml:space="preserve"> </w:t>
      </w:r>
      <w:r w:rsidRPr="0060528F">
        <w:rPr>
          <w:rFonts w:ascii="Times New Roman" w:hAnsi="Times New Roman"/>
          <w:sz w:val="28"/>
          <w:szCs w:val="28"/>
          <w:lang w:val="en-US"/>
        </w:rPr>
        <w:t>3. –</w:t>
      </w:r>
      <w:r>
        <w:rPr>
          <w:rFonts w:ascii="Times New Roman" w:hAnsi="Times New Roman"/>
          <w:sz w:val="28"/>
          <w:szCs w:val="28"/>
          <w:lang w:val="en-US"/>
        </w:rPr>
        <w:t xml:space="preserve"> </w:t>
      </w:r>
      <w:r w:rsidRPr="0060528F">
        <w:rPr>
          <w:rFonts w:ascii="Times New Roman" w:hAnsi="Times New Roman"/>
          <w:sz w:val="28"/>
          <w:szCs w:val="28"/>
          <w:lang w:val="en-US"/>
        </w:rPr>
        <w:t>P. 279-284.</w:t>
      </w:r>
    </w:p>
    <w:p w14:paraId="3518A208"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80</w:t>
      </w:r>
      <w:r w:rsidRPr="0060528F">
        <w:rPr>
          <w:rFonts w:ascii="Times New Roman" w:hAnsi="Times New Roman"/>
          <w:sz w:val="28"/>
          <w:szCs w:val="28"/>
          <w:lang w:val="en-US"/>
        </w:rPr>
        <w:t xml:space="preserve"> </w:t>
      </w:r>
      <w:r w:rsidRPr="00D97DEC">
        <w:rPr>
          <w:rFonts w:ascii="Times New Roman" w:hAnsi="Times New Roman"/>
          <w:sz w:val="28"/>
          <w:szCs w:val="28"/>
          <w:lang w:val="en-US"/>
        </w:rPr>
        <w:t>Baldwin C., McGough C., Norman A.R.,</w:t>
      </w:r>
      <w:r w:rsidRPr="0060528F">
        <w:rPr>
          <w:rFonts w:ascii="Times New Roman" w:hAnsi="Times New Roman"/>
          <w:sz w:val="28"/>
          <w:szCs w:val="28"/>
          <w:lang w:val="en-US"/>
        </w:rPr>
        <w:t xml:space="preserve"> et al. Failure of dietetic referral in patients with gastrointestinal cancer and weight loss // </w:t>
      </w:r>
      <w:r w:rsidRPr="00D97DEC">
        <w:rPr>
          <w:rFonts w:ascii="Times New Roman" w:hAnsi="Times New Roman"/>
          <w:sz w:val="28"/>
          <w:szCs w:val="28"/>
          <w:lang w:val="en-US"/>
        </w:rPr>
        <w:t>European journal of cancer (Oxford, England: 1990)</w:t>
      </w:r>
      <w:r w:rsidRPr="0060528F">
        <w:rPr>
          <w:rFonts w:ascii="Times New Roman" w:hAnsi="Times New Roman"/>
          <w:sz w:val="28"/>
          <w:szCs w:val="28"/>
          <w:lang w:val="en-US"/>
        </w:rPr>
        <w:t>. – 2006. – Vol. 42, №</w:t>
      </w:r>
      <w:r>
        <w:rPr>
          <w:rFonts w:ascii="Times New Roman" w:hAnsi="Times New Roman"/>
          <w:sz w:val="28"/>
          <w:szCs w:val="28"/>
          <w:lang w:val="en-US"/>
        </w:rPr>
        <w:t xml:space="preserve"> </w:t>
      </w:r>
      <w:r w:rsidRPr="0060528F">
        <w:rPr>
          <w:rFonts w:ascii="Times New Roman" w:hAnsi="Times New Roman"/>
          <w:sz w:val="28"/>
          <w:szCs w:val="28"/>
          <w:lang w:val="en-US"/>
        </w:rPr>
        <w:t>15. – P. 2504-2509.</w:t>
      </w:r>
    </w:p>
    <w:p w14:paraId="0D0CDCB6"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FA28C6">
        <w:rPr>
          <w:rFonts w:ascii="Times New Roman" w:hAnsi="Times New Roman"/>
          <w:sz w:val="28"/>
          <w:szCs w:val="28"/>
          <w:lang w:val="en-US"/>
        </w:rPr>
        <w:t>81</w:t>
      </w:r>
      <w:r w:rsidRPr="0060528F">
        <w:rPr>
          <w:rFonts w:ascii="Times New Roman" w:hAnsi="Times New Roman"/>
          <w:sz w:val="28"/>
          <w:szCs w:val="28"/>
          <w:lang w:val="en-US"/>
        </w:rPr>
        <w:t xml:space="preserve"> Van Cutsem E., Arends J. The causes and consequences of cancer-associated malnutrition // </w:t>
      </w:r>
      <w:r w:rsidRPr="00D97DEC">
        <w:rPr>
          <w:rFonts w:ascii="Times New Roman" w:hAnsi="Times New Roman"/>
          <w:sz w:val="28"/>
          <w:szCs w:val="28"/>
          <w:lang w:val="en-US"/>
        </w:rPr>
        <w:t>European journal of oncology nursing: the official journal of European Oncology Nursing Society</w:t>
      </w:r>
      <w:r w:rsidRPr="0060528F">
        <w:rPr>
          <w:rFonts w:ascii="Times New Roman" w:hAnsi="Times New Roman"/>
          <w:sz w:val="28"/>
          <w:szCs w:val="28"/>
          <w:lang w:val="en-US"/>
        </w:rPr>
        <w:t>. – 2005. – Vol. 9, Suppl 2. – P. S51-S63.</w:t>
      </w:r>
    </w:p>
    <w:p w14:paraId="417BDE07"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FA28C6">
        <w:rPr>
          <w:rFonts w:ascii="Times New Roman" w:hAnsi="Times New Roman"/>
          <w:sz w:val="28"/>
          <w:szCs w:val="28"/>
          <w:lang w:val="en-US"/>
        </w:rPr>
        <w:t>82</w:t>
      </w:r>
      <w:r w:rsidRPr="0060528F">
        <w:rPr>
          <w:rFonts w:ascii="Times New Roman" w:hAnsi="Times New Roman"/>
          <w:sz w:val="28"/>
          <w:szCs w:val="28"/>
          <w:lang w:val="en-US"/>
        </w:rPr>
        <w:t xml:space="preserve"> </w:t>
      </w:r>
      <w:r w:rsidRPr="00D97DEC">
        <w:rPr>
          <w:rFonts w:ascii="Times New Roman" w:hAnsi="Times New Roman"/>
          <w:sz w:val="28"/>
          <w:szCs w:val="28"/>
          <w:lang w:val="en-US"/>
        </w:rPr>
        <w:t>Andreyev H.J., Norman A.R., Oates J., Cunningham D</w:t>
      </w:r>
      <w:r w:rsidRPr="0060528F">
        <w:rPr>
          <w:rFonts w:ascii="Times New Roman" w:hAnsi="Times New Roman"/>
          <w:sz w:val="28"/>
          <w:szCs w:val="28"/>
          <w:lang w:val="en-US"/>
        </w:rPr>
        <w:t xml:space="preserve">. Why do patients with weight loss have a worse outcome when undergoing chemotherapy for gastrointestinal malignancies? // </w:t>
      </w:r>
      <w:r w:rsidRPr="00D97DEC">
        <w:rPr>
          <w:rFonts w:ascii="Times New Roman" w:hAnsi="Times New Roman"/>
          <w:sz w:val="28"/>
          <w:szCs w:val="28"/>
          <w:lang w:val="en-US"/>
        </w:rPr>
        <w:t>European journal of cancer (Oxford, England: 1990)</w:t>
      </w:r>
      <w:r w:rsidRPr="0060528F">
        <w:rPr>
          <w:rFonts w:ascii="Times New Roman" w:hAnsi="Times New Roman"/>
          <w:sz w:val="28"/>
          <w:szCs w:val="28"/>
          <w:lang w:val="en-US"/>
        </w:rPr>
        <w:t>. – 1998. – Vol. 34, №</w:t>
      </w:r>
      <w:r>
        <w:rPr>
          <w:rFonts w:ascii="Times New Roman" w:hAnsi="Times New Roman"/>
          <w:sz w:val="28"/>
          <w:szCs w:val="28"/>
          <w:lang w:val="en-US"/>
        </w:rPr>
        <w:t xml:space="preserve"> </w:t>
      </w:r>
      <w:r w:rsidRPr="0060528F">
        <w:rPr>
          <w:rFonts w:ascii="Times New Roman" w:hAnsi="Times New Roman"/>
          <w:sz w:val="28"/>
          <w:szCs w:val="28"/>
          <w:lang w:val="en-US"/>
        </w:rPr>
        <w:t>4. – P. 503-509.</w:t>
      </w:r>
    </w:p>
    <w:p w14:paraId="480176F4"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FA28C6">
        <w:rPr>
          <w:rFonts w:ascii="Times New Roman" w:hAnsi="Times New Roman"/>
          <w:sz w:val="28"/>
          <w:szCs w:val="28"/>
          <w:lang w:val="en-US"/>
        </w:rPr>
        <w:t>83</w:t>
      </w:r>
      <w:r w:rsidRPr="0060528F">
        <w:rPr>
          <w:rFonts w:ascii="Times New Roman" w:hAnsi="Times New Roman"/>
          <w:sz w:val="28"/>
          <w:szCs w:val="28"/>
          <w:lang w:val="en-US"/>
        </w:rPr>
        <w:t xml:space="preserve"> Marín Caro M.M., Laviano A., Pichard C. Impact of nutrition on quality of life during cancer // </w:t>
      </w:r>
      <w:r w:rsidRPr="00CE19F0">
        <w:rPr>
          <w:rFonts w:ascii="Times New Roman" w:hAnsi="Times New Roman"/>
          <w:sz w:val="28"/>
          <w:szCs w:val="28"/>
          <w:lang w:val="en-US"/>
        </w:rPr>
        <w:t>Current opinion in clinical nutrition and metabolic care</w:t>
      </w:r>
      <w:r w:rsidRPr="0060528F">
        <w:rPr>
          <w:rFonts w:ascii="Times New Roman" w:hAnsi="Times New Roman"/>
          <w:sz w:val="28"/>
          <w:szCs w:val="28"/>
          <w:lang w:val="en-US"/>
        </w:rPr>
        <w:t>. – 2007. – Vol. 10, №</w:t>
      </w:r>
      <w:r>
        <w:rPr>
          <w:rFonts w:ascii="Times New Roman" w:hAnsi="Times New Roman"/>
          <w:sz w:val="28"/>
          <w:szCs w:val="28"/>
          <w:lang w:val="en-US"/>
        </w:rPr>
        <w:t xml:space="preserve"> </w:t>
      </w:r>
      <w:r w:rsidRPr="0060528F">
        <w:rPr>
          <w:rFonts w:ascii="Times New Roman" w:hAnsi="Times New Roman"/>
          <w:sz w:val="28"/>
          <w:szCs w:val="28"/>
          <w:lang w:val="en-US"/>
        </w:rPr>
        <w:t>4. – P. 480-487.</w:t>
      </w:r>
    </w:p>
    <w:p w14:paraId="7B3D4242"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FA28C6">
        <w:rPr>
          <w:rFonts w:ascii="Times New Roman" w:hAnsi="Times New Roman"/>
          <w:sz w:val="28"/>
          <w:szCs w:val="28"/>
          <w:lang w:val="en-US"/>
        </w:rPr>
        <w:t>84</w:t>
      </w:r>
      <w:r w:rsidRPr="0060528F">
        <w:rPr>
          <w:rFonts w:ascii="Times New Roman" w:hAnsi="Times New Roman"/>
          <w:sz w:val="28"/>
          <w:szCs w:val="28"/>
          <w:lang w:val="en-US"/>
        </w:rPr>
        <w:t xml:space="preserve"> </w:t>
      </w:r>
      <w:r w:rsidRPr="00CE19F0">
        <w:rPr>
          <w:rFonts w:ascii="Times New Roman" w:hAnsi="Times New Roman"/>
          <w:sz w:val="28"/>
          <w:szCs w:val="28"/>
          <w:lang w:val="en-US"/>
        </w:rPr>
        <w:t>Dewys W.D., Begg C., Lavin P.T.,</w:t>
      </w:r>
      <w:r w:rsidRPr="0060528F">
        <w:rPr>
          <w:rFonts w:ascii="Times New Roman" w:hAnsi="Times New Roman"/>
          <w:sz w:val="28"/>
          <w:szCs w:val="28"/>
          <w:lang w:val="en-US"/>
        </w:rPr>
        <w:t xml:space="preserve"> et al. Prognostic effect of weight loss prior to chemotherapy in cancer patients. Eastern Cooperative Oncology Group // </w:t>
      </w:r>
      <w:r w:rsidRPr="00CE19F0">
        <w:rPr>
          <w:rFonts w:ascii="Times New Roman" w:hAnsi="Times New Roman"/>
          <w:sz w:val="28"/>
          <w:szCs w:val="28"/>
          <w:lang w:val="en-US"/>
        </w:rPr>
        <w:t>The American journal of medicine</w:t>
      </w:r>
      <w:r w:rsidRPr="0060528F">
        <w:rPr>
          <w:rFonts w:ascii="Times New Roman" w:hAnsi="Times New Roman"/>
          <w:sz w:val="28"/>
          <w:szCs w:val="28"/>
          <w:lang w:val="en-US"/>
        </w:rPr>
        <w:t>. – 1980. – Vol. 69, №</w:t>
      </w:r>
      <w:r>
        <w:rPr>
          <w:rFonts w:ascii="Times New Roman" w:hAnsi="Times New Roman"/>
          <w:sz w:val="28"/>
          <w:szCs w:val="28"/>
          <w:lang w:val="en-US"/>
        </w:rPr>
        <w:t xml:space="preserve"> </w:t>
      </w:r>
      <w:r w:rsidRPr="0060528F">
        <w:rPr>
          <w:rFonts w:ascii="Times New Roman" w:hAnsi="Times New Roman"/>
          <w:sz w:val="28"/>
          <w:szCs w:val="28"/>
          <w:lang w:val="en-US"/>
        </w:rPr>
        <w:t>4. – P. 491-497.</w:t>
      </w:r>
    </w:p>
    <w:p w14:paraId="7823D316"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85</w:t>
      </w:r>
      <w:r w:rsidRPr="0060528F">
        <w:rPr>
          <w:rFonts w:ascii="Times New Roman" w:hAnsi="Times New Roman"/>
          <w:sz w:val="28"/>
          <w:szCs w:val="28"/>
          <w:lang w:val="en-US"/>
        </w:rPr>
        <w:t xml:space="preserve"> </w:t>
      </w:r>
      <w:r w:rsidRPr="00CE19F0">
        <w:rPr>
          <w:rFonts w:ascii="Times New Roman" w:hAnsi="Times New Roman"/>
          <w:sz w:val="28"/>
          <w:szCs w:val="28"/>
          <w:lang w:val="en-US"/>
        </w:rPr>
        <w:t>Lis C.G., Gupta D., Lammersfeld C.A., Markman M., Vashi P.G</w:t>
      </w:r>
      <w:r>
        <w:rPr>
          <w:rFonts w:ascii="Times New Roman" w:hAnsi="Times New Roman"/>
          <w:sz w:val="28"/>
          <w:szCs w:val="28"/>
          <w:lang w:val="en-US"/>
        </w:rPr>
        <w:t>.</w:t>
      </w:r>
      <w:r w:rsidRPr="0060528F">
        <w:rPr>
          <w:rFonts w:ascii="Times New Roman" w:hAnsi="Times New Roman"/>
          <w:sz w:val="28"/>
          <w:szCs w:val="28"/>
          <w:lang w:val="en-US"/>
        </w:rPr>
        <w:t xml:space="preserve"> Role of nutritional status in predicting quality of life outcomes in cancer-a systematic review of the epidemiological literature // </w:t>
      </w:r>
      <w:r w:rsidRPr="00CE19F0">
        <w:rPr>
          <w:rFonts w:ascii="Times New Roman" w:hAnsi="Times New Roman"/>
          <w:sz w:val="28"/>
          <w:szCs w:val="28"/>
          <w:lang w:val="en-US"/>
        </w:rPr>
        <w:t>Nutrition journal</w:t>
      </w:r>
      <w:r w:rsidRPr="0060528F">
        <w:rPr>
          <w:rFonts w:ascii="Times New Roman" w:hAnsi="Times New Roman"/>
          <w:sz w:val="28"/>
          <w:szCs w:val="28"/>
          <w:lang w:val="en-US"/>
        </w:rPr>
        <w:t>. – 2012. – Vol. 11. – P. 1-18.</w:t>
      </w:r>
    </w:p>
    <w:p w14:paraId="1165EF9A"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FA28C6">
        <w:rPr>
          <w:rFonts w:ascii="Times New Roman" w:hAnsi="Times New Roman"/>
          <w:sz w:val="28"/>
          <w:szCs w:val="28"/>
          <w:lang w:val="en-US"/>
        </w:rPr>
        <w:t>86</w:t>
      </w:r>
      <w:r w:rsidRPr="0060528F">
        <w:rPr>
          <w:rFonts w:ascii="Times New Roman" w:hAnsi="Times New Roman"/>
          <w:sz w:val="28"/>
          <w:szCs w:val="28"/>
          <w:lang w:val="en-US"/>
        </w:rPr>
        <w:t xml:space="preserve"> Hoffmann J.C., Zeitz M. Small bowel disease in the elderly: diarrhoea and malabsorption // Best Practice &amp; Research</w:t>
      </w:r>
      <w:r>
        <w:rPr>
          <w:rFonts w:ascii="Times New Roman" w:hAnsi="Times New Roman"/>
          <w:sz w:val="28"/>
          <w:szCs w:val="28"/>
          <w:lang w:val="en-US"/>
        </w:rPr>
        <w:t>.</w:t>
      </w:r>
      <w:r w:rsidRPr="0060528F">
        <w:rPr>
          <w:rFonts w:ascii="Times New Roman" w:hAnsi="Times New Roman"/>
          <w:sz w:val="28"/>
          <w:szCs w:val="28"/>
          <w:lang w:val="en-US"/>
        </w:rPr>
        <w:t xml:space="preserve"> Clinical Gastroenterology. – 2002. – Vol.</w:t>
      </w:r>
      <w:r w:rsidRPr="00A26357">
        <w:rPr>
          <w:rFonts w:ascii="Times New Roman" w:hAnsi="Times New Roman"/>
          <w:sz w:val="28"/>
          <w:szCs w:val="28"/>
          <w:lang w:val="en-US"/>
        </w:rPr>
        <w:t xml:space="preserve"> </w:t>
      </w:r>
      <w:r w:rsidRPr="0060528F">
        <w:rPr>
          <w:rFonts w:ascii="Times New Roman" w:hAnsi="Times New Roman"/>
          <w:sz w:val="28"/>
          <w:szCs w:val="28"/>
          <w:lang w:val="en-US"/>
        </w:rPr>
        <w:t> 16, №</w:t>
      </w:r>
      <w:r>
        <w:rPr>
          <w:rFonts w:ascii="Times New Roman" w:hAnsi="Times New Roman"/>
          <w:sz w:val="28"/>
          <w:szCs w:val="28"/>
          <w:lang w:val="en-US"/>
        </w:rPr>
        <w:t xml:space="preserve"> </w:t>
      </w:r>
      <w:r w:rsidRPr="0060528F">
        <w:rPr>
          <w:rFonts w:ascii="Times New Roman" w:hAnsi="Times New Roman"/>
          <w:sz w:val="28"/>
          <w:szCs w:val="28"/>
          <w:lang w:val="en-US"/>
        </w:rPr>
        <w:t>1. – P. 17-36.</w:t>
      </w:r>
    </w:p>
    <w:p w14:paraId="0EA59D1F"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87</w:t>
      </w:r>
      <w:r w:rsidRPr="0060528F">
        <w:rPr>
          <w:rFonts w:ascii="Times New Roman" w:hAnsi="Times New Roman"/>
          <w:sz w:val="28"/>
          <w:szCs w:val="28"/>
          <w:lang w:val="en-US"/>
        </w:rPr>
        <w:t xml:space="preserve"> </w:t>
      </w:r>
      <w:r w:rsidRPr="00CE19F0">
        <w:rPr>
          <w:rFonts w:ascii="Times New Roman" w:hAnsi="Times New Roman"/>
          <w:sz w:val="28"/>
          <w:szCs w:val="28"/>
          <w:lang w:val="en-US"/>
        </w:rPr>
        <w:t>Bytzer P., Stokholm M., Andersen I., Lund-Hansen B., Schaffalitzky de Muckadell O.B</w:t>
      </w:r>
      <w:r w:rsidRPr="0060528F">
        <w:rPr>
          <w:rFonts w:ascii="Times New Roman" w:hAnsi="Times New Roman"/>
          <w:sz w:val="28"/>
          <w:szCs w:val="28"/>
          <w:lang w:val="en-US"/>
        </w:rPr>
        <w:t>. Aetiology, Medical History, and Faecal Weight in Adult Patients Referred for Diarrhoea: A Prospective Survey // Scandinavian Journal of Gastroenterology. – 1990. – Vol. 25, №</w:t>
      </w:r>
      <w:r>
        <w:rPr>
          <w:rFonts w:ascii="Times New Roman" w:hAnsi="Times New Roman"/>
          <w:sz w:val="28"/>
          <w:szCs w:val="28"/>
          <w:lang w:val="en-US"/>
        </w:rPr>
        <w:t xml:space="preserve"> </w:t>
      </w:r>
      <w:r w:rsidRPr="0060528F">
        <w:rPr>
          <w:rFonts w:ascii="Times New Roman" w:hAnsi="Times New Roman"/>
          <w:sz w:val="28"/>
          <w:szCs w:val="28"/>
          <w:lang w:val="en-US"/>
        </w:rPr>
        <w:t>6. – P. 572-578.</w:t>
      </w:r>
    </w:p>
    <w:p w14:paraId="02896E41"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FA28C6">
        <w:rPr>
          <w:rFonts w:ascii="Times New Roman" w:hAnsi="Times New Roman"/>
          <w:sz w:val="28"/>
          <w:szCs w:val="28"/>
          <w:lang w:val="en-US"/>
        </w:rPr>
        <w:t>88</w:t>
      </w:r>
      <w:r w:rsidRPr="0060528F">
        <w:rPr>
          <w:rFonts w:ascii="Times New Roman" w:hAnsi="Times New Roman"/>
          <w:sz w:val="28"/>
          <w:szCs w:val="28"/>
          <w:lang w:val="en-US"/>
        </w:rPr>
        <w:t xml:space="preserve"> </w:t>
      </w:r>
      <w:r w:rsidRPr="006A1F42">
        <w:rPr>
          <w:rFonts w:ascii="Times New Roman" w:hAnsi="Times New Roman"/>
          <w:sz w:val="28"/>
          <w:szCs w:val="28"/>
          <w:lang w:val="en-US"/>
        </w:rPr>
        <w:t>Talley N.J., Zinsmeister A.R., Van Dyke C., Melton L.J. 3rd</w:t>
      </w:r>
      <w:r w:rsidRPr="0060528F">
        <w:rPr>
          <w:rFonts w:ascii="Times New Roman" w:hAnsi="Times New Roman"/>
          <w:sz w:val="28"/>
          <w:szCs w:val="28"/>
          <w:lang w:val="en-US"/>
        </w:rPr>
        <w:t>. Epidemiology of colonic symptoms and the irritable bowel syndrome // Gastroenterology. – 1991. – Vol. 101, №</w:t>
      </w:r>
      <w:r>
        <w:rPr>
          <w:rFonts w:ascii="Times New Roman" w:hAnsi="Times New Roman"/>
          <w:sz w:val="28"/>
          <w:szCs w:val="28"/>
          <w:lang w:val="en-US"/>
        </w:rPr>
        <w:t xml:space="preserve"> </w:t>
      </w:r>
      <w:r w:rsidRPr="0060528F">
        <w:rPr>
          <w:rFonts w:ascii="Times New Roman" w:hAnsi="Times New Roman"/>
          <w:sz w:val="28"/>
          <w:szCs w:val="28"/>
          <w:lang w:val="en-US"/>
        </w:rPr>
        <w:t>4. – P. 927-934.</w:t>
      </w:r>
    </w:p>
    <w:p w14:paraId="6D576BBB"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FA28C6">
        <w:rPr>
          <w:rFonts w:ascii="Times New Roman" w:hAnsi="Times New Roman"/>
          <w:sz w:val="28"/>
          <w:szCs w:val="28"/>
          <w:lang w:val="en-US"/>
        </w:rPr>
        <w:t>89</w:t>
      </w:r>
      <w:r w:rsidRPr="0060528F">
        <w:rPr>
          <w:rFonts w:ascii="Times New Roman" w:hAnsi="Times New Roman"/>
          <w:sz w:val="28"/>
          <w:szCs w:val="28"/>
          <w:lang w:val="en-US"/>
        </w:rPr>
        <w:t xml:space="preserve"> O’Donnell L.J., Virjee J., Heaton K.W. Detection of pseudodiarrhoea by simple clinical assessment of intestinal transit rate // BMJ. – 1990. – Vol. 300, №</w:t>
      </w:r>
      <w:r>
        <w:rPr>
          <w:rFonts w:ascii="Times New Roman" w:hAnsi="Times New Roman"/>
          <w:sz w:val="28"/>
          <w:szCs w:val="28"/>
          <w:lang w:val="en-US"/>
        </w:rPr>
        <w:t xml:space="preserve"> </w:t>
      </w:r>
      <w:r w:rsidRPr="0060528F">
        <w:rPr>
          <w:rFonts w:ascii="Times New Roman" w:hAnsi="Times New Roman"/>
          <w:sz w:val="28"/>
          <w:szCs w:val="28"/>
          <w:lang w:val="en-US"/>
        </w:rPr>
        <w:t>6722. – P. 439-440.</w:t>
      </w:r>
    </w:p>
    <w:p w14:paraId="4DCCE703"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FA28C6">
        <w:rPr>
          <w:rFonts w:ascii="Times New Roman" w:hAnsi="Times New Roman"/>
          <w:sz w:val="28"/>
          <w:szCs w:val="28"/>
          <w:lang w:val="en-US"/>
        </w:rPr>
        <w:t>90</w:t>
      </w:r>
      <w:r w:rsidRPr="0060528F">
        <w:rPr>
          <w:rFonts w:ascii="Times New Roman" w:hAnsi="Times New Roman"/>
          <w:sz w:val="28"/>
          <w:szCs w:val="28"/>
          <w:lang w:val="en-US"/>
        </w:rPr>
        <w:t xml:space="preserve"> Müller M., Willén R., Stotzer P.-O. Colonoscopy and SeHCAT for Investigation of Chronic Diarrhea // Digestion. – 2004. – Vol. 69, №</w:t>
      </w:r>
      <w:r>
        <w:rPr>
          <w:rFonts w:ascii="Times New Roman" w:hAnsi="Times New Roman"/>
          <w:sz w:val="28"/>
          <w:szCs w:val="28"/>
          <w:lang w:val="en-US"/>
        </w:rPr>
        <w:t xml:space="preserve"> </w:t>
      </w:r>
      <w:r w:rsidRPr="0060528F">
        <w:rPr>
          <w:rFonts w:ascii="Times New Roman" w:hAnsi="Times New Roman"/>
          <w:sz w:val="28"/>
          <w:szCs w:val="28"/>
          <w:lang w:val="en-US"/>
        </w:rPr>
        <w:t>4. – P. 211-218.</w:t>
      </w:r>
    </w:p>
    <w:p w14:paraId="48C7353B"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FA28C6">
        <w:rPr>
          <w:rFonts w:ascii="Times New Roman" w:hAnsi="Times New Roman"/>
          <w:sz w:val="28"/>
          <w:szCs w:val="28"/>
          <w:lang w:val="en-US"/>
        </w:rPr>
        <w:t>91</w:t>
      </w:r>
      <w:r w:rsidRPr="0060528F">
        <w:rPr>
          <w:rFonts w:ascii="Times New Roman" w:hAnsi="Times New Roman"/>
          <w:sz w:val="28"/>
          <w:szCs w:val="28"/>
          <w:lang w:val="en-US"/>
        </w:rPr>
        <w:t xml:space="preserve"> Spiller R. Role of motility in chronic diarrhoea // </w:t>
      </w:r>
      <w:r w:rsidRPr="00884389">
        <w:rPr>
          <w:rFonts w:ascii="Times New Roman" w:hAnsi="Times New Roman"/>
          <w:sz w:val="28"/>
          <w:szCs w:val="28"/>
          <w:lang w:val="en-US"/>
        </w:rPr>
        <w:t>Neurogastroenterology and motility: the official journal of the European Gastrointestinal Motility Society</w:t>
      </w:r>
      <w:r w:rsidRPr="0060528F">
        <w:rPr>
          <w:rFonts w:ascii="Times New Roman" w:hAnsi="Times New Roman"/>
          <w:sz w:val="28"/>
          <w:szCs w:val="28"/>
          <w:lang w:val="en-US"/>
        </w:rPr>
        <w:t>. – 2006. – Vol. 18, №</w:t>
      </w:r>
      <w:r>
        <w:rPr>
          <w:rFonts w:ascii="Times New Roman" w:hAnsi="Times New Roman"/>
          <w:sz w:val="28"/>
          <w:szCs w:val="28"/>
          <w:lang w:val="en-US"/>
        </w:rPr>
        <w:t xml:space="preserve"> </w:t>
      </w:r>
      <w:r w:rsidRPr="0060528F">
        <w:rPr>
          <w:rFonts w:ascii="Times New Roman" w:hAnsi="Times New Roman"/>
          <w:sz w:val="28"/>
          <w:szCs w:val="28"/>
          <w:lang w:val="en-US"/>
        </w:rPr>
        <w:t>12. – P. 1045-1055.</w:t>
      </w:r>
    </w:p>
    <w:p w14:paraId="1D51FBCA"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lastRenderedPageBreak/>
        <w:t>1</w:t>
      </w:r>
      <w:r w:rsidRPr="00FA28C6">
        <w:rPr>
          <w:rFonts w:ascii="Times New Roman" w:hAnsi="Times New Roman"/>
          <w:sz w:val="28"/>
          <w:szCs w:val="28"/>
          <w:lang w:val="en-US"/>
        </w:rPr>
        <w:t>9</w:t>
      </w:r>
      <w:r w:rsidRPr="003870CC">
        <w:rPr>
          <w:rFonts w:ascii="Times New Roman" w:hAnsi="Times New Roman"/>
          <w:sz w:val="28"/>
          <w:szCs w:val="28"/>
          <w:lang w:val="en-US"/>
        </w:rPr>
        <w:t>2</w:t>
      </w:r>
      <w:r w:rsidRPr="0060528F">
        <w:rPr>
          <w:rFonts w:ascii="Times New Roman" w:hAnsi="Times New Roman"/>
          <w:sz w:val="28"/>
          <w:szCs w:val="28"/>
          <w:lang w:val="en-US"/>
        </w:rPr>
        <w:t xml:space="preserve"> Degen L.P., Phillips S.F. How well does stool form reflect colonic transit? // Gut. – 1996. – Vol. 39, №</w:t>
      </w:r>
      <w:r>
        <w:rPr>
          <w:rFonts w:ascii="Times New Roman" w:hAnsi="Times New Roman"/>
          <w:sz w:val="28"/>
          <w:szCs w:val="28"/>
          <w:lang w:val="en-US"/>
        </w:rPr>
        <w:t xml:space="preserve"> </w:t>
      </w:r>
      <w:r w:rsidRPr="0060528F">
        <w:rPr>
          <w:rFonts w:ascii="Times New Roman" w:hAnsi="Times New Roman"/>
          <w:sz w:val="28"/>
          <w:szCs w:val="28"/>
          <w:lang w:val="en-US"/>
        </w:rPr>
        <w:t>1. – P. 109-113.</w:t>
      </w:r>
    </w:p>
    <w:p w14:paraId="6D3548AD"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FA28C6">
        <w:rPr>
          <w:rFonts w:ascii="Times New Roman" w:hAnsi="Times New Roman"/>
          <w:sz w:val="28"/>
          <w:szCs w:val="28"/>
          <w:lang w:val="en-US"/>
        </w:rPr>
        <w:t>9</w:t>
      </w:r>
      <w:r w:rsidRPr="000A1D06">
        <w:rPr>
          <w:rFonts w:ascii="Times New Roman" w:hAnsi="Times New Roman"/>
          <w:sz w:val="28"/>
          <w:szCs w:val="28"/>
          <w:lang w:val="en-US"/>
        </w:rPr>
        <w:t>3</w:t>
      </w:r>
      <w:r w:rsidRPr="0060528F">
        <w:rPr>
          <w:rFonts w:ascii="Times New Roman" w:hAnsi="Times New Roman"/>
          <w:sz w:val="28"/>
          <w:szCs w:val="28"/>
          <w:lang w:val="en-US"/>
        </w:rPr>
        <w:t xml:space="preserve"> </w:t>
      </w:r>
      <w:r w:rsidRPr="00884389">
        <w:rPr>
          <w:rFonts w:ascii="Times New Roman" w:hAnsi="Times New Roman"/>
          <w:sz w:val="28"/>
          <w:szCs w:val="28"/>
          <w:lang w:val="en-US"/>
        </w:rPr>
        <w:t>Saad R.J., Rao S.S., Koch K.L.,</w:t>
      </w:r>
      <w:r w:rsidRPr="0060528F">
        <w:rPr>
          <w:rFonts w:ascii="Times New Roman" w:hAnsi="Times New Roman"/>
          <w:sz w:val="28"/>
          <w:szCs w:val="28"/>
          <w:lang w:val="en-US"/>
        </w:rPr>
        <w:t xml:space="preserve"> et al. Do stool form and frequency correlate with whole gut and colonic transit? Results from a multicenter study in constipated individuals and healthy controls // </w:t>
      </w:r>
      <w:r w:rsidRPr="00884389">
        <w:rPr>
          <w:rFonts w:ascii="Times New Roman" w:hAnsi="Times New Roman"/>
          <w:sz w:val="28"/>
          <w:szCs w:val="28"/>
          <w:lang w:val="en-US"/>
        </w:rPr>
        <w:t>The American journal of gastroenterology</w:t>
      </w:r>
      <w:r w:rsidRPr="0060528F">
        <w:rPr>
          <w:rFonts w:ascii="Times New Roman" w:hAnsi="Times New Roman"/>
          <w:sz w:val="28"/>
          <w:szCs w:val="28"/>
          <w:lang w:val="en-US"/>
        </w:rPr>
        <w:t>. – 2010. – Vol. 105, №</w:t>
      </w:r>
      <w:r>
        <w:rPr>
          <w:rFonts w:ascii="Times New Roman" w:hAnsi="Times New Roman"/>
          <w:sz w:val="28"/>
          <w:szCs w:val="28"/>
          <w:lang w:val="en-US"/>
        </w:rPr>
        <w:t xml:space="preserve"> </w:t>
      </w:r>
      <w:r w:rsidRPr="0060528F">
        <w:rPr>
          <w:rFonts w:ascii="Times New Roman" w:hAnsi="Times New Roman"/>
          <w:sz w:val="28"/>
          <w:szCs w:val="28"/>
          <w:lang w:val="en-US"/>
        </w:rPr>
        <w:t>2. – P. 403-411.</w:t>
      </w:r>
    </w:p>
    <w:p w14:paraId="3031FBF3"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94</w:t>
      </w:r>
      <w:r w:rsidRPr="0060528F">
        <w:rPr>
          <w:rFonts w:ascii="Times New Roman" w:hAnsi="Times New Roman"/>
          <w:sz w:val="28"/>
          <w:szCs w:val="28"/>
          <w:lang w:val="en-US"/>
        </w:rPr>
        <w:t xml:space="preserve"> </w:t>
      </w:r>
      <w:r w:rsidRPr="00884389">
        <w:rPr>
          <w:rFonts w:ascii="Times New Roman" w:hAnsi="Times New Roman"/>
          <w:sz w:val="28"/>
          <w:szCs w:val="28"/>
          <w:lang w:val="en-US"/>
        </w:rPr>
        <w:t>Törnblom H., Van Oudenhove L., Sadik R.,</w:t>
      </w:r>
      <w:r w:rsidRPr="0060528F">
        <w:rPr>
          <w:rFonts w:ascii="Times New Roman" w:hAnsi="Times New Roman"/>
          <w:sz w:val="28"/>
          <w:szCs w:val="28"/>
          <w:lang w:val="en-US"/>
        </w:rPr>
        <w:t xml:space="preserve"> et al. Colonic Transit Time and IBS Symptoms: Whatʼs the Link? // </w:t>
      </w:r>
      <w:r w:rsidRPr="00884389">
        <w:rPr>
          <w:rFonts w:ascii="Times New Roman" w:hAnsi="Times New Roman"/>
          <w:sz w:val="28"/>
          <w:szCs w:val="28"/>
          <w:lang w:val="en-US"/>
        </w:rPr>
        <w:t>The American journal of gastroenterology</w:t>
      </w:r>
      <w:r w:rsidRPr="0060528F">
        <w:rPr>
          <w:rFonts w:ascii="Times New Roman" w:hAnsi="Times New Roman"/>
          <w:sz w:val="28"/>
          <w:szCs w:val="28"/>
          <w:lang w:val="en-US"/>
        </w:rPr>
        <w:t>. – 2012. – Vol. 107, №</w:t>
      </w:r>
      <w:r>
        <w:rPr>
          <w:rFonts w:ascii="Times New Roman" w:hAnsi="Times New Roman"/>
          <w:sz w:val="28"/>
          <w:szCs w:val="28"/>
          <w:lang w:val="en-US"/>
        </w:rPr>
        <w:t xml:space="preserve"> </w:t>
      </w:r>
      <w:r w:rsidRPr="0060528F">
        <w:rPr>
          <w:rFonts w:ascii="Times New Roman" w:hAnsi="Times New Roman"/>
          <w:sz w:val="28"/>
          <w:szCs w:val="28"/>
          <w:lang w:val="en-US"/>
        </w:rPr>
        <w:t>5. – P. 754-760.</w:t>
      </w:r>
    </w:p>
    <w:p w14:paraId="089B70B9"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95</w:t>
      </w:r>
      <w:r w:rsidRPr="0060528F">
        <w:rPr>
          <w:rFonts w:ascii="Times New Roman" w:hAnsi="Times New Roman"/>
          <w:sz w:val="28"/>
          <w:szCs w:val="28"/>
          <w:lang w:val="en-US"/>
        </w:rPr>
        <w:t xml:space="preserve"> </w:t>
      </w:r>
      <w:r w:rsidRPr="00884389">
        <w:rPr>
          <w:rFonts w:ascii="Times New Roman" w:hAnsi="Times New Roman"/>
          <w:sz w:val="28"/>
          <w:szCs w:val="28"/>
          <w:lang w:val="en-US"/>
        </w:rPr>
        <w:t>Dulal S., Keku T.O.</w:t>
      </w:r>
      <w:r w:rsidRPr="0060528F">
        <w:rPr>
          <w:rFonts w:ascii="Times New Roman" w:hAnsi="Times New Roman"/>
          <w:sz w:val="28"/>
          <w:szCs w:val="28"/>
          <w:lang w:val="en-US"/>
        </w:rPr>
        <w:t xml:space="preserve"> Gut microbiome and colorectal adenomas // </w:t>
      </w:r>
      <w:r w:rsidRPr="00884389">
        <w:rPr>
          <w:rFonts w:ascii="Times New Roman" w:hAnsi="Times New Roman"/>
          <w:sz w:val="28"/>
          <w:szCs w:val="28"/>
          <w:lang w:val="en-US"/>
        </w:rPr>
        <w:t>Cancer journal (Sudbury, Mass.)</w:t>
      </w:r>
      <w:r w:rsidRPr="0060528F">
        <w:rPr>
          <w:rFonts w:ascii="Times New Roman" w:hAnsi="Times New Roman"/>
          <w:sz w:val="28"/>
          <w:szCs w:val="28"/>
          <w:lang w:val="en-US"/>
        </w:rPr>
        <w:t>. – 2014. – Vol. 20. – P. 225-231.</w:t>
      </w:r>
    </w:p>
    <w:p w14:paraId="4E401BB5"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96</w:t>
      </w:r>
      <w:r w:rsidRPr="0060528F">
        <w:rPr>
          <w:rFonts w:ascii="Times New Roman" w:hAnsi="Times New Roman"/>
          <w:sz w:val="28"/>
          <w:szCs w:val="28"/>
          <w:lang w:val="en-US"/>
        </w:rPr>
        <w:t xml:space="preserve"> </w:t>
      </w:r>
      <w:r w:rsidRPr="00884389">
        <w:rPr>
          <w:rFonts w:ascii="Times New Roman" w:hAnsi="Times New Roman"/>
          <w:sz w:val="28"/>
          <w:szCs w:val="28"/>
          <w:lang w:val="en-US"/>
        </w:rPr>
        <w:t>Kashyap P.C., Chia N., Nelson H., Segal E., Elinav E</w:t>
      </w:r>
      <w:r w:rsidRPr="0060528F">
        <w:rPr>
          <w:rFonts w:ascii="Times New Roman" w:hAnsi="Times New Roman"/>
          <w:sz w:val="28"/>
          <w:szCs w:val="28"/>
          <w:lang w:val="en-US"/>
        </w:rPr>
        <w:t xml:space="preserve">. Microbiome at the frontier of personalized medicine // </w:t>
      </w:r>
      <w:r w:rsidRPr="00884389">
        <w:rPr>
          <w:rFonts w:ascii="Times New Roman" w:hAnsi="Times New Roman"/>
          <w:sz w:val="28"/>
          <w:szCs w:val="28"/>
          <w:lang w:val="en-US"/>
        </w:rPr>
        <w:t>Mayo Clinic proceedings</w:t>
      </w:r>
      <w:r w:rsidRPr="0060528F">
        <w:rPr>
          <w:rFonts w:ascii="Times New Roman" w:hAnsi="Times New Roman"/>
          <w:sz w:val="28"/>
          <w:szCs w:val="28"/>
          <w:lang w:val="en-US"/>
        </w:rPr>
        <w:t>. – 2017. – Vol. 92</w:t>
      </w:r>
      <w:r>
        <w:rPr>
          <w:rFonts w:ascii="Times New Roman" w:hAnsi="Times New Roman"/>
          <w:sz w:val="28"/>
          <w:szCs w:val="28"/>
          <w:lang w:val="en-US"/>
        </w:rPr>
        <w:t>,</w:t>
      </w:r>
      <w:r w:rsidRPr="0060528F">
        <w:rPr>
          <w:rFonts w:ascii="Times New Roman" w:hAnsi="Times New Roman"/>
          <w:sz w:val="28"/>
          <w:szCs w:val="28"/>
          <w:lang w:val="en-US"/>
        </w:rPr>
        <w:t xml:space="preserve"> №</w:t>
      </w:r>
      <w:r>
        <w:rPr>
          <w:rFonts w:ascii="Times New Roman" w:hAnsi="Times New Roman"/>
          <w:sz w:val="28"/>
          <w:szCs w:val="28"/>
          <w:lang w:val="en-US"/>
        </w:rPr>
        <w:t xml:space="preserve"> 12</w:t>
      </w:r>
      <w:r w:rsidRPr="0060528F">
        <w:rPr>
          <w:rFonts w:ascii="Times New Roman" w:hAnsi="Times New Roman"/>
          <w:sz w:val="28"/>
          <w:szCs w:val="28"/>
          <w:lang w:val="en-US"/>
        </w:rPr>
        <w:t>. – P. 1855-1864.</w:t>
      </w:r>
    </w:p>
    <w:p w14:paraId="0C73D8EE"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97</w:t>
      </w:r>
      <w:r w:rsidRPr="0060528F">
        <w:rPr>
          <w:rFonts w:ascii="Times New Roman" w:hAnsi="Times New Roman"/>
          <w:sz w:val="28"/>
          <w:szCs w:val="28"/>
          <w:lang w:val="en-US"/>
        </w:rPr>
        <w:t xml:space="preserve"> </w:t>
      </w:r>
      <w:r w:rsidRPr="00574AA0">
        <w:rPr>
          <w:rFonts w:ascii="Times New Roman" w:hAnsi="Times New Roman"/>
          <w:sz w:val="28"/>
          <w:szCs w:val="28"/>
          <w:lang w:val="en-US"/>
        </w:rPr>
        <w:t>Zackular J.P., Baxter N.T., Chen G.Y., Schloss P.D</w:t>
      </w:r>
      <w:r w:rsidRPr="0060528F">
        <w:rPr>
          <w:rFonts w:ascii="Times New Roman" w:hAnsi="Times New Roman"/>
          <w:sz w:val="28"/>
          <w:szCs w:val="28"/>
          <w:lang w:val="en-US"/>
        </w:rPr>
        <w:t>. Manipulation of the gut microbiota reveals role in colon tumorigenesis // mSphere. – 2015. – Vol. 1</w:t>
      </w:r>
      <w:r>
        <w:rPr>
          <w:rFonts w:ascii="Times New Roman" w:hAnsi="Times New Roman"/>
          <w:sz w:val="28"/>
          <w:szCs w:val="28"/>
          <w:lang w:val="en-US"/>
        </w:rPr>
        <w:t>,</w:t>
      </w:r>
      <w:r w:rsidRPr="0060528F">
        <w:rPr>
          <w:rFonts w:ascii="Times New Roman" w:hAnsi="Times New Roman"/>
          <w:sz w:val="28"/>
          <w:szCs w:val="28"/>
          <w:lang w:val="en-US"/>
        </w:rPr>
        <w:t xml:space="preserve"> №</w:t>
      </w:r>
      <w:r>
        <w:rPr>
          <w:rFonts w:ascii="Times New Roman" w:hAnsi="Times New Roman"/>
          <w:sz w:val="28"/>
          <w:szCs w:val="28"/>
          <w:lang w:val="en-US"/>
        </w:rPr>
        <w:t xml:space="preserve"> 1</w:t>
      </w:r>
      <w:r w:rsidRPr="0060528F">
        <w:rPr>
          <w:rFonts w:ascii="Times New Roman" w:hAnsi="Times New Roman"/>
          <w:sz w:val="28"/>
          <w:szCs w:val="28"/>
          <w:lang w:val="en-US"/>
        </w:rPr>
        <w:t>. – P.</w:t>
      </w:r>
      <w:r w:rsidRPr="00A26357">
        <w:rPr>
          <w:rFonts w:ascii="Times New Roman" w:hAnsi="Times New Roman"/>
          <w:sz w:val="28"/>
          <w:szCs w:val="28"/>
          <w:lang w:val="en-US"/>
        </w:rPr>
        <w:t xml:space="preserve"> </w:t>
      </w:r>
      <w:r w:rsidRPr="0060528F">
        <w:rPr>
          <w:rFonts w:ascii="Times New Roman" w:hAnsi="Times New Roman"/>
          <w:sz w:val="28"/>
          <w:szCs w:val="28"/>
          <w:lang w:val="en-US"/>
        </w:rPr>
        <w:t> 1-15.</w:t>
      </w:r>
    </w:p>
    <w:p w14:paraId="5355E4B2"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60528F">
        <w:rPr>
          <w:rFonts w:ascii="Times New Roman" w:hAnsi="Times New Roman"/>
          <w:sz w:val="28"/>
          <w:szCs w:val="28"/>
          <w:lang w:val="en-US"/>
        </w:rPr>
        <w:t>1</w:t>
      </w:r>
      <w:r w:rsidRPr="003870CC">
        <w:rPr>
          <w:rFonts w:ascii="Times New Roman" w:hAnsi="Times New Roman"/>
          <w:sz w:val="28"/>
          <w:szCs w:val="28"/>
          <w:lang w:val="en-US"/>
        </w:rPr>
        <w:t>9</w:t>
      </w:r>
      <w:r w:rsidRPr="000A1D06">
        <w:rPr>
          <w:rFonts w:ascii="Times New Roman" w:hAnsi="Times New Roman"/>
          <w:sz w:val="28"/>
          <w:szCs w:val="28"/>
          <w:lang w:val="en-US"/>
        </w:rPr>
        <w:t>8</w:t>
      </w:r>
      <w:r w:rsidRPr="0060528F">
        <w:rPr>
          <w:rFonts w:ascii="Times New Roman" w:hAnsi="Times New Roman"/>
          <w:sz w:val="28"/>
          <w:szCs w:val="28"/>
          <w:lang w:val="en-US"/>
        </w:rPr>
        <w:t xml:space="preserve"> </w:t>
      </w:r>
      <w:r w:rsidRPr="00574AA0">
        <w:rPr>
          <w:rFonts w:ascii="Times New Roman" w:hAnsi="Times New Roman"/>
          <w:sz w:val="28"/>
          <w:szCs w:val="28"/>
          <w:lang w:val="en-US"/>
        </w:rPr>
        <w:t>Peters B.A., Dominianni C., Shapiro J.A.,</w:t>
      </w:r>
      <w:r w:rsidRPr="0060528F">
        <w:rPr>
          <w:rFonts w:ascii="Times New Roman" w:hAnsi="Times New Roman"/>
          <w:sz w:val="28"/>
          <w:szCs w:val="28"/>
          <w:lang w:val="en-US"/>
        </w:rPr>
        <w:t xml:space="preserve"> et al. The gut microbiota in conventional and serrated precursors of colorectal cancer // Microbiome. – 2016. – Vol.</w:t>
      </w:r>
      <w:r w:rsidRPr="00A26357">
        <w:rPr>
          <w:rFonts w:ascii="Times New Roman" w:hAnsi="Times New Roman"/>
          <w:sz w:val="28"/>
          <w:szCs w:val="28"/>
          <w:lang w:val="en-US"/>
        </w:rPr>
        <w:t xml:space="preserve"> </w:t>
      </w:r>
      <w:r w:rsidRPr="0060528F">
        <w:rPr>
          <w:rFonts w:ascii="Times New Roman" w:hAnsi="Times New Roman"/>
          <w:sz w:val="28"/>
          <w:szCs w:val="28"/>
          <w:lang w:val="en-US"/>
        </w:rPr>
        <w:t> 4</w:t>
      </w:r>
      <w:r>
        <w:rPr>
          <w:rFonts w:ascii="Times New Roman" w:hAnsi="Times New Roman"/>
          <w:sz w:val="28"/>
          <w:szCs w:val="28"/>
          <w:lang w:val="en-US"/>
        </w:rPr>
        <w:t>,</w:t>
      </w:r>
      <w:r w:rsidRPr="0060528F">
        <w:rPr>
          <w:rFonts w:ascii="Times New Roman" w:hAnsi="Times New Roman"/>
          <w:sz w:val="28"/>
          <w:szCs w:val="28"/>
          <w:lang w:val="en-US"/>
        </w:rPr>
        <w:t xml:space="preserve"> №</w:t>
      </w:r>
      <w:r>
        <w:rPr>
          <w:rFonts w:ascii="Times New Roman" w:hAnsi="Times New Roman"/>
          <w:sz w:val="28"/>
          <w:szCs w:val="28"/>
          <w:lang w:val="en-US"/>
        </w:rPr>
        <w:t xml:space="preserve"> 1</w:t>
      </w:r>
      <w:r w:rsidRPr="0060528F">
        <w:rPr>
          <w:rFonts w:ascii="Times New Roman" w:hAnsi="Times New Roman"/>
          <w:sz w:val="28"/>
          <w:szCs w:val="28"/>
          <w:lang w:val="en-US"/>
        </w:rPr>
        <w:t>. – P. 1-69.</w:t>
      </w:r>
    </w:p>
    <w:p w14:paraId="21337062"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60528F">
        <w:rPr>
          <w:rFonts w:ascii="Times New Roman" w:hAnsi="Times New Roman"/>
          <w:sz w:val="28"/>
          <w:szCs w:val="28"/>
          <w:lang w:val="en-US"/>
        </w:rPr>
        <w:t>1</w:t>
      </w:r>
      <w:r w:rsidRPr="00C954CB">
        <w:rPr>
          <w:rFonts w:ascii="Times New Roman" w:hAnsi="Times New Roman"/>
          <w:sz w:val="28"/>
          <w:szCs w:val="28"/>
          <w:lang w:val="en-US"/>
        </w:rPr>
        <w:t>99</w:t>
      </w:r>
      <w:r w:rsidRPr="0060528F">
        <w:rPr>
          <w:rFonts w:ascii="Times New Roman" w:hAnsi="Times New Roman"/>
          <w:sz w:val="28"/>
          <w:szCs w:val="28"/>
          <w:lang w:val="en-US"/>
        </w:rPr>
        <w:t xml:space="preserve"> </w:t>
      </w:r>
      <w:r w:rsidRPr="00574AA0">
        <w:rPr>
          <w:rFonts w:ascii="Times New Roman" w:hAnsi="Times New Roman"/>
          <w:sz w:val="28"/>
          <w:szCs w:val="28"/>
          <w:lang w:val="en-US"/>
        </w:rPr>
        <w:t>Chen J., Pitmon E., Wang K</w:t>
      </w:r>
      <w:r w:rsidRPr="0060528F">
        <w:rPr>
          <w:rFonts w:ascii="Times New Roman" w:hAnsi="Times New Roman"/>
          <w:sz w:val="28"/>
          <w:szCs w:val="28"/>
          <w:lang w:val="en-US"/>
        </w:rPr>
        <w:t xml:space="preserve">. Microbiome, inflammation and colorectal cancer // </w:t>
      </w:r>
      <w:r w:rsidRPr="00574AA0">
        <w:rPr>
          <w:rFonts w:ascii="Times New Roman" w:hAnsi="Times New Roman"/>
          <w:sz w:val="28"/>
          <w:szCs w:val="28"/>
          <w:lang w:val="en-US"/>
        </w:rPr>
        <w:t>Seminars in immunology</w:t>
      </w:r>
      <w:r w:rsidRPr="0060528F">
        <w:rPr>
          <w:rFonts w:ascii="Times New Roman" w:hAnsi="Times New Roman"/>
          <w:sz w:val="28"/>
          <w:szCs w:val="28"/>
          <w:lang w:val="en-US"/>
        </w:rPr>
        <w:t>. – 2017. – Vol. 32. – P. 43-53.</w:t>
      </w:r>
    </w:p>
    <w:p w14:paraId="4D6B32C5"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C954CB">
        <w:rPr>
          <w:rFonts w:ascii="Times New Roman" w:hAnsi="Times New Roman"/>
          <w:sz w:val="28"/>
          <w:szCs w:val="28"/>
          <w:lang w:val="en-US"/>
        </w:rPr>
        <w:t>200</w:t>
      </w:r>
      <w:r w:rsidRPr="0060528F">
        <w:rPr>
          <w:rFonts w:ascii="Times New Roman" w:hAnsi="Times New Roman"/>
          <w:sz w:val="28"/>
          <w:szCs w:val="28"/>
          <w:lang w:val="en-US"/>
        </w:rPr>
        <w:t xml:space="preserve"> </w:t>
      </w:r>
      <w:r w:rsidRPr="00A26357">
        <w:rPr>
          <w:rFonts w:ascii="Times New Roman" w:hAnsi="Times New Roman"/>
          <w:sz w:val="28"/>
          <w:szCs w:val="28"/>
          <w:lang w:val="en-US"/>
        </w:rPr>
        <w:t>Gagnière J., Raisch J., Veziant J.,</w:t>
      </w:r>
      <w:r>
        <w:rPr>
          <w:rFonts w:ascii="Times New Roman" w:hAnsi="Times New Roman"/>
          <w:sz w:val="28"/>
          <w:szCs w:val="28"/>
          <w:lang w:val="kk-KZ"/>
        </w:rPr>
        <w:t xml:space="preserve"> </w:t>
      </w:r>
      <w:r>
        <w:rPr>
          <w:rFonts w:ascii="Times New Roman" w:hAnsi="Times New Roman"/>
          <w:sz w:val="28"/>
          <w:szCs w:val="28"/>
          <w:lang w:val="en-US"/>
        </w:rPr>
        <w:t>et al.</w:t>
      </w:r>
      <w:r w:rsidRPr="0060528F">
        <w:rPr>
          <w:rFonts w:ascii="Times New Roman" w:hAnsi="Times New Roman"/>
          <w:sz w:val="28"/>
          <w:szCs w:val="28"/>
          <w:lang w:val="en-US"/>
        </w:rPr>
        <w:t xml:space="preserve"> </w:t>
      </w:r>
      <w:r w:rsidRPr="00A26357">
        <w:rPr>
          <w:rFonts w:ascii="Times New Roman" w:hAnsi="Times New Roman"/>
          <w:sz w:val="28"/>
          <w:szCs w:val="28"/>
          <w:lang w:val="en-US"/>
        </w:rPr>
        <w:t>Gut microbiota imbalance and colorectal cancer</w:t>
      </w:r>
      <w:r w:rsidRPr="0060528F">
        <w:rPr>
          <w:rFonts w:ascii="Times New Roman" w:hAnsi="Times New Roman"/>
          <w:sz w:val="28"/>
          <w:szCs w:val="28"/>
          <w:lang w:val="en-US"/>
        </w:rPr>
        <w:t xml:space="preserve"> // </w:t>
      </w:r>
      <w:r w:rsidRPr="00A26357">
        <w:rPr>
          <w:rFonts w:ascii="Times New Roman" w:hAnsi="Times New Roman"/>
          <w:sz w:val="28"/>
          <w:szCs w:val="28"/>
          <w:lang w:val="en-US"/>
        </w:rPr>
        <w:t>World journal of gastroenterology</w:t>
      </w:r>
      <w:r w:rsidRPr="0060528F">
        <w:rPr>
          <w:rFonts w:ascii="Times New Roman" w:hAnsi="Times New Roman"/>
          <w:sz w:val="28"/>
          <w:szCs w:val="28"/>
          <w:lang w:val="en-US"/>
        </w:rPr>
        <w:t>. – 201</w:t>
      </w:r>
      <w:r>
        <w:rPr>
          <w:rFonts w:ascii="Times New Roman" w:hAnsi="Times New Roman"/>
          <w:sz w:val="28"/>
          <w:szCs w:val="28"/>
          <w:lang w:val="en-US"/>
        </w:rPr>
        <w:t>6</w:t>
      </w:r>
      <w:r w:rsidRPr="0060528F">
        <w:rPr>
          <w:rFonts w:ascii="Times New Roman" w:hAnsi="Times New Roman"/>
          <w:sz w:val="28"/>
          <w:szCs w:val="28"/>
          <w:lang w:val="en-US"/>
        </w:rPr>
        <w:t>. – Vol. 2</w:t>
      </w:r>
      <w:r>
        <w:rPr>
          <w:rFonts w:ascii="Times New Roman" w:hAnsi="Times New Roman"/>
          <w:sz w:val="28"/>
          <w:szCs w:val="28"/>
          <w:lang w:val="en-US"/>
        </w:rPr>
        <w:t>2,</w:t>
      </w:r>
      <w:r w:rsidRPr="0060528F">
        <w:rPr>
          <w:rFonts w:ascii="Times New Roman" w:hAnsi="Times New Roman"/>
          <w:sz w:val="28"/>
          <w:szCs w:val="28"/>
          <w:lang w:val="en-US"/>
        </w:rPr>
        <w:t xml:space="preserve"> №</w:t>
      </w:r>
      <w:r>
        <w:rPr>
          <w:rFonts w:ascii="Times New Roman" w:hAnsi="Times New Roman"/>
          <w:sz w:val="28"/>
          <w:szCs w:val="28"/>
          <w:lang w:val="en-US"/>
        </w:rPr>
        <w:t xml:space="preserve"> 2</w:t>
      </w:r>
      <w:r w:rsidRPr="0060528F">
        <w:rPr>
          <w:rFonts w:ascii="Times New Roman" w:hAnsi="Times New Roman"/>
          <w:sz w:val="28"/>
          <w:szCs w:val="28"/>
          <w:lang w:val="en-US"/>
        </w:rPr>
        <w:t>. – P.</w:t>
      </w:r>
      <w:r w:rsidRPr="00A26357">
        <w:rPr>
          <w:rFonts w:ascii="Times New Roman" w:hAnsi="Times New Roman"/>
          <w:sz w:val="28"/>
          <w:szCs w:val="28"/>
          <w:lang w:val="en-US"/>
        </w:rPr>
        <w:t xml:space="preserve"> </w:t>
      </w:r>
      <w:r w:rsidRPr="0060528F">
        <w:rPr>
          <w:rFonts w:ascii="Times New Roman" w:hAnsi="Times New Roman"/>
          <w:sz w:val="28"/>
          <w:szCs w:val="28"/>
          <w:lang w:val="en-US"/>
        </w:rPr>
        <w:t> </w:t>
      </w:r>
      <w:r>
        <w:rPr>
          <w:rFonts w:ascii="Times New Roman" w:hAnsi="Times New Roman"/>
          <w:sz w:val="28"/>
          <w:szCs w:val="28"/>
          <w:lang w:val="en-US"/>
        </w:rPr>
        <w:t>501</w:t>
      </w:r>
      <w:r w:rsidRPr="0060528F">
        <w:rPr>
          <w:rFonts w:ascii="Times New Roman" w:hAnsi="Times New Roman"/>
          <w:sz w:val="28"/>
          <w:szCs w:val="28"/>
          <w:lang w:val="en-US"/>
        </w:rPr>
        <w:t>-</w:t>
      </w:r>
      <w:r>
        <w:rPr>
          <w:rFonts w:ascii="Times New Roman" w:hAnsi="Times New Roman"/>
          <w:sz w:val="28"/>
          <w:szCs w:val="28"/>
          <w:lang w:val="en-US"/>
        </w:rPr>
        <w:t>518</w:t>
      </w:r>
      <w:r w:rsidRPr="0060528F">
        <w:rPr>
          <w:rFonts w:ascii="Times New Roman" w:hAnsi="Times New Roman"/>
          <w:sz w:val="28"/>
          <w:szCs w:val="28"/>
          <w:lang w:val="en-US"/>
        </w:rPr>
        <w:t>.</w:t>
      </w:r>
    </w:p>
    <w:p w14:paraId="2487A13C"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C954CB">
        <w:rPr>
          <w:rFonts w:ascii="Times New Roman" w:hAnsi="Times New Roman"/>
          <w:sz w:val="28"/>
          <w:szCs w:val="28"/>
          <w:lang w:val="en-US"/>
        </w:rPr>
        <w:t>201</w:t>
      </w:r>
      <w:r w:rsidRPr="0060528F">
        <w:rPr>
          <w:rFonts w:ascii="Times New Roman" w:hAnsi="Times New Roman"/>
          <w:sz w:val="28"/>
          <w:szCs w:val="28"/>
          <w:lang w:val="en-US"/>
        </w:rPr>
        <w:t xml:space="preserve"> </w:t>
      </w:r>
      <w:r w:rsidRPr="00A26357">
        <w:rPr>
          <w:rFonts w:ascii="Times New Roman" w:hAnsi="Times New Roman"/>
          <w:sz w:val="28"/>
          <w:szCs w:val="28"/>
          <w:lang w:val="en-US"/>
        </w:rPr>
        <w:t>Lucas C., Barnich N., Nguyen H</w:t>
      </w:r>
      <w:r w:rsidRPr="0060528F">
        <w:rPr>
          <w:rFonts w:ascii="Times New Roman" w:hAnsi="Times New Roman"/>
          <w:sz w:val="28"/>
          <w:szCs w:val="28"/>
          <w:lang w:val="en-US"/>
        </w:rPr>
        <w:t xml:space="preserve">. </w:t>
      </w:r>
      <w:r w:rsidRPr="00A26357">
        <w:rPr>
          <w:rFonts w:ascii="Times New Roman" w:hAnsi="Times New Roman"/>
          <w:sz w:val="28"/>
          <w:szCs w:val="28"/>
          <w:lang w:val="en-US"/>
        </w:rPr>
        <w:t>Microbiota, Inflammation and Colorectal Cancer</w:t>
      </w:r>
      <w:r w:rsidRPr="0060528F">
        <w:rPr>
          <w:rFonts w:ascii="Times New Roman" w:hAnsi="Times New Roman"/>
          <w:sz w:val="28"/>
          <w:szCs w:val="28"/>
          <w:lang w:val="en-US"/>
        </w:rPr>
        <w:t xml:space="preserve"> // </w:t>
      </w:r>
      <w:r w:rsidRPr="00A26357">
        <w:rPr>
          <w:rFonts w:ascii="Times New Roman" w:hAnsi="Times New Roman"/>
          <w:sz w:val="28"/>
          <w:szCs w:val="28"/>
          <w:lang w:val="en-US"/>
        </w:rPr>
        <w:t>International journal of molecular sciences</w:t>
      </w:r>
      <w:r w:rsidRPr="0060528F">
        <w:rPr>
          <w:rFonts w:ascii="Times New Roman" w:hAnsi="Times New Roman"/>
          <w:sz w:val="28"/>
          <w:szCs w:val="28"/>
          <w:lang w:val="en-US"/>
        </w:rPr>
        <w:t xml:space="preserve">. – 2017. – Vol. </w:t>
      </w:r>
      <w:r>
        <w:rPr>
          <w:rFonts w:ascii="Times New Roman" w:hAnsi="Times New Roman"/>
          <w:sz w:val="28"/>
          <w:szCs w:val="28"/>
          <w:lang w:val="en-US"/>
        </w:rPr>
        <w:t>18,</w:t>
      </w:r>
      <w:r w:rsidRPr="0060528F">
        <w:rPr>
          <w:rFonts w:ascii="Times New Roman" w:hAnsi="Times New Roman"/>
          <w:sz w:val="28"/>
          <w:szCs w:val="28"/>
          <w:lang w:val="en-US"/>
        </w:rPr>
        <w:t xml:space="preserve"> №</w:t>
      </w:r>
      <w:r>
        <w:rPr>
          <w:rFonts w:ascii="Times New Roman" w:hAnsi="Times New Roman"/>
          <w:sz w:val="28"/>
          <w:szCs w:val="28"/>
          <w:lang w:val="en-US"/>
        </w:rPr>
        <w:t xml:space="preserve"> 6</w:t>
      </w:r>
      <w:r w:rsidRPr="0060528F">
        <w:rPr>
          <w:rFonts w:ascii="Times New Roman" w:hAnsi="Times New Roman"/>
          <w:sz w:val="28"/>
          <w:szCs w:val="28"/>
          <w:lang w:val="en-US"/>
        </w:rPr>
        <w:t>. – P.</w:t>
      </w:r>
      <w:r w:rsidRPr="00A26357">
        <w:rPr>
          <w:rFonts w:ascii="Times New Roman" w:hAnsi="Times New Roman"/>
          <w:sz w:val="28"/>
          <w:szCs w:val="28"/>
          <w:lang w:val="en-US"/>
        </w:rPr>
        <w:t xml:space="preserve"> </w:t>
      </w:r>
      <w:r w:rsidRPr="0060528F">
        <w:rPr>
          <w:rFonts w:ascii="Times New Roman" w:hAnsi="Times New Roman"/>
          <w:sz w:val="28"/>
          <w:szCs w:val="28"/>
          <w:lang w:val="en-US"/>
        </w:rPr>
        <w:t> </w:t>
      </w:r>
      <w:r>
        <w:rPr>
          <w:rFonts w:ascii="Times New Roman" w:hAnsi="Times New Roman"/>
          <w:sz w:val="28"/>
          <w:szCs w:val="28"/>
          <w:lang w:val="en-US"/>
        </w:rPr>
        <w:t>1310</w:t>
      </w:r>
      <w:r w:rsidRPr="0060528F">
        <w:rPr>
          <w:rFonts w:ascii="Times New Roman" w:hAnsi="Times New Roman"/>
          <w:sz w:val="28"/>
          <w:szCs w:val="28"/>
          <w:lang w:val="en-US"/>
        </w:rPr>
        <w:t>-</w:t>
      </w:r>
      <w:r>
        <w:rPr>
          <w:rFonts w:ascii="Times New Roman" w:hAnsi="Times New Roman"/>
          <w:sz w:val="28"/>
          <w:szCs w:val="28"/>
          <w:lang w:val="en-US"/>
        </w:rPr>
        <w:t>1314</w:t>
      </w:r>
      <w:r w:rsidRPr="0060528F">
        <w:rPr>
          <w:rFonts w:ascii="Times New Roman" w:hAnsi="Times New Roman"/>
          <w:sz w:val="28"/>
          <w:szCs w:val="28"/>
          <w:lang w:val="en-US"/>
        </w:rPr>
        <w:t>.</w:t>
      </w:r>
    </w:p>
    <w:p w14:paraId="02414355"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3870CC">
        <w:rPr>
          <w:rFonts w:ascii="Times New Roman" w:hAnsi="Times New Roman"/>
          <w:sz w:val="28"/>
          <w:szCs w:val="28"/>
          <w:lang w:val="en-US"/>
        </w:rPr>
        <w:t>20</w:t>
      </w:r>
      <w:r w:rsidRPr="000A1D06">
        <w:rPr>
          <w:rFonts w:ascii="Times New Roman" w:hAnsi="Times New Roman"/>
          <w:sz w:val="28"/>
          <w:szCs w:val="28"/>
          <w:lang w:val="en-US"/>
        </w:rPr>
        <w:t>2</w:t>
      </w:r>
      <w:r w:rsidRPr="0060528F">
        <w:rPr>
          <w:rFonts w:ascii="Times New Roman" w:hAnsi="Times New Roman"/>
          <w:sz w:val="28"/>
          <w:szCs w:val="28"/>
          <w:lang w:val="en-US"/>
        </w:rPr>
        <w:t xml:space="preserve"> Garrett W.S. Cancer and the microbiota // Science. – 2015. – Vol. 348. – P. 80-86.</w:t>
      </w:r>
    </w:p>
    <w:p w14:paraId="1CC0C0C3"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C954CB">
        <w:rPr>
          <w:rFonts w:ascii="Times New Roman" w:hAnsi="Times New Roman"/>
          <w:sz w:val="28"/>
          <w:szCs w:val="28"/>
          <w:lang w:val="en-US"/>
        </w:rPr>
        <w:t>203</w:t>
      </w:r>
      <w:r w:rsidRPr="0060528F">
        <w:rPr>
          <w:rFonts w:ascii="Times New Roman" w:hAnsi="Times New Roman"/>
          <w:sz w:val="28"/>
          <w:szCs w:val="28"/>
          <w:lang w:val="en-US"/>
        </w:rPr>
        <w:t xml:space="preserve"> </w:t>
      </w:r>
      <w:r w:rsidRPr="00E27B82">
        <w:rPr>
          <w:rFonts w:ascii="Times New Roman" w:hAnsi="Times New Roman"/>
          <w:sz w:val="28"/>
          <w:szCs w:val="28"/>
          <w:lang w:val="en-US"/>
        </w:rPr>
        <w:t>Rubinstein M.R., Wang X., Liu W.,</w:t>
      </w:r>
      <w:r w:rsidRPr="0060528F">
        <w:rPr>
          <w:rFonts w:ascii="Times New Roman" w:hAnsi="Times New Roman"/>
          <w:sz w:val="28"/>
          <w:szCs w:val="28"/>
          <w:lang w:val="en-US"/>
        </w:rPr>
        <w:t xml:space="preserve"> et al. Fusobacterium nucleatum promotes colorectal carcinogenesis by modulating E-Cadherin/b-Catenin signaling via its FadA adhesin // </w:t>
      </w:r>
      <w:r w:rsidRPr="000818B6">
        <w:rPr>
          <w:rFonts w:ascii="Times New Roman" w:hAnsi="Times New Roman"/>
          <w:sz w:val="28"/>
          <w:szCs w:val="28"/>
          <w:lang w:val="en-US"/>
        </w:rPr>
        <w:t>Cell host &amp; microbe</w:t>
      </w:r>
      <w:r w:rsidRPr="0060528F">
        <w:rPr>
          <w:rFonts w:ascii="Times New Roman" w:hAnsi="Times New Roman"/>
          <w:sz w:val="28"/>
          <w:szCs w:val="28"/>
          <w:lang w:val="en-US"/>
        </w:rPr>
        <w:t>. – 2013. – Vol. 14</w:t>
      </w:r>
      <w:r>
        <w:rPr>
          <w:rFonts w:ascii="Times New Roman" w:hAnsi="Times New Roman"/>
          <w:sz w:val="28"/>
          <w:szCs w:val="28"/>
          <w:lang w:val="en-US"/>
        </w:rPr>
        <w:t>,</w:t>
      </w:r>
      <w:r w:rsidRPr="0060528F">
        <w:rPr>
          <w:rFonts w:ascii="Times New Roman" w:hAnsi="Times New Roman"/>
          <w:sz w:val="28"/>
          <w:szCs w:val="28"/>
          <w:lang w:val="en-US"/>
        </w:rPr>
        <w:t xml:space="preserve"> №</w:t>
      </w:r>
      <w:r>
        <w:rPr>
          <w:rFonts w:ascii="Times New Roman" w:hAnsi="Times New Roman"/>
          <w:sz w:val="28"/>
          <w:szCs w:val="28"/>
          <w:lang w:val="en-US"/>
        </w:rPr>
        <w:t xml:space="preserve"> 2</w:t>
      </w:r>
      <w:r w:rsidRPr="0060528F">
        <w:rPr>
          <w:rFonts w:ascii="Times New Roman" w:hAnsi="Times New Roman"/>
          <w:sz w:val="28"/>
          <w:szCs w:val="28"/>
          <w:lang w:val="en-US"/>
        </w:rPr>
        <w:t>. – P. 195-206.</w:t>
      </w:r>
    </w:p>
    <w:p w14:paraId="29AFCB1D"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3870CC">
        <w:rPr>
          <w:rFonts w:ascii="Times New Roman" w:hAnsi="Times New Roman"/>
          <w:sz w:val="28"/>
          <w:szCs w:val="28"/>
          <w:lang w:val="en-US"/>
        </w:rPr>
        <w:t>20</w:t>
      </w:r>
      <w:r w:rsidRPr="000A1D06">
        <w:rPr>
          <w:rFonts w:ascii="Times New Roman" w:hAnsi="Times New Roman"/>
          <w:sz w:val="28"/>
          <w:szCs w:val="28"/>
          <w:lang w:val="en-US"/>
        </w:rPr>
        <w:t>4</w:t>
      </w:r>
      <w:r w:rsidRPr="0060528F">
        <w:rPr>
          <w:rFonts w:ascii="Times New Roman" w:hAnsi="Times New Roman"/>
          <w:sz w:val="28"/>
          <w:szCs w:val="28"/>
          <w:lang w:val="en-US"/>
        </w:rPr>
        <w:t xml:space="preserve"> </w:t>
      </w:r>
      <w:r w:rsidRPr="000818B6">
        <w:rPr>
          <w:rFonts w:ascii="Times New Roman" w:hAnsi="Times New Roman"/>
          <w:sz w:val="28"/>
          <w:szCs w:val="28"/>
          <w:lang w:val="en-US"/>
        </w:rPr>
        <w:t>Kostic A.D., Chun E., Robertson L.,</w:t>
      </w:r>
      <w:r w:rsidRPr="0060528F">
        <w:rPr>
          <w:rFonts w:ascii="Times New Roman" w:hAnsi="Times New Roman"/>
          <w:sz w:val="28"/>
          <w:szCs w:val="28"/>
          <w:lang w:val="en-US"/>
        </w:rPr>
        <w:t xml:space="preserve"> et al. Fusobacterium nucleatum potentiates intestinal tumorigenesis and modulates the tumor-immune microenvironment // </w:t>
      </w:r>
      <w:r w:rsidRPr="000818B6">
        <w:rPr>
          <w:rFonts w:ascii="Times New Roman" w:hAnsi="Times New Roman"/>
          <w:sz w:val="28"/>
          <w:szCs w:val="28"/>
          <w:lang w:val="en-US"/>
        </w:rPr>
        <w:t>Cell host &amp; microbe</w:t>
      </w:r>
      <w:r w:rsidRPr="0060528F">
        <w:rPr>
          <w:rFonts w:ascii="Times New Roman" w:hAnsi="Times New Roman"/>
          <w:sz w:val="28"/>
          <w:szCs w:val="28"/>
          <w:lang w:val="en-US"/>
        </w:rPr>
        <w:t>. – 2013. – Vol. 14</w:t>
      </w:r>
      <w:r>
        <w:rPr>
          <w:rFonts w:ascii="Times New Roman" w:hAnsi="Times New Roman"/>
          <w:sz w:val="28"/>
          <w:szCs w:val="28"/>
          <w:lang w:val="en-US"/>
        </w:rPr>
        <w:t>,</w:t>
      </w:r>
      <w:r w:rsidRPr="0060528F">
        <w:rPr>
          <w:rFonts w:ascii="Times New Roman" w:hAnsi="Times New Roman"/>
          <w:sz w:val="28"/>
          <w:szCs w:val="28"/>
          <w:lang w:val="en-US"/>
        </w:rPr>
        <w:t xml:space="preserve"> №</w:t>
      </w:r>
      <w:r>
        <w:rPr>
          <w:rFonts w:ascii="Times New Roman" w:hAnsi="Times New Roman"/>
          <w:sz w:val="28"/>
          <w:szCs w:val="28"/>
          <w:lang w:val="en-US"/>
        </w:rPr>
        <w:t xml:space="preserve"> 2</w:t>
      </w:r>
      <w:r w:rsidRPr="0060528F">
        <w:rPr>
          <w:rFonts w:ascii="Times New Roman" w:hAnsi="Times New Roman"/>
          <w:sz w:val="28"/>
          <w:szCs w:val="28"/>
          <w:lang w:val="en-US"/>
        </w:rPr>
        <w:t>. – P. 207-215.</w:t>
      </w:r>
    </w:p>
    <w:p w14:paraId="580FF2F2"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C954CB">
        <w:rPr>
          <w:rFonts w:ascii="Times New Roman" w:hAnsi="Times New Roman"/>
          <w:sz w:val="28"/>
          <w:szCs w:val="28"/>
          <w:lang w:val="en-US"/>
        </w:rPr>
        <w:t>205</w:t>
      </w:r>
      <w:r w:rsidRPr="0060528F">
        <w:rPr>
          <w:rFonts w:ascii="Times New Roman" w:hAnsi="Times New Roman"/>
          <w:sz w:val="28"/>
          <w:szCs w:val="28"/>
          <w:lang w:val="en-US"/>
        </w:rPr>
        <w:t xml:space="preserve"> </w:t>
      </w:r>
      <w:r w:rsidRPr="000818B6">
        <w:rPr>
          <w:rFonts w:ascii="Times New Roman" w:hAnsi="Times New Roman"/>
          <w:sz w:val="28"/>
          <w:szCs w:val="28"/>
          <w:lang w:val="en-US"/>
        </w:rPr>
        <w:t>Tilg H., Adolph T.E., Gerner R.R., Moschen A.R</w:t>
      </w:r>
      <w:r w:rsidRPr="0060528F">
        <w:rPr>
          <w:rFonts w:ascii="Times New Roman" w:hAnsi="Times New Roman"/>
          <w:sz w:val="28"/>
          <w:szCs w:val="28"/>
          <w:lang w:val="en-US"/>
        </w:rPr>
        <w:t>. The intestinal microbiota in colorectal cancer // Cancer Cell. – 2018. – Vol. 33</w:t>
      </w:r>
      <w:r>
        <w:rPr>
          <w:rFonts w:ascii="Times New Roman" w:hAnsi="Times New Roman"/>
          <w:sz w:val="28"/>
          <w:szCs w:val="28"/>
          <w:lang w:val="en-US"/>
        </w:rPr>
        <w:t>,</w:t>
      </w:r>
      <w:r w:rsidRPr="0060528F">
        <w:rPr>
          <w:rFonts w:ascii="Times New Roman" w:hAnsi="Times New Roman"/>
          <w:sz w:val="28"/>
          <w:szCs w:val="28"/>
          <w:lang w:val="en-US"/>
        </w:rPr>
        <w:t xml:space="preserve"> №</w:t>
      </w:r>
      <w:r>
        <w:rPr>
          <w:rFonts w:ascii="Times New Roman" w:hAnsi="Times New Roman"/>
          <w:sz w:val="28"/>
          <w:szCs w:val="28"/>
          <w:lang w:val="en-US"/>
        </w:rPr>
        <w:t xml:space="preserve"> 6</w:t>
      </w:r>
      <w:r w:rsidRPr="0060528F">
        <w:rPr>
          <w:rFonts w:ascii="Times New Roman" w:hAnsi="Times New Roman"/>
          <w:sz w:val="28"/>
          <w:szCs w:val="28"/>
          <w:lang w:val="en-US"/>
        </w:rPr>
        <w:t>. – P. 954-964.</w:t>
      </w:r>
    </w:p>
    <w:p w14:paraId="76E81ED4" w14:textId="77777777" w:rsidR="00BB318A" w:rsidRPr="0060528F" w:rsidRDefault="00BB318A" w:rsidP="00BB318A">
      <w:pPr>
        <w:spacing w:after="0" w:line="240" w:lineRule="auto"/>
        <w:ind w:firstLine="567"/>
        <w:jc w:val="both"/>
        <w:rPr>
          <w:rFonts w:ascii="Times New Roman" w:hAnsi="Times New Roman"/>
          <w:sz w:val="28"/>
          <w:szCs w:val="28"/>
          <w:lang w:val="kk-KZ"/>
        </w:rPr>
      </w:pPr>
      <w:r w:rsidRPr="000A1D06">
        <w:rPr>
          <w:rFonts w:ascii="Times New Roman" w:hAnsi="Times New Roman"/>
          <w:sz w:val="28"/>
          <w:szCs w:val="28"/>
          <w:lang w:val="en-US"/>
        </w:rPr>
        <w:t>206</w:t>
      </w:r>
      <w:r w:rsidRPr="0060528F">
        <w:rPr>
          <w:rFonts w:ascii="Times New Roman" w:hAnsi="Times New Roman"/>
          <w:sz w:val="28"/>
          <w:szCs w:val="28"/>
          <w:lang w:val="kk-KZ"/>
        </w:rPr>
        <w:t xml:space="preserve"> </w:t>
      </w:r>
      <w:r w:rsidRPr="000818B6">
        <w:rPr>
          <w:rFonts w:ascii="Times New Roman" w:hAnsi="Times New Roman"/>
          <w:sz w:val="28"/>
          <w:szCs w:val="28"/>
          <w:lang w:val="kk-KZ"/>
        </w:rPr>
        <w:t>Colov E.P., Degett T.H., Raskov H., Gögenur I</w:t>
      </w:r>
      <w:r w:rsidRPr="0060528F">
        <w:rPr>
          <w:rFonts w:ascii="Times New Roman" w:hAnsi="Times New Roman"/>
          <w:sz w:val="28"/>
          <w:szCs w:val="28"/>
          <w:lang w:val="en-US"/>
        </w:rPr>
        <w:t xml:space="preserve">. </w:t>
      </w:r>
      <w:r w:rsidRPr="0060528F">
        <w:rPr>
          <w:rFonts w:ascii="Times New Roman" w:hAnsi="Times New Roman"/>
          <w:sz w:val="28"/>
          <w:szCs w:val="28"/>
          <w:lang w:val="kk-KZ"/>
        </w:rPr>
        <w:t xml:space="preserve">The impact of the gut microbiota on prognosis after surgery for colorectal cancer – a systematic review and meta-analysis </w:t>
      </w:r>
      <w:r w:rsidRPr="0060528F">
        <w:rPr>
          <w:rFonts w:ascii="Times New Roman" w:hAnsi="Times New Roman"/>
          <w:sz w:val="28"/>
          <w:szCs w:val="28"/>
          <w:lang w:val="en-US"/>
        </w:rPr>
        <w:t>//</w:t>
      </w:r>
      <w:r w:rsidRPr="0060528F">
        <w:rPr>
          <w:rFonts w:ascii="Times New Roman" w:hAnsi="Times New Roman"/>
          <w:sz w:val="28"/>
          <w:szCs w:val="28"/>
          <w:lang w:val="kk-KZ"/>
        </w:rPr>
        <w:t xml:space="preserve"> </w:t>
      </w:r>
      <w:r w:rsidRPr="000818B6">
        <w:rPr>
          <w:rFonts w:ascii="Times New Roman" w:hAnsi="Times New Roman"/>
          <w:sz w:val="28"/>
          <w:szCs w:val="28"/>
          <w:lang w:val="kk-KZ"/>
        </w:rPr>
        <w:t>APMIS: acta pathologica, microbiologica, et immunologica Scandinavica</w:t>
      </w:r>
      <w:r w:rsidRPr="0060528F">
        <w:rPr>
          <w:rFonts w:ascii="Times New Roman" w:hAnsi="Times New Roman"/>
          <w:sz w:val="28"/>
          <w:szCs w:val="28"/>
          <w:lang w:val="en-US"/>
        </w:rPr>
        <w:t>. –</w:t>
      </w:r>
      <w:r w:rsidRPr="0060528F">
        <w:rPr>
          <w:rFonts w:ascii="Times New Roman" w:hAnsi="Times New Roman"/>
          <w:sz w:val="28"/>
          <w:szCs w:val="28"/>
          <w:lang w:val="kk-KZ"/>
        </w:rPr>
        <w:t xml:space="preserve"> 2020</w:t>
      </w:r>
      <w:r w:rsidRPr="0060528F">
        <w:rPr>
          <w:rFonts w:ascii="Times New Roman" w:hAnsi="Times New Roman"/>
          <w:sz w:val="28"/>
          <w:szCs w:val="28"/>
          <w:lang w:val="en-US"/>
        </w:rPr>
        <w:t>. –Vol.</w:t>
      </w:r>
      <w:r w:rsidRPr="0060528F">
        <w:rPr>
          <w:rFonts w:ascii="Times New Roman" w:hAnsi="Times New Roman"/>
          <w:sz w:val="28"/>
          <w:szCs w:val="28"/>
          <w:lang w:val="kk-KZ"/>
        </w:rPr>
        <w:t xml:space="preserve"> 128</w:t>
      </w:r>
      <w:r>
        <w:rPr>
          <w:rFonts w:ascii="Times New Roman" w:hAnsi="Times New Roman"/>
          <w:sz w:val="28"/>
          <w:szCs w:val="28"/>
          <w:lang w:val="en-US"/>
        </w:rPr>
        <w:t>,</w:t>
      </w:r>
      <w:r w:rsidRPr="0060528F">
        <w:rPr>
          <w:rFonts w:ascii="Times New Roman" w:hAnsi="Times New Roman"/>
          <w:sz w:val="28"/>
          <w:szCs w:val="28"/>
          <w:lang w:val="en-US"/>
        </w:rPr>
        <w:t xml:space="preserve"> №</w:t>
      </w:r>
      <w:r>
        <w:rPr>
          <w:rFonts w:ascii="Times New Roman" w:hAnsi="Times New Roman"/>
          <w:sz w:val="28"/>
          <w:szCs w:val="28"/>
          <w:lang w:val="en-US"/>
        </w:rPr>
        <w:t xml:space="preserve"> 2</w:t>
      </w:r>
      <w:r w:rsidRPr="0060528F">
        <w:rPr>
          <w:rFonts w:ascii="Times New Roman" w:hAnsi="Times New Roman"/>
          <w:sz w:val="28"/>
          <w:szCs w:val="28"/>
          <w:lang w:val="kk-KZ"/>
        </w:rPr>
        <w:t xml:space="preserve">. </w:t>
      </w:r>
      <w:r w:rsidRPr="0060528F">
        <w:rPr>
          <w:rFonts w:ascii="Times New Roman" w:hAnsi="Times New Roman"/>
          <w:sz w:val="28"/>
          <w:szCs w:val="28"/>
          <w:lang w:val="en-US"/>
        </w:rPr>
        <w:t>– P.</w:t>
      </w:r>
      <w:r w:rsidRPr="0060528F">
        <w:rPr>
          <w:rFonts w:ascii="Times New Roman" w:hAnsi="Times New Roman"/>
          <w:sz w:val="28"/>
          <w:szCs w:val="28"/>
          <w:lang w:val="kk-KZ"/>
        </w:rPr>
        <w:t xml:space="preserve"> 162-176.</w:t>
      </w:r>
    </w:p>
    <w:p w14:paraId="41F3A0F4" w14:textId="77777777" w:rsidR="00BB318A" w:rsidRPr="0060528F" w:rsidRDefault="00BB318A" w:rsidP="00BB318A">
      <w:pPr>
        <w:spacing w:after="0" w:line="240" w:lineRule="auto"/>
        <w:ind w:firstLine="567"/>
        <w:jc w:val="both"/>
        <w:rPr>
          <w:rFonts w:ascii="Times New Roman" w:hAnsi="Times New Roman"/>
          <w:sz w:val="28"/>
          <w:szCs w:val="28"/>
          <w:shd w:val="clear" w:color="auto" w:fill="FFFFFF"/>
          <w:lang w:val="en-US"/>
        </w:rPr>
      </w:pPr>
      <w:r w:rsidRPr="003870CC">
        <w:rPr>
          <w:rFonts w:ascii="Times New Roman" w:hAnsi="Times New Roman"/>
          <w:sz w:val="28"/>
          <w:szCs w:val="28"/>
          <w:lang w:val="en-US"/>
        </w:rPr>
        <w:t>20</w:t>
      </w:r>
      <w:r w:rsidRPr="000A1D06">
        <w:rPr>
          <w:rFonts w:ascii="Times New Roman" w:hAnsi="Times New Roman"/>
          <w:sz w:val="28"/>
          <w:szCs w:val="28"/>
          <w:lang w:val="en-US"/>
        </w:rPr>
        <w:t>7</w:t>
      </w:r>
      <w:r w:rsidRPr="0060528F">
        <w:rPr>
          <w:rFonts w:ascii="Times New Roman" w:hAnsi="Times New Roman"/>
          <w:sz w:val="28"/>
          <w:szCs w:val="28"/>
          <w:lang w:val="en-US"/>
        </w:rPr>
        <w:t xml:space="preserve"> </w:t>
      </w:r>
      <w:r w:rsidRPr="00B15150">
        <w:rPr>
          <w:rFonts w:ascii="Times New Roman" w:hAnsi="Times New Roman"/>
          <w:sz w:val="28"/>
          <w:szCs w:val="28"/>
          <w:lang w:val="en-US"/>
        </w:rPr>
        <w:t>Park S.S., Kim B., Kim M.J.,</w:t>
      </w:r>
      <w:r w:rsidRPr="0060528F">
        <w:rPr>
          <w:rFonts w:ascii="Times New Roman" w:hAnsi="Times New Roman"/>
          <w:sz w:val="28"/>
          <w:szCs w:val="28"/>
          <w:lang w:val="en-US"/>
        </w:rPr>
        <w:t xml:space="preserve"> et al. The effect of curative resection on fecal microbiota in patients with colorectal cancer: a prospective pilot study // Annals of Surgical Treatment and Research. – </w:t>
      </w:r>
      <w:r w:rsidRPr="0060528F">
        <w:rPr>
          <w:rFonts w:ascii="Times New Roman" w:hAnsi="Times New Roman"/>
          <w:sz w:val="28"/>
          <w:szCs w:val="28"/>
          <w:shd w:val="clear" w:color="auto" w:fill="FFFFFF"/>
          <w:lang w:val="en-US"/>
        </w:rPr>
        <w:t>2020. – Vol. 99, №</w:t>
      </w:r>
      <w:r>
        <w:rPr>
          <w:rFonts w:ascii="Times New Roman" w:hAnsi="Times New Roman"/>
          <w:sz w:val="28"/>
          <w:szCs w:val="28"/>
          <w:shd w:val="clear" w:color="auto" w:fill="FFFFFF"/>
          <w:lang w:val="kk-KZ"/>
        </w:rPr>
        <w:t xml:space="preserve"> </w:t>
      </w:r>
      <w:r w:rsidRPr="0060528F">
        <w:rPr>
          <w:rFonts w:ascii="Times New Roman" w:hAnsi="Times New Roman"/>
          <w:sz w:val="28"/>
          <w:szCs w:val="28"/>
          <w:shd w:val="clear" w:color="auto" w:fill="FFFFFF"/>
          <w:lang w:val="en-US"/>
        </w:rPr>
        <w:t>1. – P. 44-51.</w:t>
      </w:r>
    </w:p>
    <w:p w14:paraId="3A7286E2"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3870CC">
        <w:rPr>
          <w:rFonts w:ascii="Times New Roman" w:hAnsi="Times New Roman"/>
          <w:sz w:val="28"/>
          <w:szCs w:val="28"/>
          <w:lang w:val="en-US"/>
        </w:rPr>
        <w:lastRenderedPageBreak/>
        <w:t>20</w:t>
      </w:r>
      <w:r w:rsidRPr="000A1D06">
        <w:rPr>
          <w:rFonts w:ascii="Times New Roman" w:hAnsi="Times New Roman"/>
          <w:sz w:val="28"/>
          <w:szCs w:val="28"/>
          <w:lang w:val="en-US"/>
        </w:rPr>
        <w:t>8</w:t>
      </w:r>
      <w:r w:rsidRPr="0060528F">
        <w:rPr>
          <w:rFonts w:ascii="Times New Roman" w:hAnsi="Times New Roman"/>
          <w:sz w:val="28"/>
          <w:szCs w:val="28"/>
          <w:lang w:val="en-US"/>
        </w:rPr>
        <w:t xml:space="preserve"> </w:t>
      </w:r>
      <w:r w:rsidRPr="0074466B">
        <w:rPr>
          <w:rFonts w:ascii="Times New Roman" w:hAnsi="Times New Roman"/>
          <w:sz w:val="28"/>
          <w:szCs w:val="28"/>
          <w:lang w:val="en-US"/>
        </w:rPr>
        <w:t>Andersen H.K., Lewis SJ., Thomas S.</w:t>
      </w:r>
      <w:r w:rsidRPr="0060528F">
        <w:rPr>
          <w:rFonts w:ascii="Times New Roman" w:hAnsi="Times New Roman"/>
          <w:sz w:val="28"/>
          <w:szCs w:val="28"/>
          <w:lang w:val="en-US"/>
        </w:rPr>
        <w:t xml:space="preserve"> Early enteral nutrition within 24h of colorectal surgery versus later commencement of feeding for postoperative complications // </w:t>
      </w:r>
      <w:r w:rsidRPr="0074466B">
        <w:rPr>
          <w:rFonts w:ascii="Times New Roman" w:hAnsi="Times New Roman"/>
          <w:sz w:val="28"/>
          <w:szCs w:val="28"/>
          <w:lang w:val="en-US"/>
        </w:rPr>
        <w:t>The Cochrane database of systematic reviews</w:t>
      </w:r>
      <w:r>
        <w:rPr>
          <w:rFonts w:ascii="Times New Roman" w:hAnsi="Times New Roman"/>
          <w:sz w:val="28"/>
          <w:szCs w:val="28"/>
          <w:lang w:val="en-US"/>
        </w:rPr>
        <w:t>, 2020</w:t>
      </w:r>
      <w:r w:rsidRPr="0060528F">
        <w:rPr>
          <w:rFonts w:ascii="Times New Roman" w:hAnsi="Times New Roman"/>
          <w:sz w:val="28"/>
          <w:szCs w:val="28"/>
          <w:lang w:val="en-US"/>
        </w:rPr>
        <w:t xml:space="preserve">. </w:t>
      </w:r>
      <w:r>
        <w:rPr>
          <w:rFonts w:ascii="Times New Roman" w:hAnsi="Times New Roman"/>
          <w:sz w:val="28"/>
          <w:szCs w:val="28"/>
          <w:lang w:val="en-US"/>
        </w:rPr>
        <w:t>(</w:t>
      </w:r>
      <w:r>
        <w:rPr>
          <w:rFonts w:ascii="Times New Roman" w:hAnsi="Times New Roman"/>
          <w:sz w:val="28"/>
          <w:szCs w:val="28"/>
          <w:lang w:val="kk-KZ"/>
        </w:rPr>
        <w:t xml:space="preserve">дата обращения </w:t>
      </w:r>
      <w:r w:rsidRPr="0060528F">
        <w:rPr>
          <w:rFonts w:ascii="Times New Roman" w:hAnsi="Times New Roman"/>
          <w:sz w:val="28"/>
          <w:szCs w:val="28"/>
          <w:lang w:val="en-US"/>
        </w:rPr>
        <w:t>07.</w:t>
      </w:r>
      <w:r>
        <w:rPr>
          <w:rFonts w:ascii="Times New Roman" w:hAnsi="Times New Roman"/>
          <w:sz w:val="28"/>
          <w:szCs w:val="28"/>
          <w:lang w:val="kk-KZ"/>
        </w:rPr>
        <w:t>12</w:t>
      </w:r>
      <w:r w:rsidRPr="0060528F">
        <w:rPr>
          <w:rFonts w:ascii="Times New Roman" w:hAnsi="Times New Roman"/>
          <w:sz w:val="28"/>
          <w:szCs w:val="28"/>
          <w:lang w:val="en-US"/>
        </w:rPr>
        <w:t>.202</w:t>
      </w:r>
      <w:r>
        <w:rPr>
          <w:rFonts w:ascii="Times New Roman" w:hAnsi="Times New Roman"/>
          <w:sz w:val="28"/>
          <w:szCs w:val="28"/>
          <w:lang w:val="kk-KZ"/>
        </w:rPr>
        <w:t>1)</w:t>
      </w:r>
      <w:r w:rsidRPr="0060528F">
        <w:rPr>
          <w:rFonts w:ascii="Times New Roman" w:hAnsi="Times New Roman"/>
          <w:sz w:val="28"/>
          <w:szCs w:val="28"/>
          <w:lang w:val="en-US"/>
        </w:rPr>
        <w:t>.</w:t>
      </w:r>
    </w:p>
    <w:p w14:paraId="56AD6890"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3870CC">
        <w:rPr>
          <w:rFonts w:ascii="Times New Roman" w:hAnsi="Times New Roman"/>
          <w:sz w:val="28"/>
          <w:szCs w:val="28"/>
          <w:lang w:val="en-US"/>
        </w:rPr>
        <w:t>20</w:t>
      </w:r>
      <w:r w:rsidRPr="000A1D06">
        <w:rPr>
          <w:rFonts w:ascii="Times New Roman" w:hAnsi="Times New Roman"/>
          <w:sz w:val="28"/>
          <w:szCs w:val="28"/>
          <w:lang w:val="en-US"/>
        </w:rPr>
        <w:t>9</w:t>
      </w:r>
      <w:r w:rsidRPr="0060528F">
        <w:rPr>
          <w:rFonts w:ascii="Times New Roman" w:hAnsi="Times New Roman"/>
          <w:sz w:val="28"/>
          <w:szCs w:val="28"/>
          <w:lang w:val="en-US"/>
        </w:rPr>
        <w:t xml:space="preserve"> </w:t>
      </w:r>
      <w:r w:rsidRPr="0074466B">
        <w:rPr>
          <w:rFonts w:ascii="Times New Roman" w:hAnsi="Times New Roman"/>
          <w:sz w:val="28"/>
          <w:szCs w:val="28"/>
          <w:lang w:val="en-US"/>
        </w:rPr>
        <w:t>Zhuang C.L., Ye X.Z., Zhang C.J.,</w:t>
      </w:r>
      <w:r w:rsidRPr="0060528F">
        <w:rPr>
          <w:rFonts w:ascii="Times New Roman" w:hAnsi="Times New Roman"/>
          <w:sz w:val="28"/>
          <w:szCs w:val="28"/>
          <w:lang w:val="en-US"/>
        </w:rPr>
        <w:t xml:space="preserve"> et al. Early versus traditional postoperative oral feeding in patients undergoing elective colorectal surgery: a meta-analysis of randomized clinical trials // </w:t>
      </w:r>
      <w:r w:rsidRPr="0074466B">
        <w:rPr>
          <w:rFonts w:ascii="Times New Roman" w:hAnsi="Times New Roman"/>
          <w:sz w:val="28"/>
          <w:szCs w:val="28"/>
          <w:lang w:val="en-US"/>
        </w:rPr>
        <w:t>Digestive surgery</w:t>
      </w:r>
      <w:r w:rsidRPr="0060528F">
        <w:rPr>
          <w:rFonts w:ascii="Times New Roman" w:hAnsi="Times New Roman"/>
          <w:sz w:val="28"/>
          <w:szCs w:val="28"/>
          <w:lang w:val="en-US"/>
        </w:rPr>
        <w:t>. – 2013. – Vol. 30</w:t>
      </w:r>
      <w:r w:rsidRPr="0060528F">
        <w:rPr>
          <w:rFonts w:ascii="Times New Roman" w:hAnsi="Times New Roman"/>
          <w:sz w:val="28"/>
          <w:szCs w:val="28"/>
          <w:shd w:val="clear" w:color="auto" w:fill="FFFFFF"/>
          <w:lang w:val="en-US"/>
        </w:rPr>
        <w:t>, №</w:t>
      </w:r>
      <w:r>
        <w:rPr>
          <w:rFonts w:ascii="Times New Roman" w:hAnsi="Times New Roman"/>
          <w:sz w:val="28"/>
          <w:szCs w:val="28"/>
          <w:shd w:val="clear" w:color="auto" w:fill="FFFFFF"/>
          <w:lang w:val="kk-KZ"/>
        </w:rPr>
        <w:t xml:space="preserve"> 3</w:t>
      </w:r>
      <w:r w:rsidRPr="0060528F">
        <w:rPr>
          <w:rFonts w:ascii="Times New Roman" w:hAnsi="Times New Roman"/>
          <w:sz w:val="28"/>
          <w:szCs w:val="28"/>
          <w:lang w:val="en-US"/>
        </w:rPr>
        <w:t>. – P.</w:t>
      </w:r>
      <w:r w:rsidRPr="0074466B">
        <w:rPr>
          <w:rFonts w:ascii="Times New Roman" w:hAnsi="Times New Roman"/>
          <w:sz w:val="28"/>
          <w:szCs w:val="28"/>
          <w:lang w:val="en-US"/>
        </w:rPr>
        <w:t xml:space="preserve"> </w:t>
      </w:r>
      <w:r w:rsidRPr="0060528F">
        <w:rPr>
          <w:rFonts w:ascii="Times New Roman" w:hAnsi="Times New Roman"/>
          <w:sz w:val="28"/>
          <w:szCs w:val="28"/>
          <w:lang w:val="en-US"/>
        </w:rPr>
        <w:t> 225-232.</w:t>
      </w:r>
    </w:p>
    <w:p w14:paraId="55913BB2"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C954CB">
        <w:rPr>
          <w:rFonts w:ascii="Times New Roman" w:hAnsi="Times New Roman"/>
          <w:sz w:val="28"/>
          <w:szCs w:val="28"/>
          <w:lang w:val="en-US"/>
        </w:rPr>
        <w:t>210</w:t>
      </w:r>
      <w:r w:rsidRPr="0060528F">
        <w:rPr>
          <w:rFonts w:ascii="Times New Roman" w:hAnsi="Times New Roman"/>
          <w:sz w:val="28"/>
          <w:szCs w:val="28"/>
          <w:lang w:val="en-US"/>
        </w:rPr>
        <w:t xml:space="preserve"> </w:t>
      </w:r>
      <w:r w:rsidRPr="0074466B">
        <w:rPr>
          <w:rFonts w:ascii="Times New Roman" w:hAnsi="Times New Roman"/>
          <w:sz w:val="28"/>
          <w:szCs w:val="28"/>
          <w:lang w:val="en-US"/>
        </w:rPr>
        <w:t>Russ A</w:t>
      </w:r>
      <w:r>
        <w:rPr>
          <w:rFonts w:ascii="Times New Roman" w:hAnsi="Times New Roman"/>
          <w:sz w:val="28"/>
          <w:szCs w:val="28"/>
          <w:lang w:val="en-US"/>
        </w:rPr>
        <w:t>.</w:t>
      </w:r>
      <w:r w:rsidRPr="0074466B">
        <w:rPr>
          <w:rFonts w:ascii="Times New Roman" w:hAnsi="Times New Roman"/>
          <w:sz w:val="28"/>
          <w:szCs w:val="28"/>
          <w:lang w:val="en-US"/>
        </w:rPr>
        <w:t>, Stein S</w:t>
      </w:r>
      <w:r>
        <w:rPr>
          <w:rFonts w:ascii="Times New Roman" w:hAnsi="Times New Roman"/>
          <w:sz w:val="28"/>
          <w:szCs w:val="28"/>
          <w:lang w:val="en-US"/>
        </w:rPr>
        <w:t>.</w:t>
      </w:r>
      <w:r w:rsidRPr="0074466B">
        <w:rPr>
          <w:rFonts w:ascii="Times New Roman" w:hAnsi="Times New Roman"/>
          <w:sz w:val="28"/>
          <w:szCs w:val="28"/>
          <w:lang w:val="en-US"/>
        </w:rPr>
        <w:t>, Crawshaw B</w:t>
      </w:r>
      <w:r>
        <w:rPr>
          <w:rFonts w:ascii="Times New Roman" w:hAnsi="Times New Roman"/>
          <w:sz w:val="28"/>
          <w:szCs w:val="28"/>
          <w:lang w:val="en-US"/>
        </w:rPr>
        <w:t>.</w:t>
      </w:r>
      <w:r w:rsidRPr="0074466B">
        <w:rPr>
          <w:rFonts w:ascii="Times New Roman" w:hAnsi="Times New Roman"/>
          <w:sz w:val="28"/>
          <w:szCs w:val="28"/>
          <w:lang w:val="en-US"/>
        </w:rPr>
        <w:t xml:space="preserve">, Champagne B. </w:t>
      </w:r>
      <w:r w:rsidRPr="0060528F">
        <w:rPr>
          <w:rFonts w:ascii="Times New Roman" w:hAnsi="Times New Roman"/>
          <w:sz w:val="28"/>
          <w:szCs w:val="28"/>
          <w:lang w:val="en-US"/>
        </w:rPr>
        <w:t>Improved postoperative outcomes with a modified GI diet after laparoscopic colorectal resection // Dis Colon Rectum. – 2014. – Vol. 57. – P.</w:t>
      </w:r>
      <w:r>
        <w:rPr>
          <w:rFonts w:ascii="Times New Roman" w:hAnsi="Times New Roman"/>
          <w:sz w:val="28"/>
          <w:szCs w:val="28"/>
          <w:lang w:val="en-US"/>
        </w:rPr>
        <w:t xml:space="preserve"> </w:t>
      </w:r>
      <w:r w:rsidRPr="0060528F">
        <w:rPr>
          <w:rFonts w:ascii="Times New Roman" w:hAnsi="Times New Roman"/>
          <w:sz w:val="28"/>
          <w:szCs w:val="28"/>
          <w:lang w:val="en-US"/>
        </w:rPr>
        <w:t>318-319.</w:t>
      </w:r>
    </w:p>
    <w:p w14:paraId="3FABFE45"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C954CB">
        <w:rPr>
          <w:rFonts w:ascii="Times New Roman" w:hAnsi="Times New Roman"/>
          <w:sz w:val="28"/>
          <w:szCs w:val="28"/>
          <w:lang w:val="en-US"/>
        </w:rPr>
        <w:t>211</w:t>
      </w:r>
      <w:r w:rsidRPr="0060528F">
        <w:rPr>
          <w:rFonts w:ascii="Times New Roman" w:hAnsi="Times New Roman"/>
          <w:sz w:val="28"/>
          <w:szCs w:val="28"/>
          <w:lang w:val="en-US"/>
        </w:rPr>
        <w:t xml:space="preserve"> </w:t>
      </w:r>
      <w:r w:rsidRPr="00950B9E">
        <w:rPr>
          <w:rFonts w:ascii="Times New Roman" w:hAnsi="Times New Roman"/>
          <w:sz w:val="28"/>
          <w:szCs w:val="28"/>
          <w:lang w:val="en-US"/>
        </w:rPr>
        <w:t>Hogan S., Steffens D., Rangan A., Solomon M., Carey S.</w:t>
      </w:r>
      <w:r w:rsidRPr="0060528F">
        <w:rPr>
          <w:rFonts w:ascii="Times New Roman" w:hAnsi="Times New Roman"/>
          <w:sz w:val="28"/>
          <w:szCs w:val="28"/>
          <w:lang w:val="en-US"/>
        </w:rPr>
        <w:t xml:space="preserve"> The effect of diets delivered into the gastrointestinal tract on gut motility after colorectal surgery – a systematic review and metaanalysis of randomised controlled trials // European Journal of Clinical Nutrition. – 2019. – Vol. </w:t>
      </w:r>
      <w:r w:rsidRPr="0060528F">
        <w:rPr>
          <w:rFonts w:ascii="Times New Roman" w:hAnsi="Times New Roman"/>
          <w:sz w:val="28"/>
          <w:szCs w:val="28"/>
          <w:shd w:val="clear" w:color="auto" w:fill="FFFFFF"/>
          <w:lang w:val="en-US"/>
        </w:rPr>
        <w:t>73, №</w:t>
      </w:r>
      <w:r>
        <w:rPr>
          <w:rFonts w:ascii="Times New Roman" w:hAnsi="Times New Roman"/>
          <w:sz w:val="28"/>
          <w:szCs w:val="28"/>
          <w:shd w:val="clear" w:color="auto" w:fill="FFFFFF"/>
          <w:lang w:val="en-US"/>
        </w:rPr>
        <w:t xml:space="preserve"> </w:t>
      </w:r>
      <w:r w:rsidRPr="0060528F">
        <w:rPr>
          <w:rFonts w:ascii="Times New Roman" w:hAnsi="Times New Roman"/>
          <w:sz w:val="28"/>
          <w:szCs w:val="28"/>
          <w:shd w:val="clear" w:color="auto" w:fill="FFFFFF"/>
          <w:lang w:val="en-US"/>
        </w:rPr>
        <w:t>10. – P. 1331-1342.</w:t>
      </w:r>
    </w:p>
    <w:p w14:paraId="44467867"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Fonts w:ascii="Times New Roman" w:hAnsi="Times New Roman"/>
          <w:sz w:val="28"/>
          <w:szCs w:val="28"/>
          <w:lang w:val="en-US"/>
        </w:rPr>
        <w:t>212</w:t>
      </w:r>
      <w:r w:rsidRPr="0060528F">
        <w:rPr>
          <w:rFonts w:ascii="Times New Roman" w:hAnsi="Times New Roman"/>
          <w:sz w:val="28"/>
          <w:szCs w:val="28"/>
          <w:lang w:val="en-US"/>
        </w:rPr>
        <w:t xml:space="preserve"> </w:t>
      </w:r>
      <w:r w:rsidRPr="00950B9E">
        <w:rPr>
          <w:rFonts w:ascii="Times New Roman" w:hAnsi="Times New Roman"/>
          <w:sz w:val="28"/>
          <w:szCs w:val="28"/>
          <w:lang w:val="en-US"/>
        </w:rPr>
        <w:t>Ong D.K., Mitchell S.B., Barrett J.S.,</w:t>
      </w:r>
      <w:r w:rsidRPr="0060528F">
        <w:rPr>
          <w:rFonts w:ascii="Times New Roman" w:hAnsi="Times New Roman"/>
          <w:sz w:val="28"/>
          <w:szCs w:val="28"/>
          <w:lang w:val="en-US"/>
        </w:rPr>
        <w:t xml:space="preserve"> et al. Manipulation of dietary short chain carbohydrates alters the pattern of gas production and genesis of symptoms in irritable bowel syndrome: Dietary FODMAPs and IBS symptoms // Journal of Gastroenterology and Hepatology. – 2010. – Vol. 25, №</w:t>
      </w:r>
      <w:r>
        <w:rPr>
          <w:rFonts w:ascii="Times New Roman" w:hAnsi="Times New Roman"/>
          <w:sz w:val="28"/>
          <w:szCs w:val="28"/>
          <w:lang w:val="en-US"/>
        </w:rPr>
        <w:t xml:space="preserve"> </w:t>
      </w:r>
      <w:r w:rsidRPr="0060528F">
        <w:rPr>
          <w:rFonts w:ascii="Times New Roman" w:hAnsi="Times New Roman"/>
          <w:sz w:val="28"/>
          <w:szCs w:val="28"/>
          <w:lang w:val="en-US"/>
        </w:rPr>
        <w:t>8. – P. 1366-1373.</w:t>
      </w:r>
    </w:p>
    <w:p w14:paraId="5E85F15D" w14:textId="77777777" w:rsidR="00BB318A" w:rsidRPr="0060528F" w:rsidRDefault="00BB318A" w:rsidP="00BB318A">
      <w:pPr>
        <w:pStyle w:val="a7"/>
        <w:ind w:left="0" w:firstLine="567"/>
        <w:jc w:val="both"/>
        <w:rPr>
          <w:rFonts w:ascii="Times New Roman" w:hAnsi="Times New Roman"/>
          <w:sz w:val="28"/>
          <w:szCs w:val="28"/>
          <w:lang w:val="en-US"/>
        </w:rPr>
      </w:pPr>
      <w:r w:rsidRPr="000A1D06">
        <w:rPr>
          <w:rFonts w:ascii="Times New Roman" w:hAnsi="Times New Roman"/>
          <w:sz w:val="28"/>
          <w:szCs w:val="28"/>
          <w:lang w:val="en-US"/>
        </w:rPr>
        <w:t>213</w:t>
      </w:r>
      <w:r w:rsidRPr="0060528F">
        <w:rPr>
          <w:rFonts w:ascii="Times New Roman" w:hAnsi="Times New Roman"/>
          <w:sz w:val="28"/>
          <w:szCs w:val="28"/>
          <w:lang w:val="en-US"/>
        </w:rPr>
        <w:t xml:space="preserve"> </w:t>
      </w:r>
      <w:r w:rsidRPr="00950B9E">
        <w:rPr>
          <w:rFonts w:ascii="Times New Roman" w:hAnsi="Times New Roman"/>
          <w:sz w:val="28"/>
          <w:szCs w:val="28"/>
          <w:lang w:val="en-US"/>
        </w:rPr>
        <w:t>Barrett J.S., Gearry R.B., Muir J.G.,</w:t>
      </w:r>
      <w:r>
        <w:rPr>
          <w:rFonts w:ascii="Times New Roman" w:hAnsi="Times New Roman"/>
          <w:sz w:val="28"/>
          <w:szCs w:val="28"/>
          <w:lang w:val="en-US"/>
        </w:rPr>
        <w:t xml:space="preserve"> et al</w:t>
      </w:r>
      <w:r w:rsidRPr="0060528F">
        <w:rPr>
          <w:rFonts w:ascii="Times New Roman" w:hAnsi="Times New Roman"/>
          <w:sz w:val="28"/>
          <w:szCs w:val="28"/>
          <w:lang w:val="en-US"/>
        </w:rPr>
        <w:t>. Dietary poorly absorbed, short-chain carbohydrates increase delivery of water and fermentable substrates to the proximal colon // Alimentary Pharmacology &amp; Therapeutics. – 2010. – Vol. 31, №</w:t>
      </w:r>
      <w:r>
        <w:rPr>
          <w:rFonts w:ascii="Times New Roman" w:hAnsi="Times New Roman"/>
          <w:sz w:val="28"/>
          <w:szCs w:val="28"/>
          <w:lang w:val="en-US"/>
        </w:rPr>
        <w:t xml:space="preserve"> </w:t>
      </w:r>
      <w:r w:rsidRPr="0060528F">
        <w:rPr>
          <w:rFonts w:ascii="Times New Roman" w:hAnsi="Times New Roman"/>
          <w:sz w:val="28"/>
          <w:szCs w:val="28"/>
          <w:lang w:val="en-US"/>
        </w:rPr>
        <w:t>8. – P. 874-882.</w:t>
      </w:r>
    </w:p>
    <w:p w14:paraId="538976D8"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Fonts w:ascii="Times New Roman" w:hAnsi="Times New Roman"/>
          <w:sz w:val="28"/>
          <w:szCs w:val="28"/>
          <w:lang w:val="en-US"/>
        </w:rPr>
        <w:t>214</w:t>
      </w:r>
      <w:r w:rsidRPr="0060528F">
        <w:rPr>
          <w:rFonts w:ascii="Times New Roman" w:hAnsi="Times New Roman"/>
          <w:sz w:val="28"/>
          <w:szCs w:val="28"/>
          <w:lang w:val="en-US"/>
        </w:rPr>
        <w:t xml:space="preserve"> </w:t>
      </w:r>
      <w:r w:rsidRPr="00950B9E">
        <w:rPr>
          <w:rFonts w:ascii="Times New Roman" w:hAnsi="Times New Roman"/>
          <w:sz w:val="28"/>
          <w:szCs w:val="28"/>
          <w:lang w:val="en-US"/>
        </w:rPr>
        <w:t>Murray K., Wilkinson-Smith V., Hoad C.,</w:t>
      </w:r>
      <w:r w:rsidRPr="0060528F">
        <w:rPr>
          <w:rFonts w:ascii="Times New Roman" w:hAnsi="Times New Roman"/>
          <w:sz w:val="28"/>
          <w:szCs w:val="28"/>
          <w:lang w:val="en-US"/>
        </w:rPr>
        <w:t xml:space="preserve"> et al. Differential effects of FODMAPs (Fermentable Oligo-, Di-, Mono-Saccharides and Polyols) on small and large intestinal contents in healthy subjects shown by MRI // </w:t>
      </w:r>
      <w:r w:rsidRPr="00950B9E">
        <w:rPr>
          <w:rFonts w:ascii="Times New Roman" w:hAnsi="Times New Roman"/>
          <w:sz w:val="28"/>
          <w:szCs w:val="28"/>
          <w:lang w:val="en-US"/>
        </w:rPr>
        <w:t>The American journal of gastroenterology</w:t>
      </w:r>
      <w:r w:rsidRPr="0060528F">
        <w:rPr>
          <w:rFonts w:ascii="Times New Roman" w:hAnsi="Times New Roman"/>
          <w:sz w:val="28"/>
          <w:szCs w:val="28"/>
          <w:lang w:val="en-US"/>
        </w:rPr>
        <w:t>. – 2014. – Vol. 109, №</w:t>
      </w:r>
      <w:r>
        <w:rPr>
          <w:rFonts w:ascii="Times New Roman" w:hAnsi="Times New Roman"/>
          <w:sz w:val="28"/>
          <w:szCs w:val="28"/>
          <w:lang w:val="en-US"/>
        </w:rPr>
        <w:t xml:space="preserve"> </w:t>
      </w:r>
      <w:r w:rsidRPr="0060528F">
        <w:rPr>
          <w:rFonts w:ascii="Times New Roman" w:hAnsi="Times New Roman"/>
          <w:sz w:val="28"/>
          <w:szCs w:val="28"/>
          <w:lang w:val="en-US"/>
        </w:rPr>
        <w:t>1. – P. 110-119.</w:t>
      </w:r>
    </w:p>
    <w:p w14:paraId="5BA1122F"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Fonts w:ascii="Times New Roman" w:hAnsi="Times New Roman"/>
          <w:sz w:val="28"/>
          <w:szCs w:val="28"/>
          <w:lang w:val="en-US"/>
        </w:rPr>
        <w:t>215</w:t>
      </w:r>
      <w:r w:rsidRPr="0060528F">
        <w:rPr>
          <w:rFonts w:ascii="Times New Roman" w:hAnsi="Times New Roman"/>
          <w:sz w:val="28"/>
          <w:szCs w:val="28"/>
          <w:lang w:val="en-US"/>
        </w:rPr>
        <w:t xml:space="preserve"> </w:t>
      </w:r>
      <w:r w:rsidRPr="00950B9E">
        <w:rPr>
          <w:rFonts w:ascii="Times New Roman" w:hAnsi="Times New Roman"/>
          <w:sz w:val="28"/>
          <w:szCs w:val="28"/>
          <w:lang w:val="en-US"/>
        </w:rPr>
        <w:t>Major G., Pritchard S., Murray K.,</w:t>
      </w:r>
      <w:r>
        <w:rPr>
          <w:rFonts w:ascii="Times New Roman" w:hAnsi="Times New Roman"/>
          <w:sz w:val="28"/>
          <w:szCs w:val="28"/>
          <w:lang w:val="en-US"/>
        </w:rPr>
        <w:t xml:space="preserve"> </w:t>
      </w:r>
      <w:r w:rsidRPr="0060528F">
        <w:rPr>
          <w:rFonts w:ascii="Times New Roman" w:hAnsi="Times New Roman"/>
          <w:sz w:val="28"/>
          <w:szCs w:val="28"/>
          <w:lang w:val="en-US"/>
        </w:rPr>
        <w:t>et al. Colon hypersensitivity to distension, rather than excessive gas production, produces carbohydrate-related symptoms in individuals with irritable bowel syndrome // Gastroenterology. – 2017. – Vol. 152, №</w:t>
      </w:r>
      <w:r>
        <w:rPr>
          <w:rFonts w:ascii="Times New Roman" w:hAnsi="Times New Roman"/>
          <w:sz w:val="28"/>
          <w:szCs w:val="28"/>
          <w:lang w:val="en-US"/>
        </w:rPr>
        <w:t xml:space="preserve"> </w:t>
      </w:r>
      <w:r w:rsidRPr="0060528F">
        <w:rPr>
          <w:rFonts w:ascii="Times New Roman" w:hAnsi="Times New Roman"/>
          <w:sz w:val="28"/>
          <w:szCs w:val="28"/>
          <w:lang w:val="en-US"/>
        </w:rPr>
        <w:t>1. – P. 124-133.</w:t>
      </w:r>
    </w:p>
    <w:p w14:paraId="4D438D7C" w14:textId="77777777" w:rsidR="00BB318A" w:rsidRPr="0060528F" w:rsidRDefault="00BB318A" w:rsidP="00BB318A">
      <w:pPr>
        <w:pStyle w:val="a7"/>
        <w:ind w:left="0" w:firstLine="567"/>
        <w:jc w:val="both"/>
        <w:rPr>
          <w:rFonts w:ascii="Times New Roman" w:hAnsi="Times New Roman"/>
          <w:sz w:val="28"/>
          <w:szCs w:val="28"/>
          <w:lang w:val="en-US"/>
        </w:rPr>
      </w:pPr>
      <w:r w:rsidRPr="000A1D06">
        <w:rPr>
          <w:rFonts w:ascii="Times New Roman" w:hAnsi="Times New Roman"/>
          <w:sz w:val="28"/>
          <w:szCs w:val="28"/>
          <w:lang w:val="en-US"/>
        </w:rPr>
        <w:t>216</w:t>
      </w:r>
      <w:r w:rsidRPr="0060528F">
        <w:rPr>
          <w:rFonts w:ascii="Times New Roman" w:hAnsi="Times New Roman"/>
          <w:sz w:val="28"/>
          <w:szCs w:val="28"/>
          <w:lang w:val="en-US"/>
        </w:rPr>
        <w:t xml:space="preserve"> Marsh A., Eslick E.M., Eslick G.D. Does a diet low in FODMAPs reduce symptoms associated with functional gastrointestinal disorders? A comprehensive systematic review and meta</w:t>
      </w:r>
      <w:r w:rsidRPr="0060528F">
        <w:rPr>
          <w:rFonts w:ascii="Times New Roman" w:hAnsi="Times New Roman"/>
          <w:sz w:val="28"/>
          <w:szCs w:val="28"/>
          <w:lang w:val="en-US"/>
        </w:rPr>
        <w:noBreakHyphen/>
        <w:t xml:space="preserve">analysis // </w:t>
      </w:r>
      <w:r w:rsidRPr="00950B9E">
        <w:rPr>
          <w:rFonts w:ascii="Times New Roman" w:hAnsi="Times New Roman"/>
          <w:sz w:val="28"/>
          <w:szCs w:val="28"/>
          <w:lang w:val="en-US"/>
        </w:rPr>
        <w:t>European journal of nutrition</w:t>
      </w:r>
      <w:r w:rsidRPr="0060528F">
        <w:rPr>
          <w:rFonts w:ascii="Times New Roman" w:hAnsi="Times New Roman"/>
          <w:sz w:val="28"/>
          <w:szCs w:val="28"/>
          <w:lang w:val="en-US"/>
        </w:rPr>
        <w:t>. – 2016. – Vol.</w:t>
      </w:r>
      <w:r w:rsidRPr="00762936">
        <w:rPr>
          <w:rFonts w:ascii="Times New Roman" w:hAnsi="Times New Roman"/>
          <w:sz w:val="28"/>
          <w:szCs w:val="28"/>
          <w:lang w:val="en-US"/>
        </w:rPr>
        <w:t xml:space="preserve"> </w:t>
      </w:r>
      <w:r w:rsidRPr="0060528F">
        <w:rPr>
          <w:rFonts w:ascii="Times New Roman" w:hAnsi="Times New Roman"/>
          <w:sz w:val="28"/>
          <w:szCs w:val="28"/>
          <w:lang w:val="en-US"/>
        </w:rPr>
        <w:t> 55, №</w:t>
      </w:r>
      <w:r>
        <w:rPr>
          <w:rFonts w:ascii="Times New Roman" w:hAnsi="Times New Roman"/>
          <w:sz w:val="28"/>
          <w:szCs w:val="28"/>
          <w:lang w:val="en-US"/>
        </w:rPr>
        <w:t xml:space="preserve"> </w:t>
      </w:r>
      <w:r w:rsidRPr="0060528F">
        <w:rPr>
          <w:rFonts w:ascii="Times New Roman" w:hAnsi="Times New Roman"/>
          <w:sz w:val="28"/>
          <w:szCs w:val="28"/>
          <w:lang w:val="en-US"/>
        </w:rPr>
        <w:t>3. – P. 897-906.</w:t>
      </w:r>
    </w:p>
    <w:p w14:paraId="3397A3EA"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C954CB">
        <w:rPr>
          <w:rFonts w:ascii="Times New Roman" w:hAnsi="Times New Roman"/>
          <w:sz w:val="28"/>
          <w:szCs w:val="28"/>
          <w:lang w:val="en-US"/>
        </w:rPr>
        <w:t>217</w:t>
      </w:r>
      <w:r w:rsidRPr="0060528F">
        <w:rPr>
          <w:rFonts w:ascii="Times New Roman" w:hAnsi="Times New Roman"/>
          <w:sz w:val="28"/>
          <w:szCs w:val="28"/>
          <w:lang w:val="en-US"/>
        </w:rPr>
        <w:t xml:space="preserve"> </w:t>
      </w:r>
      <w:r w:rsidRPr="00762936">
        <w:rPr>
          <w:rFonts w:ascii="Times New Roman" w:hAnsi="Times New Roman"/>
          <w:sz w:val="28"/>
          <w:szCs w:val="28"/>
          <w:lang w:val="en-US"/>
        </w:rPr>
        <w:t>Altobelli E., Del Negro V., Angeletti P.M., Latella G</w:t>
      </w:r>
      <w:r w:rsidRPr="0060528F">
        <w:rPr>
          <w:rFonts w:ascii="Times New Roman" w:hAnsi="Times New Roman"/>
          <w:sz w:val="28"/>
          <w:szCs w:val="28"/>
          <w:lang w:val="en-US"/>
        </w:rPr>
        <w:t xml:space="preserve"> Low-FODMAP Diet Improves Irritable Bowel Syndrome Symptoms: A Meta-Analysis // Nutrients. – 2017. – Vol. 9, </w:t>
      </w:r>
      <w:r w:rsidRPr="0060528F">
        <w:rPr>
          <w:rFonts w:ascii="Times New Roman" w:hAnsi="Times New Roman"/>
          <w:sz w:val="28"/>
          <w:szCs w:val="28"/>
          <w:lang w:val="kk-KZ"/>
        </w:rPr>
        <w:t>№</w:t>
      </w:r>
      <w:r w:rsidRPr="0060528F">
        <w:rPr>
          <w:rFonts w:ascii="Times New Roman" w:hAnsi="Times New Roman"/>
          <w:sz w:val="28"/>
          <w:szCs w:val="28"/>
          <w:lang w:val="en-US"/>
        </w:rPr>
        <w:t xml:space="preserve">9. – Р. </w:t>
      </w:r>
      <w:r>
        <w:rPr>
          <w:rFonts w:ascii="Times New Roman" w:hAnsi="Times New Roman"/>
          <w:sz w:val="28"/>
          <w:szCs w:val="28"/>
          <w:lang w:val="en-US"/>
        </w:rPr>
        <w:t>940</w:t>
      </w:r>
      <w:r w:rsidRPr="0060528F">
        <w:rPr>
          <w:rFonts w:ascii="Times New Roman" w:hAnsi="Times New Roman"/>
          <w:sz w:val="28"/>
          <w:szCs w:val="28"/>
          <w:lang w:val="en-US"/>
        </w:rPr>
        <w:t>-</w:t>
      </w:r>
      <w:r>
        <w:rPr>
          <w:rFonts w:ascii="Times New Roman" w:hAnsi="Times New Roman"/>
          <w:sz w:val="28"/>
          <w:szCs w:val="28"/>
          <w:lang w:val="en-US"/>
        </w:rPr>
        <w:t>95</w:t>
      </w:r>
      <w:r w:rsidRPr="0060528F">
        <w:rPr>
          <w:rFonts w:ascii="Times New Roman" w:hAnsi="Times New Roman"/>
          <w:sz w:val="28"/>
          <w:szCs w:val="28"/>
          <w:lang w:val="en-US"/>
        </w:rPr>
        <w:t>9.</w:t>
      </w:r>
    </w:p>
    <w:p w14:paraId="5B7827FD"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Style w:val="authors-list-item"/>
          <w:rFonts w:ascii="Times New Roman" w:hAnsi="Times New Roman"/>
          <w:sz w:val="28"/>
          <w:szCs w:val="28"/>
          <w:shd w:val="clear" w:color="auto" w:fill="FFFFFF"/>
          <w:lang w:val="en-US"/>
        </w:rPr>
        <w:t>218</w:t>
      </w:r>
      <w:r w:rsidRPr="00217AA3">
        <w:rPr>
          <w:rStyle w:val="authors-list-item"/>
          <w:rFonts w:ascii="Times New Roman" w:hAnsi="Times New Roman"/>
          <w:sz w:val="28"/>
          <w:szCs w:val="28"/>
          <w:shd w:val="clear" w:color="auto" w:fill="FFFFFF"/>
          <w:lang w:val="en-US"/>
        </w:rPr>
        <w:t xml:space="preserve"> </w:t>
      </w:r>
      <w:hyperlink r:id="rId71" w:history="1">
        <w:r w:rsidRPr="00217AA3">
          <w:rPr>
            <w:rStyle w:val="af3"/>
            <w:rFonts w:ascii="Times New Roman" w:hAnsi="Times New Roman"/>
            <w:color w:val="auto"/>
            <w:sz w:val="28"/>
            <w:szCs w:val="28"/>
            <w:u w:val="none"/>
            <w:lang w:val="en-US"/>
          </w:rPr>
          <w:t>Schumann</w:t>
        </w:r>
      </w:hyperlink>
      <w:r w:rsidRPr="00217AA3">
        <w:rPr>
          <w:rFonts w:ascii="Times New Roman" w:hAnsi="Times New Roman"/>
          <w:sz w:val="28"/>
          <w:szCs w:val="28"/>
          <w:lang w:val="en-US"/>
        </w:rPr>
        <w:t xml:space="preserve"> </w:t>
      </w:r>
      <w:r w:rsidRPr="00217AA3">
        <w:rPr>
          <w:rStyle w:val="af3"/>
          <w:rFonts w:ascii="Times New Roman" w:hAnsi="Times New Roman"/>
          <w:color w:val="auto"/>
          <w:sz w:val="28"/>
          <w:szCs w:val="28"/>
          <w:u w:val="none"/>
          <w:lang w:val="en-US"/>
        </w:rPr>
        <w:t>D.</w:t>
      </w:r>
      <w:r w:rsidRPr="00217AA3">
        <w:rPr>
          <w:rStyle w:val="comma"/>
          <w:rFonts w:ascii="Times New Roman" w:hAnsi="Times New Roman"/>
          <w:sz w:val="28"/>
          <w:szCs w:val="28"/>
          <w:shd w:val="clear" w:color="auto" w:fill="FFFFFF"/>
          <w:lang w:val="en-US"/>
        </w:rPr>
        <w:t xml:space="preserve">, </w:t>
      </w:r>
      <w:hyperlink r:id="rId72" w:history="1">
        <w:r w:rsidRPr="00217AA3">
          <w:rPr>
            <w:rStyle w:val="af3"/>
            <w:rFonts w:ascii="Times New Roman" w:hAnsi="Times New Roman"/>
            <w:color w:val="auto"/>
            <w:sz w:val="28"/>
            <w:szCs w:val="28"/>
            <w:u w:val="none"/>
            <w:lang w:val="en-US"/>
          </w:rPr>
          <w:t>Klose</w:t>
        </w:r>
      </w:hyperlink>
      <w:r w:rsidRPr="00217AA3">
        <w:rPr>
          <w:rFonts w:ascii="Times New Roman" w:hAnsi="Times New Roman"/>
          <w:sz w:val="28"/>
          <w:szCs w:val="28"/>
          <w:lang w:val="en-US"/>
        </w:rPr>
        <w:t xml:space="preserve"> </w:t>
      </w:r>
      <w:r w:rsidRPr="00217AA3">
        <w:rPr>
          <w:rStyle w:val="af3"/>
          <w:rFonts w:ascii="Times New Roman" w:hAnsi="Times New Roman"/>
          <w:color w:val="auto"/>
          <w:sz w:val="28"/>
          <w:szCs w:val="28"/>
          <w:u w:val="none"/>
          <w:lang w:val="en-US"/>
        </w:rPr>
        <w:t>P.</w:t>
      </w:r>
      <w:r w:rsidRPr="00217AA3">
        <w:rPr>
          <w:rStyle w:val="comma"/>
          <w:rFonts w:ascii="Times New Roman" w:hAnsi="Times New Roman"/>
          <w:sz w:val="28"/>
          <w:szCs w:val="28"/>
          <w:shd w:val="clear" w:color="auto" w:fill="FFFFFF"/>
          <w:lang w:val="en-US"/>
        </w:rPr>
        <w:t>,</w:t>
      </w:r>
      <w:hyperlink r:id="rId73" w:history="1">
        <w:r w:rsidRPr="00217AA3">
          <w:rPr>
            <w:rStyle w:val="af3"/>
            <w:rFonts w:ascii="Times New Roman" w:hAnsi="Times New Roman"/>
            <w:color w:val="auto"/>
            <w:sz w:val="28"/>
            <w:szCs w:val="28"/>
            <w:u w:val="none"/>
            <w:lang w:val="en-US"/>
          </w:rPr>
          <w:t xml:space="preserve"> Lauche</w:t>
        </w:r>
      </w:hyperlink>
      <w:r w:rsidRPr="00217AA3">
        <w:rPr>
          <w:rStyle w:val="authors-list-item"/>
          <w:rFonts w:ascii="Times New Roman" w:hAnsi="Times New Roman"/>
          <w:sz w:val="28"/>
          <w:szCs w:val="28"/>
          <w:u w:val="single"/>
          <w:shd w:val="clear" w:color="auto" w:fill="FFFFFF"/>
          <w:lang w:val="en-US"/>
        </w:rPr>
        <w:t xml:space="preserve"> </w:t>
      </w:r>
      <w:r w:rsidRPr="0060528F">
        <w:rPr>
          <w:rStyle w:val="authors-list-item"/>
          <w:rFonts w:ascii="Times New Roman" w:hAnsi="Times New Roman"/>
          <w:sz w:val="28"/>
          <w:szCs w:val="28"/>
          <w:shd w:val="clear" w:color="auto" w:fill="FFFFFF"/>
          <w:lang w:val="en-US"/>
        </w:rPr>
        <w:t xml:space="preserve">R. et al. </w:t>
      </w:r>
      <w:r w:rsidRPr="0060528F">
        <w:rPr>
          <w:rFonts w:ascii="Times New Roman" w:hAnsi="Times New Roman"/>
          <w:sz w:val="28"/>
          <w:szCs w:val="28"/>
          <w:lang w:val="en-US"/>
        </w:rPr>
        <w:t xml:space="preserve">Low FODMAP Diet in the Treatment of Irritable Bowel Syndrome: A Systematic Review and Meta-Analysis // Nutrition. – 2018. – №45. – </w:t>
      </w:r>
      <w:r w:rsidRPr="0060528F">
        <w:rPr>
          <w:rFonts w:ascii="Times New Roman" w:hAnsi="Times New Roman"/>
          <w:sz w:val="28"/>
          <w:szCs w:val="28"/>
        </w:rPr>
        <w:t>Р</w:t>
      </w:r>
      <w:r w:rsidRPr="0060528F">
        <w:rPr>
          <w:rFonts w:ascii="Times New Roman" w:hAnsi="Times New Roman"/>
          <w:sz w:val="28"/>
          <w:szCs w:val="28"/>
          <w:lang w:val="en-US"/>
        </w:rPr>
        <w:t>. 24-31.</w:t>
      </w:r>
    </w:p>
    <w:p w14:paraId="2BA308E7"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C954CB">
        <w:rPr>
          <w:rFonts w:ascii="Times New Roman" w:hAnsi="Times New Roman"/>
          <w:sz w:val="28"/>
          <w:szCs w:val="28"/>
          <w:lang w:val="en-US"/>
        </w:rPr>
        <w:t>219</w:t>
      </w:r>
      <w:r w:rsidRPr="0060528F">
        <w:rPr>
          <w:rFonts w:ascii="Times New Roman" w:hAnsi="Times New Roman"/>
          <w:sz w:val="28"/>
          <w:szCs w:val="28"/>
          <w:lang w:val="en-US"/>
        </w:rPr>
        <w:t xml:space="preserve"> </w:t>
      </w:r>
      <w:r w:rsidRPr="007E0300">
        <w:rPr>
          <w:rFonts w:ascii="Times New Roman" w:hAnsi="Times New Roman"/>
          <w:sz w:val="28"/>
          <w:szCs w:val="28"/>
          <w:lang w:val="en-US"/>
        </w:rPr>
        <w:t>Ooi S.L., Correa D., Pak S.C</w:t>
      </w:r>
      <w:r w:rsidRPr="0060528F">
        <w:rPr>
          <w:rFonts w:ascii="Times New Roman" w:hAnsi="Times New Roman"/>
          <w:sz w:val="28"/>
          <w:szCs w:val="28"/>
          <w:lang w:val="en-US"/>
        </w:rPr>
        <w:t>. Probiotics, prebiotics, and low FODMAP diet for irritable bowel syndrome – What is the current evidence? // Complementary Therapies in Medicine. – 2019. – Vol. 43. – P. 73-80.</w:t>
      </w:r>
    </w:p>
    <w:p w14:paraId="2899404A"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Fonts w:ascii="Times New Roman" w:hAnsi="Times New Roman"/>
          <w:sz w:val="28"/>
          <w:szCs w:val="28"/>
          <w:lang w:val="en-US"/>
        </w:rPr>
        <w:lastRenderedPageBreak/>
        <w:t>220</w:t>
      </w:r>
      <w:r w:rsidRPr="0060528F">
        <w:rPr>
          <w:rFonts w:ascii="Times New Roman" w:hAnsi="Times New Roman"/>
          <w:sz w:val="28"/>
          <w:szCs w:val="28"/>
          <w:lang w:val="en-US"/>
        </w:rPr>
        <w:t xml:space="preserve"> </w:t>
      </w:r>
      <w:r w:rsidRPr="007E0300">
        <w:rPr>
          <w:rFonts w:ascii="Times New Roman" w:hAnsi="Times New Roman"/>
          <w:sz w:val="28"/>
          <w:szCs w:val="28"/>
          <w:lang w:val="en-US"/>
        </w:rPr>
        <w:t>Larsen T., Hausken T., Otteraaen Ystad S.,</w:t>
      </w:r>
      <w:r>
        <w:rPr>
          <w:rFonts w:ascii="Times New Roman" w:hAnsi="Times New Roman"/>
          <w:sz w:val="28"/>
          <w:szCs w:val="28"/>
          <w:lang w:val="en-US"/>
        </w:rPr>
        <w:t xml:space="preserve"> </w:t>
      </w:r>
      <w:r w:rsidRPr="0060528F">
        <w:rPr>
          <w:rFonts w:ascii="Times New Roman" w:hAnsi="Times New Roman"/>
          <w:sz w:val="28"/>
          <w:szCs w:val="28"/>
          <w:lang w:val="en-US"/>
        </w:rPr>
        <w:t xml:space="preserve">et al. Does the low FODMAP diet improve symptoms of radiation-induced enteropathy? A pilot study // </w:t>
      </w:r>
      <w:r w:rsidRPr="007E0300">
        <w:rPr>
          <w:rFonts w:ascii="Times New Roman" w:hAnsi="Times New Roman"/>
          <w:sz w:val="28"/>
          <w:szCs w:val="28"/>
          <w:lang w:val="en-US"/>
        </w:rPr>
        <w:t>Scandinavian journal of gastroenterology</w:t>
      </w:r>
      <w:r w:rsidRPr="0060528F">
        <w:rPr>
          <w:rFonts w:ascii="Times New Roman" w:hAnsi="Times New Roman"/>
          <w:sz w:val="28"/>
          <w:szCs w:val="28"/>
          <w:lang w:val="en-US"/>
        </w:rPr>
        <w:t>. – 2018. – Vol.</w:t>
      </w:r>
      <w:r>
        <w:rPr>
          <w:rFonts w:ascii="Times New Roman" w:hAnsi="Times New Roman"/>
          <w:sz w:val="28"/>
          <w:szCs w:val="28"/>
          <w:lang w:val="en-US"/>
        </w:rPr>
        <w:t xml:space="preserve"> </w:t>
      </w:r>
      <w:r w:rsidRPr="0060528F">
        <w:rPr>
          <w:rFonts w:ascii="Times New Roman" w:hAnsi="Times New Roman"/>
          <w:sz w:val="28"/>
          <w:szCs w:val="28"/>
          <w:lang w:val="en-US"/>
        </w:rPr>
        <w:t>53, №</w:t>
      </w:r>
      <w:r>
        <w:rPr>
          <w:rFonts w:ascii="Times New Roman" w:hAnsi="Times New Roman"/>
          <w:sz w:val="28"/>
          <w:szCs w:val="28"/>
          <w:lang w:val="en-US"/>
        </w:rPr>
        <w:t xml:space="preserve"> </w:t>
      </w:r>
      <w:r w:rsidRPr="0060528F">
        <w:rPr>
          <w:rFonts w:ascii="Times New Roman" w:hAnsi="Times New Roman"/>
          <w:sz w:val="28"/>
          <w:szCs w:val="28"/>
          <w:lang w:val="en-US"/>
        </w:rPr>
        <w:t>5. – P. 541-548.</w:t>
      </w:r>
    </w:p>
    <w:p w14:paraId="1A441D78" w14:textId="77777777" w:rsidR="00BB318A" w:rsidRPr="0060528F" w:rsidRDefault="00BB318A" w:rsidP="00BB318A">
      <w:pPr>
        <w:pStyle w:val="a7"/>
        <w:ind w:left="0" w:firstLine="567"/>
        <w:jc w:val="both"/>
        <w:rPr>
          <w:rFonts w:ascii="Times New Roman" w:hAnsi="Times New Roman"/>
          <w:sz w:val="28"/>
          <w:szCs w:val="28"/>
          <w:lang w:val="en-US"/>
        </w:rPr>
      </w:pPr>
      <w:r w:rsidRPr="00C954CB">
        <w:rPr>
          <w:rFonts w:ascii="Times New Roman" w:hAnsi="Times New Roman"/>
          <w:sz w:val="28"/>
          <w:szCs w:val="28"/>
          <w:lang w:val="en-US"/>
        </w:rPr>
        <w:t>221</w:t>
      </w:r>
      <w:r w:rsidRPr="0060528F">
        <w:rPr>
          <w:rFonts w:ascii="Times New Roman" w:hAnsi="Times New Roman"/>
          <w:sz w:val="28"/>
          <w:szCs w:val="28"/>
          <w:lang w:val="en-US"/>
        </w:rPr>
        <w:t xml:space="preserve"> </w:t>
      </w:r>
      <w:r w:rsidRPr="007E0300">
        <w:rPr>
          <w:rFonts w:ascii="Times New Roman" w:hAnsi="Times New Roman"/>
          <w:sz w:val="28"/>
          <w:szCs w:val="28"/>
          <w:lang w:val="en-US"/>
        </w:rPr>
        <w:t xml:space="preserve">Holma R., Laatikainen R., Orell H., </w:t>
      </w:r>
      <w:r w:rsidRPr="0060528F">
        <w:rPr>
          <w:rFonts w:ascii="Times New Roman" w:hAnsi="Times New Roman"/>
          <w:sz w:val="28"/>
          <w:szCs w:val="28"/>
          <w:lang w:val="en-US"/>
        </w:rPr>
        <w:t>et al. Consumption of Lactose, Other FODMAPs and Diarrhoea during Adjuvant 5-Fluorouracil Chemotherapy for Colorectal Cancer // Nutrients. – 2020. - Vol. 12, №</w:t>
      </w:r>
      <w:r>
        <w:rPr>
          <w:rFonts w:ascii="Times New Roman" w:hAnsi="Times New Roman"/>
          <w:sz w:val="28"/>
          <w:szCs w:val="28"/>
          <w:lang w:val="en-US"/>
        </w:rPr>
        <w:t xml:space="preserve"> </w:t>
      </w:r>
      <w:r w:rsidRPr="0060528F">
        <w:rPr>
          <w:rFonts w:ascii="Times New Roman" w:hAnsi="Times New Roman"/>
          <w:sz w:val="28"/>
          <w:szCs w:val="28"/>
          <w:lang w:val="en-US"/>
        </w:rPr>
        <w:t>2. – P. 407-1-407-13.</w:t>
      </w:r>
    </w:p>
    <w:p w14:paraId="422B3C1E"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0A1D06">
        <w:rPr>
          <w:rFonts w:ascii="Times New Roman" w:hAnsi="Times New Roman"/>
          <w:sz w:val="28"/>
          <w:szCs w:val="28"/>
          <w:lang w:val="en-US"/>
        </w:rPr>
        <w:t>222</w:t>
      </w:r>
      <w:r w:rsidRPr="0060528F">
        <w:rPr>
          <w:rFonts w:ascii="Times New Roman" w:hAnsi="Times New Roman"/>
          <w:sz w:val="28"/>
          <w:szCs w:val="28"/>
          <w:lang w:val="en-US"/>
        </w:rPr>
        <w:t xml:space="preserve"> </w:t>
      </w:r>
      <w:r w:rsidRPr="00195FEF">
        <w:rPr>
          <w:rFonts w:ascii="Times New Roman" w:hAnsi="Times New Roman"/>
          <w:sz w:val="28"/>
          <w:szCs w:val="28"/>
          <w:lang w:val="en-US"/>
        </w:rPr>
        <w:t>Zhan Y.L., Zhan Y.A., Dai S.X</w:t>
      </w:r>
      <w:r w:rsidRPr="0060528F">
        <w:rPr>
          <w:rFonts w:ascii="Times New Roman" w:hAnsi="Times New Roman"/>
          <w:sz w:val="28"/>
          <w:szCs w:val="28"/>
          <w:lang w:val="en-US"/>
        </w:rPr>
        <w:t>. Is a Low FODMAP Diet Beneficial for Patients with Inflammatory Bowel Disease? A Meta-analysis and Systematic Review // Clinical Nutrition. – 2017. – Vol. 37, №</w:t>
      </w:r>
      <w:r>
        <w:rPr>
          <w:rFonts w:ascii="Times New Roman" w:hAnsi="Times New Roman"/>
          <w:sz w:val="28"/>
          <w:szCs w:val="28"/>
          <w:lang w:val="en-US"/>
        </w:rPr>
        <w:t xml:space="preserve"> </w:t>
      </w:r>
      <w:r w:rsidRPr="0060528F">
        <w:rPr>
          <w:rFonts w:ascii="Times New Roman" w:hAnsi="Times New Roman"/>
          <w:sz w:val="28"/>
          <w:szCs w:val="28"/>
          <w:lang w:val="en-US"/>
        </w:rPr>
        <w:t>1. – P. 123-129.</w:t>
      </w:r>
    </w:p>
    <w:p w14:paraId="0FAE153B" w14:textId="77777777" w:rsidR="00BB318A" w:rsidRPr="00217AA3" w:rsidRDefault="00BB318A" w:rsidP="00BB318A">
      <w:pPr>
        <w:spacing w:after="0" w:line="240" w:lineRule="auto"/>
        <w:ind w:firstLine="567"/>
        <w:jc w:val="both"/>
        <w:rPr>
          <w:rFonts w:ascii="Times New Roman" w:hAnsi="Times New Roman"/>
          <w:i/>
          <w:iCs/>
          <w:sz w:val="28"/>
          <w:szCs w:val="28"/>
          <w:lang w:val="en-US"/>
        </w:rPr>
      </w:pPr>
      <w:r w:rsidRPr="000A1D06">
        <w:rPr>
          <w:rFonts w:ascii="Times New Roman" w:hAnsi="Times New Roman"/>
          <w:sz w:val="28"/>
          <w:szCs w:val="28"/>
          <w:lang w:val="en-US"/>
        </w:rPr>
        <w:t>223</w:t>
      </w:r>
      <w:r w:rsidRPr="0060528F">
        <w:rPr>
          <w:rStyle w:val="20"/>
          <w:rFonts w:ascii="Times New Roman" w:hAnsi="Times New Roman"/>
          <w:sz w:val="28"/>
          <w:szCs w:val="28"/>
          <w:lang w:val="en-US"/>
        </w:rPr>
        <w:t xml:space="preserve"> </w:t>
      </w:r>
      <w:r w:rsidRPr="0060528F">
        <w:rPr>
          <w:rStyle w:val="extendedtext-short"/>
          <w:rFonts w:ascii="Times New Roman" w:hAnsi="Times New Roman"/>
          <w:bCs/>
          <w:sz w:val="28"/>
          <w:szCs w:val="28"/>
          <w:lang w:val="en-US"/>
        </w:rPr>
        <w:t>Dionne</w:t>
      </w:r>
      <w:r w:rsidRPr="0060528F">
        <w:rPr>
          <w:rStyle w:val="extendedtext-short"/>
          <w:rFonts w:ascii="Times New Roman" w:hAnsi="Times New Roman"/>
          <w:sz w:val="28"/>
          <w:szCs w:val="28"/>
          <w:lang w:val="en-US"/>
        </w:rPr>
        <w:t xml:space="preserve"> J., </w:t>
      </w:r>
      <w:r w:rsidRPr="0060528F">
        <w:rPr>
          <w:rStyle w:val="extendedtext-short"/>
          <w:rFonts w:ascii="Times New Roman" w:hAnsi="Times New Roman"/>
          <w:bCs/>
          <w:sz w:val="28"/>
          <w:szCs w:val="28"/>
          <w:lang w:val="en-US"/>
        </w:rPr>
        <w:t>Ford</w:t>
      </w:r>
      <w:r w:rsidRPr="0060528F">
        <w:rPr>
          <w:rStyle w:val="extendedtext-short"/>
          <w:rFonts w:ascii="Times New Roman" w:hAnsi="Times New Roman"/>
          <w:sz w:val="28"/>
          <w:szCs w:val="28"/>
          <w:lang w:val="en-US"/>
        </w:rPr>
        <w:t xml:space="preserve"> A.C., </w:t>
      </w:r>
      <w:r w:rsidRPr="0060528F">
        <w:rPr>
          <w:rStyle w:val="extendedtext-short"/>
          <w:rFonts w:ascii="Times New Roman" w:hAnsi="Times New Roman"/>
          <w:bCs/>
          <w:sz w:val="28"/>
          <w:szCs w:val="28"/>
          <w:lang w:val="en-US"/>
        </w:rPr>
        <w:t>Yuan</w:t>
      </w:r>
      <w:r w:rsidRPr="0060528F">
        <w:rPr>
          <w:rStyle w:val="extendedtext-short"/>
          <w:rFonts w:ascii="Times New Roman" w:hAnsi="Times New Roman"/>
          <w:sz w:val="28"/>
          <w:szCs w:val="28"/>
          <w:lang w:val="en-US"/>
        </w:rPr>
        <w:t xml:space="preserve"> Y.</w:t>
      </w:r>
      <w:r w:rsidRPr="0060528F">
        <w:rPr>
          <w:rFonts w:ascii="Times New Roman" w:hAnsi="Times New Roman"/>
          <w:sz w:val="28"/>
          <w:szCs w:val="28"/>
          <w:lang w:val="en-US"/>
        </w:rPr>
        <w:t xml:space="preserve"> et al. </w:t>
      </w:r>
      <w:r w:rsidRPr="00217AA3">
        <w:rPr>
          <w:rStyle w:val="a5"/>
          <w:rFonts w:ascii="Times New Roman" w:hAnsi="Times New Roman"/>
          <w:i w:val="0"/>
          <w:iCs w:val="0"/>
          <w:sz w:val="28"/>
          <w:szCs w:val="28"/>
          <w:lang w:val="en-US"/>
        </w:rPr>
        <w:t xml:space="preserve">A Systematic Review and Meta-Analysis Evaluating the Efficacy of a Gluten-Free Diet and a Low FODMAPs Diet in Treating Symptoms of Irritable Bowel Syndrome // American Journal of gastroenterology. – 2018. – Vol. 113, № 9. – </w:t>
      </w:r>
      <w:r w:rsidRPr="00217AA3">
        <w:rPr>
          <w:rStyle w:val="a5"/>
          <w:rFonts w:ascii="Times New Roman" w:hAnsi="Times New Roman"/>
          <w:i w:val="0"/>
          <w:iCs w:val="0"/>
          <w:sz w:val="28"/>
          <w:szCs w:val="28"/>
        </w:rPr>
        <w:t>Р</w:t>
      </w:r>
      <w:r w:rsidRPr="00217AA3">
        <w:rPr>
          <w:rStyle w:val="a5"/>
          <w:rFonts w:ascii="Times New Roman" w:hAnsi="Times New Roman"/>
          <w:i w:val="0"/>
          <w:iCs w:val="0"/>
          <w:sz w:val="28"/>
          <w:szCs w:val="28"/>
          <w:lang w:val="en-US"/>
        </w:rPr>
        <w:t>. 1290-1300.</w:t>
      </w:r>
    </w:p>
    <w:p w14:paraId="2471331B" w14:textId="77777777" w:rsidR="00BB318A" w:rsidRPr="0060528F" w:rsidRDefault="00BB318A" w:rsidP="00BB318A">
      <w:pPr>
        <w:pStyle w:val="a7"/>
        <w:ind w:left="0" w:firstLine="567"/>
        <w:jc w:val="both"/>
        <w:rPr>
          <w:rFonts w:ascii="Times New Roman" w:hAnsi="Times New Roman"/>
          <w:sz w:val="28"/>
          <w:szCs w:val="28"/>
          <w:lang w:val="en-US"/>
        </w:rPr>
      </w:pPr>
      <w:r w:rsidRPr="000A1D06">
        <w:rPr>
          <w:rFonts w:ascii="Times New Roman" w:hAnsi="Times New Roman"/>
          <w:sz w:val="28"/>
          <w:szCs w:val="28"/>
          <w:lang w:val="en-US"/>
        </w:rPr>
        <w:t>224</w:t>
      </w:r>
      <w:r w:rsidRPr="0060528F">
        <w:rPr>
          <w:rFonts w:ascii="Times New Roman" w:hAnsi="Times New Roman"/>
          <w:sz w:val="28"/>
          <w:szCs w:val="28"/>
          <w:lang w:val="en-US"/>
        </w:rPr>
        <w:t xml:space="preserve"> </w:t>
      </w:r>
      <w:r w:rsidRPr="00195FEF">
        <w:rPr>
          <w:rFonts w:ascii="Times New Roman" w:hAnsi="Times New Roman"/>
          <w:sz w:val="28"/>
          <w:szCs w:val="28"/>
          <w:lang w:val="en-US"/>
        </w:rPr>
        <w:t>Liu D., Jiang X.Y., Zhou L.S., Song J</w:t>
      </w:r>
      <w:r>
        <w:rPr>
          <w:rFonts w:ascii="Times New Roman" w:hAnsi="Times New Roman"/>
          <w:sz w:val="28"/>
          <w:szCs w:val="28"/>
          <w:lang w:val="en-US"/>
        </w:rPr>
        <w:t>.</w:t>
      </w:r>
      <w:r w:rsidRPr="00195FEF">
        <w:rPr>
          <w:rFonts w:ascii="Times New Roman" w:hAnsi="Times New Roman"/>
          <w:sz w:val="28"/>
          <w:szCs w:val="28"/>
          <w:lang w:val="en-US"/>
        </w:rPr>
        <w:t>H., Zhang X</w:t>
      </w:r>
      <w:r w:rsidRPr="0060528F">
        <w:rPr>
          <w:rFonts w:ascii="Times New Roman" w:hAnsi="Times New Roman"/>
          <w:sz w:val="28"/>
          <w:szCs w:val="28"/>
          <w:lang w:val="en-US"/>
        </w:rPr>
        <w:t>. Effects of Probiotics on Intestinal Mucosa Barrier in Patients With Colorectal Cancer after Operation // Medicine. – 2016. –  Vol. 95, №</w:t>
      </w:r>
      <w:r>
        <w:rPr>
          <w:rFonts w:ascii="Times New Roman" w:hAnsi="Times New Roman"/>
          <w:sz w:val="28"/>
          <w:szCs w:val="28"/>
          <w:lang w:val="en-US"/>
        </w:rPr>
        <w:t xml:space="preserve"> </w:t>
      </w:r>
      <w:r w:rsidRPr="0060528F">
        <w:rPr>
          <w:rFonts w:ascii="Times New Roman" w:hAnsi="Times New Roman"/>
          <w:sz w:val="28"/>
          <w:szCs w:val="28"/>
          <w:lang w:val="en-US"/>
        </w:rPr>
        <w:t>15. – P. 3342-3356.</w:t>
      </w:r>
    </w:p>
    <w:p w14:paraId="25C24EE7" w14:textId="77777777" w:rsidR="00BB318A" w:rsidRPr="0060528F" w:rsidRDefault="00BB318A" w:rsidP="00BB318A">
      <w:pPr>
        <w:pStyle w:val="a7"/>
        <w:ind w:left="0" w:firstLine="567"/>
        <w:jc w:val="both"/>
        <w:rPr>
          <w:rFonts w:ascii="Times New Roman" w:hAnsi="Times New Roman"/>
          <w:sz w:val="28"/>
          <w:szCs w:val="28"/>
          <w:lang w:val="en-US"/>
        </w:rPr>
      </w:pPr>
      <w:r w:rsidRPr="000A1D06">
        <w:rPr>
          <w:rFonts w:ascii="Times New Roman" w:hAnsi="Times New Roman"/>
          <w:sz w:val="28"/>
          <w:szCs w:val="28"/>
          <w:lang w:val="en-US"/>
        </w:rPr>
        <w:t>225</w:t>
      </w:r>
      <w:r w:rsidRPr="0060528F">
        <w:rPr>
          <w:rFonts w:ascii="Times New Roman" w:hAnsi="Times New Roman"/>
          <w:sz w:val="28"/>
          <w:szCs w:val="28"/>
          <w:lang w:val="en-US"/>
        </w:rPr>
        <w:t xml:space="preserve"> Capurso L. Thirty years of lactobacillus rhamnosus gg: a review // Journal of clinical gastroenterology. – 2019. – Vol. 53. – P. S1-S41.</w:t>
      </w:r>
    </w:p>
    <w:p w14:paraId="2A59C152" w14:textId="77777777" w:rsidR="00BB318A" w:rsidRPr="0060528F" w:rsidRDefault="00BB318A" w:rsidP="00BB318A">
      <w:pPr>
        <w:pStyle w:val="a7"/>
        <w:ind w:left="0" w:firstLine="567"/>
        <w:jc w:val="both"/>
        <w:rPr>
          <w:rFonts w:ascii="Times New Roman" w:hAnsi="Times New Roman"/>
          <w:sz w:val="28"/>
          <w:szCs w:val="28"/>
          <w:lang w:val="en-US"/>
        </w:rPr>
      </w:pPr>
      <w:r w:rsidRPr="000A1D06">
        <w:rPr>
          <w:rFonts w:ascii="Times New Roman" w:hAnsi="Times New Roman"/>
          <w:sz w:val="28"/>
          <w:szCs w:val="28"/>
          <w:lang w:val="en-US"/>
        </w:rPr>
        <w:t>226</w:t>
      </w:r>
      <w:r w:rsidRPr="0060528F">
        <w:rPr>
          <w:rFonts w:ascii="Times New Roman" w:hAnsi="Times New Roman"/>
          <w:sz w:val="28"/>
          <w:szCs w:val="28"/>
          <w:lang w:val="en-US"/>
        </w:rPr>
        <w:t xml:space="preserve"> Mainguet P., Fiasse R. Double-blind placebo-controlled study of loperamide (Imodium) in chronic diarrhoea caused by ileocolic disease or resection. // Gut. – 1977. – Vol. 18, №</w:t>
      </w:r>
      <w:r>
        <w:rPr>
          <w:rFonts w:ascii="Times New Roman" w:hAnsi="Times New Roman"/>
          <w:sz w:val="28"/>
          <w:szCs w:val="28"/>
          <w:lang w:val="en-US"/>
        </w:rPr>
        <w:t xml:space="preserve"> </w:t>
      </w:r>
      <w:r w:rsidRPr="0060528F">
        <w:rPr>
          <w:rFonts w:ascii="Times New Roman" w:hAnsi="Times New Roman"/>
          <w:sz w:val="28"/>
          <w:szCs w:val="28"/>
          <w:lang w:val="en-US"/>
        </w:rPr>
        <w:t>7. – P. 575-579.</w:t>
      </w:r>
    </w:p>
    <w:p w14:paraId="505A329E"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0A1D06">
        <w:rPr>
          <w:rFonts w:ascii="Times New Roman" w:hAnsi="Times New Roman"/>
          <w:sz w:val="28"/>
          <w:szCs w:val="28"/>
          <w:lang w:val="en-US"/>
        </w:rPr>
        <w:t>27</w:t>
      </w:r>
      <w:r w:rsidRPr="0060528F">
        <w:rPr>
          <w:rFonts w:ascii="Times New Roman" w:hAnsi="Times New Roman"/>
          <w:sz w:val="28"/>
          <w:szCs w:val="28"/>
          <w:lang w:val="en-US"/>
        </w:rPr>
        <w:t xml:space="preserve"> Mainguet P., Fiasse R., Turine J.B. Long-Term survey of the treatment of diarrhoea with loperamide // Digestion. – 1977. – Vol. 16, №</w:t>
      </w:r>
      <w:r>
        <w:rPr>
          <w:rFonts w:ascii="Times New Roman" w:hAnsi="Times New Roman"/>
          <w:sz w:val="28"/>
          <w:szCs w:val="28"/>
          <w:lang w:val="en-US"/>
        </w:rPr>
        <w:t xml:space="preserve"> </w:t>
      </w:r>
      <w:r w:rsidRPr="0060528F">
        <w:rPr>
          <w:rFonts w:ascii="Times New Roman" w:hAnsi="Times New Roman"/>
          <w:sz w:val="28"/>
          <w:szCs w:val="28"/>
          <w:lang w:val="en-US"/>
        </w:rPr>
        <w:t>1-2. – P. 69-76.</w:t>
      </w:r>
    </w:p>
    <w:p w14:paraId="2F54AA58"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0A1D06">
        <w:rPr>
          <w:rFonts w:ascii="Times New Roman" w:hAnsi="Times New Roman"/>
          <w:sz w:val="28"/>
          <w:szCs w:val="28"/>
          <w:lang w:val="en-US"/>
        </w:rPr>
        <w:t>28</w:t>
      </w:r>
      <w:r w:rsidRPr="0060528F">
        <w:rPr>
          <w:rFonts w:ascii="Times New Roman" w:hAnsi="Times New Roman"/>
          <w:sz w:val="28"/>
          <w:szCs w:val="28"/>
          <w:lang w:val="en-US"/>
        </w:rPr>
        <w:t xml:space="preserve"> Qvitzau S., Matzen P., Madsen P. Treatment of Chronic Diarrhoea: Loperamide versus Ispaghula Husk and Calcium // Scandinavian Journal of Gastroenterology. – 1988. – Vol. 23, №</w:t>
      </w:r>
      <w:r>
        <w:rPr>
          <w:rFonts w:ascii="Times New Roman" w:hAnsi="Times New Roman"/>
          <w:sz w:val="28"/>
          <w:szCs w:val="28"/>
          <w:lang w:val="en-US"/>
        </w:rPr>
        <w:t xml:space="preserve"> </w:t>
      </w:r>
      <w:r w:rsidRPr="0060528F">
        <w:rPr>
          <w:rFonts w:ascii="Times New Roman" w:hAnsi="Times New Roman"/>
          <w:sz w:val="28"/>
          <w:szCs w:val="28"/>
          <w:lang w:val="en-US"/>
        </w:rPr>
        <w:t>10. – P. 1237-1240.</w:t>
      </w:r>
    </w:p>
    <w:p w14:paraId="5E17CEBA"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C954CB">
        <w:rPr>
          <w:rFonts w:ascii="Times New Roman" w:hAnsi="Times New Roman"/>
          <w:sz w:val="28"/>
          <w:szCs w:val="28"/>
          <w:lang w:val="en-US"/>
        </w:rPr>
        <w:t>29</w:t>
      </w:r>
      <w:r w:rsidRPr="0060528F">
        <w:rPr>
          <w:rFonts w:ascii="Times New Roman" w:hAnsi="Times New Roman"/>
          <w:sz w:val="28"/>
          <w:szCs w:val="28"/>
          <w:lang w:val="en-US"/>
        </w:rPr>
        <w:t xml:space="preserve"> </w:t>
      </w:r>
      <w:r w:rsidRPr="00654744">
        <w:rPr>
          <w:rFonts w:ascii="Times New Roman" w:hAnsi="Times New Roman"/>
          <w:sz w:val="28"/>
          <w:szCs w:val="28"/>
          <w:lang w:val="en-US"/>
        </w:rPr>
        <w:t>Mortensen K., Christensen L.L., Holst J.J., Orskov C.</w:t>
      </w:r>
      <w:r w:rsidRPr="0060528F">
        <w:rPr>
          <w:rFonts w:ascii="Times New Roman" w:hAnsi="Times New Roman"/>
          <w:sz w:val="28"/>
          <w:szCs w:val="28"/>
          <w:lang w:val="en-US"/>
        </w:rPr>
        <w:t xml:space="preserve"> GLP-1 and GIP are colocalized in a subset of endocrine cells in the small intestine // Regulatory Peptides. – 2003. – Vol. 114, №2</w:t>
      </w:r>
      <w:r>
        <w:rPr>
          <w:rFonts w:ascii="Times New Roman" w:hAnsi="Times New Roman"/>
          <w:sz w:val="28"/>
          <w:szCs w:val="28"/>
          <w:lang w:val="en-US"/>
        </w:rPr>
        <w:t xml:space="preserve"> </w:t>
      </w:r>
      <w:r w:rsidRPr="0060528F">
        <w:rPr>
          <w:rFonts w:ascii="Times New Roman" w:hAnsi="Times New Roman"/>
          <w:sz w:val="28"/>
          <w:szCs w:val="28"/>
          <w:lang w:val="en-US"/>
        </w:rPr>
        <w:t>(3). – P. 189-196.</w:t>
      </w:r>
    </w:p>
    <w:p w14:paraId="5262B0D4"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B13979">
        <w:rPr>
          <w:rFonts w:ascii="Times New Roman" w:hAnsi="Times New Roman"/>
          <w:sz w:val="28"/>
          <w:szCs w:val="28"/>
          <w:lang w:val="en-US"/>
        </w:rPr>
        <w:t>30</w:t>
      </w:r>
      <w:r w:rsidRPr="0060528F">
        <w:rPr>
          <w:rFonts w:ascii="Times New Roman" w:hAnsi="Times New Roman"/>
          <w:sz w:val="28"/>
          <w:szCs w:val="28"/>
          <w:lang w:val="en-US"/>
        </w:rPr>
        <w:t xml:space="preserve"> Cann P.A., Read N.W., Holdsworth C.D. What is the benefit of coarse wheat bran in patients with irritable bowel syndrome? // Gut. – 1984. – Vol. 25, №</w:t>
      </w:r>
      <w:r>
        <w:rPr>
          <w:rFonts w:ascii="Times New Roman" w:hAnsi="Times New Roman"/>
          <w:sz w:val="28"/>
          <w:szCs w:val="28"/>
          <w:lang w:val="en-US"/>
        </w:rPr>
        <w:t xml:space="preserve"> </w:t>
      </w:r>
      <w:r w:rsidRPr="0060528F">
        <w:rPr>
          <w:rFonts w:ascii="Times New Roman" w:hAnsi="Times New Roman"/>
          <w:sz w:val="28"/>
          <w:szCs w:val="28"/>
          <w:lang w:val="en-US"/>
        </w:rPr>
        <w:t>2. – P.</w:t>
      </w:r>
      <w:r w:rsidRPr="00654744">
        <w:rPr>
          <w:rFonts w:ascii="Times New Roman" w:hAnsi="Times New Roman"/>
          <w:sz w:val="28"/>
          <w:szCs w:val="28"/>
          <w:lang w:val="en-US"/>
        </w:rPr>
        <w:t xml:space="preserve"> </w:t>
      </w:r>
      <w:r w:rsidRPr="0060528F">
        <w:rPr>
          <w:rFonts w:ascii="Times New Roman" w:hAnsi="Times New Roman"/>
          <w:sz w:val="28"/>
          <w:szCs w:val="28"/>
          <w:lang w:val="en-US"/>
        </w:rPr>
        <w:t> 168-173.</w:t>
      </w:r>
    </w:p>
    <w:p w14:paraId="2F268723"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B13979">
        <w:rPr>
          <w:rFonts w:ascii="Times New Roman" w:hAnsi="Times New Roman"/>
          <w:sz w:val="28"/>
          <w:szCs w:val="28"/>
          <w:lang w:val="en-US"/>
        </w:rPr>
        <w:t>31</w:t>
      </w:r>
      <w:r w:rsidRPr="0060528F">
        <w:rPr>
          <w:rFonts w:ascii="Times New Roman" w:hAnsi="Times New Roman"/>
          <w:sz w:val="28"/>
          <w:szCs w:val="28"/>
          <w:lang w:val="en-US"/>
        </w:rPr>
        <w:t xml:space="preserve"> </w:t>
      </w:r>
      <w:r w:rsidRPr="009E3189">
        <w:rPr>
          <w:rFonts w:ascii="Times New Roman" w:hAnsi="Times New Roman"/>
          <w:sz w:val="28"/>
          <w:szCs w:val="28"/>
          <w:lang w:val="en-US"/>
        </w:rPr>
        <w:t>Markland A.D., Burgio K.L., Whitehead W.E.,</w:t>
      </w:r>
      <w:r w:rsidRPr="0060528F">
        <w:rPr>
          <w:rFonts w:ascii="Times New Roman" w:hAnsi="Times New Roman"/>
          <w:sz w:val="28"/>
          <w:szCs w:val="28"/>
          <w:lang w:val="en-US"/>
        </w:rPr>
        <w:t xml:space="preserve"> et al. Loperamide versus psyllium fiber for treatment of fecal incontinence: the fecal incontinence prescription (Rx) management (FIRM) Randomized Clinical Trial // Diseases of the Colon &amp; Rectum. – 2015. – Vol. 58, № 10. – P. 983-993.</w:t>
      </w:r>
    </w:p>
    <w:p w14:paraId="741B268C"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B13979">
        <w:rPr>
          <w:rFonts w:ascii="Times New Roman" w:hAnsi="Times New Roman"/>
          <w:sz w:val="28"/>
          <w:szCs w:val="28"/>
          <w:lang w:val="en-US"/>
        </w:rPr>
        <w:t>32</w:t>
      </w:r>
      <w:r w:rsidRPr="0060528F">
        <w:rPr>
          <w:rFonts w:ascii="Times New Roman" w:hAnsi="Times New Roman"/>
          <w:sz w:val="28"/>
          <w:szCs w:val="28"/>
          <w:lang w:val="en-US"/>
        </w:rPr>
        <w:t xml:space="preserve"> Isenring E.A., Capra S., Bauer J.D. Nutrition intervention is beneficial in oncology outpatients receiving radiotherapy to the gastrointestinal or head and neck area // </w:t>
      </w:r>
      <w:r w:rsidRPr="009E3189">
        <w:rPr>
          <w:rFonts w:ascii="Times New Roman" w:hAnsi="Times New Roman"/>
          <w:sz w:val="28"/>
          <w:szCs w:val="28"/>
          <w:lang w:val="en-US"/>
        </w:rPr>
        <w:t>British journal of cancer</w:t>
      </w:r>
      <w:r w:rsidRPr="0060528F">
        <w:rPr>
          <w:rFonts w:ascii="Times New Roman" w:hAnsi="Times New Roman"/>
          <w:sz w:val="28"/>
          <w:szCs w:val="28"/>
          <w:lang w:val="en-US"/>
        </w:rPr>
        <w:t>. – 2004. – Vol. 91, №</w:t>
      </w:r>
      <w:r>
        <w:rPr>
          <w:rFonts w:ascii="Times New Roman" w:hAnsi="Times New Roman"/>
          <w:sz w:val="28"/>
          <w:szCs w:val="28"/>
          <w:lang w:val="en-US"/>
        </w:rPr>
        <w:t xml:space="preserve"> </w:t>
      </w:r>
      <w:r w:rsidRPr="0060528F">
        <w:rPr>
          <w:rFonts w:ascii="Times New Roman" w:hAnsi="Times New Roman"/>
          <w:sz w:val="28"/>
          <w:szCs w:val="28"/>
          <w:lang w:val="en-US"/>
        </w:rPr>
        <w:t>3. – P. 447-452.</w:t>
      </w:r>
    </w:p>
    <w:p w14:paraId="50A2CB16"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C954CB">
        <w:rPr>
          <w:rFonts w:ascii="Times New Roman" w:hAnsi="Times New Roman"/>
          <w:sz w:val="28"/>
          <w:szCs w:val="28"/>
          <w:lang w:val="en-US"/>
        </w:rPr>
        <w:t>33</w:t>
      </w:r>
      <w:r w:rsidRPr="0060528F">
        <w:rPr>
          <w:rFonts w:ascii="Times New Roman" w:hAnsi="Times New Roman"/>
          <w:sz w:val="28"/>
          <w:szCs w:val="28"/>
          <w:lang w:val="en-US"/>
        </w:rPr>
        <w:t xml:space="preserve"> </w:t>
      </w:r>
      <w:r w:rsidRPr="00802A27">
        <w:rPr>
          <w:rFonts w:ascii="Times New Roman" w:hAnsi="Times New Roman"/>
          <w:sz w:val="28"/>
          <w:szCs w:val="28"/>
          <w:lang w:val="en-US"/>
        </w:rPr>
        <w:t>Ravasco P., Monteiro-Grillo I., Marques Vidal P., Camilo M. E</w:t>
      </w:r>
      <w:r w:rsidRPr="0060528F">
        <w:rPr>
          <w:rFonts w:ascii="Times New Roman" w:hAnsi="Times New Roman"/>
          <w:sz w:val="28"/>
          <w:szCs w:val="28"/>
          <w:lang w:val="en-US"/>
        </w:rPr>
        <w:t xml:space="preserve">. Impact of nutrition on outcome: a prospective randomized controlled trial in patients with head and neck cancer undergoing radiotherapy // </w:t>
      </w:r>
      <w:r w:rsidRPr="00802A27">
        <w:rPr>
          <w:rFonts w:ascii="Times New Roman" w:hAnsi="Times New Roman"/>
          <w:sz w:val="28"/>
          <w:szCs w:val="28"/>
          <w:lang w:val="en-US"/>
        </w:rPr>
        <w:t>Head &amp; neck</w:t>
      </w:r>
      <w:r w:rsidRPr="0060528F">
        <w:rPr>
          <w:rFonts w:ascii="Times New Roman" w:hAnsi="Times New Roman"/>
          <w:sz w:val="28"/>
          <w:szCs w:val="28"/>
          <w:lang w:val="en-US"/>
        </w:rPr>
        <w:t>. – 2005. – Vol. 27, №</w:t>
      </w:r>
      <w:r>
        <w:rPr>
          <w:rFonts w:ascii="Times New Roman" w:hAnsi="Times New Roman"/>
          <w:sz w:val="28"/>
          <w:szCs w:val="28"/>
          <w:lang w:val="en-US"/>
        </w:rPr>
        <w:t xml:space="preserve"> </w:t>
      </w:r>
      <w:r w:rsidRPr="0060528F">
        <w:rPr>
          <w:rFonts w:ascii="Times New Roman" w:hAnsi="Times New Roman"/>
          <w:sz w:val="28"/>
          <w:szCs w:val="28"/>
          <w:lang w:val="en-US"/>
        </w:rPr>
        <w:t>8. – P. 659-668.</w:t>
      </w:r>
    </w:p>
    <w:p w14:paraId="1055D925"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C954CB">
        <w:rPr>
          <w:rFonts w:ascii="Times New Roman" w:hAnsi="Times New Roman"/>
          <w:sz w:val="28"/>
          <w:szCs w:val="28"/>
          <w:lang w:val="en-US"/>
        </w:rPr>
        <w:t>34</w:t>
      </w:r>
      <w:r w:rsidRPr="0060528F">
        <w:rPr>
          <w:rFonts w:ascii="Times New Roman" w:hAnsi="Times New Roman"/>
          <w:sz w:val="28"/>
          <w:szCs w:val="28"/>
          <w:lang w:val="en-US"/>
        </w:rPr>
        <w:t xml:space="preserve"> </w:t>
      </w:r>
      <w:r w:rsidRPr="00802A27">
        <w:rPr>
          <w:rFonts w:ascii="Times New Roman" w:hAnsi="Times New Roman"/>
          <w:sz w:val="28"/>
          <w:szCs w:val="28"/>
          <w:lang w:val="en-US"/>
        </w:rPr>
        <w:t>Ravasco P., Monteiro-Grillo I., Vidal P.M., Camilo M.E</w:t>
      </w:r>
      <w:r w:rsidRPr="0060528F">
        <w:rPr>
          <w:rFonts w:ascii="Times New Roman" w:hAnsi="Times New Roman"/>
          <w:sz w:val="28"/>
          <w:szCs w:val="28"/>
          <w:lang w:val="en-US"/>
        </w:rPr>
        <w:t xml:space="preserve">. Dietary counseling improves patient outcomes: a prospective, randomized, controlled trial in colorectal </w:t>
      </w:r>
      <w:r w:rsidRPr="0060528F">
        <w:rPr>
          <w:rFonts w:ascii="Times New Roman" w:hAnsi="Times New Roman"/>
          <w:sz w:val="28"/>
          <w:szCs w:val="28"/>
          <w:lang w:val="en-US"/>
        </w:rPr>
        <w:lastRenderedPageBreak/>
        <w:t xml:space="preserve">cancer patients undergoing radiotherapy // </w:t>
      </w:r>
      <w:r w:rsidRPr="00802A27">
        <w:rPr>
          <w:rFonts w:ascii="Times New Roman" w:hAnsi="Times New Roman"/>
          <w:sz w:val="28"/>
          <w:szCs w:val="28"/>
          <w:lang w:val="en-US"/>
        </w:rPr>
        <w:t>Journal of clinical oncology: official journal of the American Society of Clinical Oncology</w:t>
      </w:r>
      <w:r w:rsidRPr="0060528F">
        <w:rPr>
          <w:rFonts w:ascii="Times New Roman" w:hAnsi="Times New Roman"/>
          <w:sz w:val="28"/>
          <w:szCs w:val="28"/>
          <w:lang w:val="en-US"/>
        </w:rPr>
        <w:t>. – 2005. – Vol. 23, №</w:t>
      </w:r>
      <w:r>
        <w:rPr>
          <w:rFonts w:ascii="Times New Roman" w:hAnsi="Times New Roman"/>
          <w:sz w:val="28"/>
          <w:szCs w:val="28"/>
          <w:lang w:val="en-US"/>
        </w:rPr>
        <w:t xml:space="preserve"> </w:t>
      </w:r>
      <w:r w:rsidRPr="0060528F">
        <w:rPr>
          <w:rFonts w:ascii="Times New Roman" w:hAnsi="Times New Roman"/>
          <w:sz w:val="28"/>
          <w:szCs w:val="28"/>
          <w:lang w:val="en-US"/>
        </w:rPr>
        <w:t>7. – P. 1431-1438.</w:t>
      </w:r>
    </w:p>
    <w:p w14:paraId="4878253A"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B13979">
        <w:rPr>
          <w:rFonts w:ascii="Times New Roman" w:hAnsi="Times New Roman"/>
          <w:sz w:val="28"/>
          <w:szCs w:val="28"/>
          <w:lang w:val="en-US"/>
        </w:rPr>
        <w:t>35</w:t>
      </w:r>
      <w:r w:rsidRPr="0060528F">
        <w:rPr>
          <w:rFonts w:ascii="Times New Roman" w:hAnsi="Times New Roman"/>
          <w:sz w:val="28"/>
          <w:szCs w:val="28"/>
          <w:lang w:val="en-US"/>
        </w:rPr>
        <w:t xml:space="preserve"> Baldwin C., Parsons T., Logan S. Dietary advice for illness-related malnutrition in adults // </w:t>
      </w:r>
      <w:r w:rsidRPr="00802A27">
        <w:rPr>
          <w:rFonts w:ascii="Times New Roman" w:hAnsi="Times New Roman"/>
          <w:sz w:val="28"/>
          <w:szCs w:val="28"/>
          <w:lang w:val="en-US"/>
        </w:rPr>
        <w:t>The Cochrane database of systematic reviews</w:t>
      </w:r>
      <w:r w:rsidRPr="0060528F">
        <w:rPr>
          <w:rFonts w:ascii="Times New Roman" w:hAnsi="Times New Roman"/>
          <w:sz w:val="28"/>
          <w:szCs w:val="28"/>
          <w:lang w:val="en-US"/>
        </w:rPr>
        <w:t>. – 2001. – Vol.</w:t>
      </w:r>
      <w:r w:rsidRPr="00E472C9">
        <w:rPr>
          <w:rFonts w:ascii="Times New Roman" w:hAnsi="Times New Roman"/>
          <w:sz w:val="28"/>
          <w:szCs w:val="28"/>
          <w:lang w:val="en-US"/>
        </w:rPr>
        <w:t xml:space="preserve"> </w:t>
      </w:r>
      <w:r w:rsidRPr="0060528F">
        <w:rPr>
          <w:rFonts w:ascii="Times New Roman" w:hAnsi="Times New Roman"/>
          <w:sz w:val="28"/>
          <w:szCs w:val="28"/>
          <w:lang w:val="en-US"/>
        </w:rPr>
        <w:t> 2. – P.</w:t>
      </w:r>
      <w:r>
        <w:rPr>
          <w:rFonts w:ascii="Times New Roman" w:hAnsi="Times New Roman"/>
          <w:sz w:val="28"/>
          <w:szCs w:val="28"/>
          <w:lang w:val="en-US"/>
        </w:rPr>
        <w:t xml:space="preserve"> </w:t>
      </w:r>
      <w:r w:rsidRPr="0060528F">
        <w:rPr>
          <w:rFonts w:ascii="Times New Roman" w:hAnsi="Times New Roman"/>
          <w:sz w:val="28"/>
          <w:szCs w:val="28"/>
          <w:lang w:val="en-US"/>
        </w:rPr>
        <w:t>1-15.</w:t>
      </w:r>
    </w:p>
    <w:p w14:paraId="4438F22B"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C954CB">
        <w:rPr>
          <w:rFonts w:ascii="Times New Roman" w:hAnsi="Times New Roman"/>
          <w:sz w:val="28"/>
          <w:szCs w:val="28"/>
          <w:lang w:val="en-US"/>
        </w:rPr>
        <w:t>36</w:t>
      </w:r>
      <w:r w:rsidRPr="0060528F">
        <w:rPr>
          <w:rFonts w:ascii="Times New Roman" w:hAnsi="Times New Roman"/>
          <w:sz w:val="28"/>
          <w:szCs w:val="28"/>
          <w:lang w:val="en-US"/>
        </w:rPr>
        <w:t xml:space="preserve"> </w:t>
      </w:r>
      <w:r w:rsidRPr="00E472C9">
        <w:rPr>
          <w:rFonts w:ascii="Times New Roman" w:hAnsi="Times New Roman"/>
          <w:sz w:val="28"/>
          <w:szCs w:val="28"/>
          <w:lang w:val="en-US"/>
        </w:rPr>
        <w:t>Duguet A., Bachmann P., Lallemand Y., Blanc-Vincent M.P., FNCLCC</w:t>
      </w:r>
      <w:r w:rsidRPr="0060528F">
        <w:rPr>
          <w:rFonts w:ascii="Times New Roman" w:hAnsi="Times New Roman"/>
          <w:sz w:val="28"/>
          <w:szCs w:val="28"/>
          <w:lang w:val="en-US"/>
        </w:rPr>
        <w:t xml:space="preserve">. Summary report of the Standards, Options and Recommendations for malnutrition and nutritional assessment in patients with cancer (1999) // </w:t>
      </w:r>
      <w:r w:rsidRPr="00E472C9">
        <w:rPr>
          <w:rFonts w:ascii="Times New Roman" w:hAnsi="Times New Roman"/>
          <w:sz w:val="28"/>
          <w:szCs w:val="28"/>
          <w:lang w:val="en-US"/>
        </w:rPr>
        <w:t>British journal of cancer</w:t>
      </w:r>
      <w:r w:rsidRPr="0060528F">
        <w:rPr>
          <w:rFonts w:ascii="Times New Roman" w:hAnsi="Times New Roman"/>
          <w:sz w:val="28"/>
          <w:szCs w:val="28"/>
          <w:lang w:val="en-US"/>
        </w:rPr>
        <w:t>. – 2003. – Vol. 89, Suppl 1. – P. S92-S97.</w:t>
      </w:r>
    </w:p>
    <w:p w14:paraId="57AF3C21"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C954CB">
        <w:rPr>
          <w:rFonts w:ascii="Times New Roman" w:hAnsi="Times New Roman"/>
          <w:sz w:val="28"/>
          <w:szCs w:val="28"/>
          <w:lang w:val="en-US"/>
        </w:rPr>
        <w:t>37</w:t>
      </w:r>
      <w:r w:rsidRPr="0060528F">
        <w:rPr>
          <w:rFonts w:ascii="Times New Roman" w:hAnsi="Times New Roman"/>
          <w:sz w:val="28"/>
          <w:szCs w:val="28"/>
          <w:lang w:val="en-US"/>
        </w:rPr>
        <w:t xml:space="preserve"> </w:t>
      </w:r>
      <w:r w:rsidRPr="00A26195">
        <w:rPr>
          <w:rFonts w:ascii="Times New Roman" w:hAnsi="Times New Roman"/>
          <w:sz w:val="28"/>
          <w:szCs w:val="28"/>
          <w:lang w:val="en-US"/>
        </w:rPr>
        <w:t>Ikeda K., Kimura Y., Iwaya T.,</w:t>
      </w:r>
      <w:r w:rsidRPr="0060528F">
        <w:rPr>
          <w:rFonts w:ascii="Times New Roman" w:hAnsi="Times New Roman"/>
          <w:sz w:val="28"/>
          <w:szCs w:val="28"/>
          <w:lang w:val="en-US"/>
        </w:rPr>
        <w:t xml:space="preserve"> et al. Perioperative nutrition for gastrointestinal surgery // Nihon Geka Gakkai Zasshi. – 2004. – Vol. 105, №</w:t>
      </w:r>
      <w:r>
        <w:rPr>
          <w:rFonts w:ascii="Times New Roman" w:hAnsi="Times New Roman"/>
          <w:sz w:val="28"/>
          <w:szCs w:val="28"/>
          <w:lang w:val="en-US"/>
        </w:rPr>
        <w:t xml:space="preserve"> </w:t>
      </w:r>
      <w:r w:rsidRPr="0060528F">
        <w:rPr>
          <w:rFonts w:ascii="Times New Roman" w:hAnsi="Times New Roman"/>
          <w:sz w:val="28"/>
          <w:szCs w:val="28"/>
          <w:lang w:val="en-US"/>
        </w:rPr>
        <w:t>2. – P.</w:t>
      </w:r>
      <w:r w:rsidRPr="00A26195">
        <w:rPr>
          <w:rFonts w:ascii="Times New Roman" w:hAnsi="Times New Roman"/>
          <w:sz w:val="28"/>
          <w:szCs w:val="28"/>
          <w:lang w:val="en-US"/>
        </w:rPr>
        <w:t xml:space="preserve"> </w:t>
      </w:r>
      <w:r w:rsidRPr="0060528F">
        <w:rPr>
          <w:rFonts w:ascii="Times New Roman" w:hAnsi="Times New Roman"/>
          <w:sz w:val="28"/>
          <w:szCs w:val="28"/>
          <w:lang w:val="en-US"/>
        </w:rPr>
        <w:t> 218-222.</w:t>
      </w:r>
    </w:p>
    <w:p w14:paraId="78A29607"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C954CB">
        <w:rPr>
          <w:rFonts w:ascii="Times New Roman" w:hAnsi="Times New Roman"/>
          <w:sz w:val="28"/>
          <w:szCs w:val="28"/>
          <w:lang w:val="en-US"/>
        </w:rPr>
        <w:t>38</w:t>
      </w:r>
      <w:r w:rsidRPr="0060528F">
        <w:rPr>
          <w:rFonts w:ascii="Times New Roman" w:hAnsi="Times New Roman"/>
          <w:sz w:val="28"/>
          <w:szCs w:val="28"/>
          <w:lang w:val="en-US"/>
        </w:rPr>
        <w:t xml:space="preserve"> </w:t>
      </w:r>
      <w:r w:rsidRPr="00A26195">
        <w:rPr>
          <w:rFonts w:ascii="Times New Roman" w:hAnsi="Times New Roman"/>
          <w:sz w:val="28"/>
          <w:szCs w:val="28"/>
          <w:lang w:val="en-US"/>
        </w:rPr>
        <w:t>Hoda D., Jatoi A., Burnes J., Loprinzi C., Kelly D</w:t>
      </w:r>
      <w:r w:rsidRPr="0060528F">
        <w:rPr>
          <w:rFonts w:ascii="Times New Roman" w:hAnsi="Times New Roman"/>
          <w:sz w:val="28"/>
          <w:szCs w:val="28"/>
          <w:lang w:val="en-US"/>
        </w:rPr>
        <w:t>. Should patients with advanced, incurable cancers ever be sent home with total parenteral nutrition? A single institution’s 20-year experience // Cancer. – 2005. – Vol. 103, №</w:t>
      </w:r>
      <w:r>
        <w:rPr>
          <w:rFonts w:ascii="Times New Roman" w:hAnsi="Times New Roman"/>
          <w:sz w:val="28"/>
          <w:szCs w:val="28"/>
          <w:lang w:val="en-US"/>
        </w:rPr>
        <w:t xml:space="preserve"> </w:t>
      </w:r>
      <w:r w:rsidRPr="0060528F">
        <w:rPr>
          <w:rFonts w:ascii="Times New Roman" w:hAnsi="Times New Roman"/>
          <w:sz w:val="28"/>
          <w:szCs w:val="28"/>
          <w:lang w:val="en-US"/>
        </w:rPr>
        <w:t>4. – P. 863-868.</w:t>
      </w:r>
    </w:p>
    <w:p w14:paraId="106274CB"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B13979">
        <w:rPr>
          <w:rFonts w:ascii="Times New Roman" w:hAnsi="Times New Roman"/>
          <w:sz w:val="28"/>
          <w:szCs w:val="28"/>
          <w:lang w:val="en-US"/>
        </w:rPr>
        <w:t>39</w:t>
      </w:r>
      <w:r w:rsidRPr="0060528F">
        <w:rPr>
          <w:rFonts w:ascii="Times New Roman" w:hAnsi="Times New Roman"/>
          <w:sz w:val="28"/>
          <w:szCs w:val="28"/>
          <w:lang w:val="en-US"/>
        </w:rPr>
        <w:t xml:space="preserve"> Dukowicz A.C., Lacy B.E., Levine G.M. Small Intestinal Bacterial Overgrowth: A Comprehensive Review // </w:t>
      </w:r>
      <w:r w:rsidRPr="00AF7D44">
        <w:rPr>
          <w:rFonts w:ascii="Times New Roman" w:hAnsi="Times New Roman"/>
          <w:sz w:val="28"/>
          <w:szCs w:val="28"/>
          <w:lang w:val="en-US"/>
        </w:rPr>
        <w:t>Gastroenterology &amp; hepatology</w:t>
      </w:r>
      <w:r w:rsidRPr="0060528F">
        <w:rPr>
          <w:rFonts w:ascii="Times New Roman" w:hAnsi="Times New Roman"/>
          <w:sz w:val="28"/>
          <w:szCs w:val="28"/>
          <w:lang w:val="en-US"/>
        </w:rPr>
        <w:t>. – 2007. – Vol. 3, №</w:t>
      </w:r>
      <w:r>
        <w:rPr>
          <w:rFonts w:ascii="Times New Roman" w:hAnsi="Times New Roman"/>
          <w:sz w:val="28"/>
          <w:szCs w:val="28"/>
          <w:lang w:val="en-US"/>
        </w:rPr>
        <w:t xml:space="preserve"> </w:t>
      </w:r>
      <w:r w:rsidRPr="0060528F">
        <w:rPr>
          <w:rFonts w:ascii="Times New Roman" w:hAnsi="Times New Roman"/>
          <w:sz w:val="28"/>
          <w:szCs w:val="28"/>
          <w:lang w:val="en-US"/>
        </w:rPr>
        <w:t>2. – P. 112-122.</w:t>
      </w:r>
    </w:p>
    <w:p w14:paraId="2C27591A" w14:textId="77777777" w:rsidR="00BB318A" w:rsidRPr="0060528F" w:rsidRDefault="00BB318A" w:rsidP="00BB318A">
      <w:pPr>
        <w:pStyle w:val="a7"/>
        <w:ind w:left="0" w:firstLine="567"/>
        <w:jc w:val="both"/>
        <w:rPr>
          <w:rFonts w:ascii="Times New Roman" w:hAnsi="Times New Roman"/>
          <w:sz w:val="28"/>
          <w:szCs w:val="28"/>
        </w:rPr>
      </w:pPr>
      <w:r w:rsidRPr="0060528F">
        <w:rPr>
          <w:rFonts w:ascii="Times New Roman" w:hAnsi="Times New Roman"/>
          <w:sz w:val="28"/>
          <w:szCs w:val="28"/>
        </w:rPr>
        <w:t>2</w:t>
      </w:r>
      <w:r>
        <w:rPr>
          <w:rFonts w:ascii="Times New Roman" w:hAnsi="Times New Roman"/>
          <w:sz w:val="28"/>
          <w:szCs w:val="28"/>
        </w:rPr>
        <w:t>40</w:t>
      </w:r>
      <w:r w:rsidRPr="0060528F">
        <w:rPr>
          <w:rFonts w:ascii="Times New Roman" w:hAnsi="Times New Roman"/>
          <w:sz w:val="28"/>
          <w:szCs w:val="28"/>
        </w:rPr>
        <w:t xml:space="preserve"> Бекишева А.Т., Макишев А.К., Жагипаров М.К. и др. Роль прогностического нутриционного индекса у больных после радикальных операций по поводу колоректального рака // Валеология Денсаулық - Ауру - Сауықтыру. – 2018. – №3. – С. 49-52.</w:t>
      </w:r>
    </w:p>
    <w:p w14:paraId="7C920D9D" w14:textId="77777777" w:rsidR="00BB318A" w:rsidRPr="0060528F" w:rsidRDefault="00BB318A" w:rsidP="00BB318A">
      <w:pPr>
        <w:pStyle w:val="a7"/>
        <w:ind w:left="0" w:firstLine="567"/>
        <w:jc w:val="both"/>
        <w:rPr>
          <w:rFonts w:ascii="Times New Roman" w:hAnsi="Times New Roman"/>
          <w:sz w:val="28"/>
          <w:szCs w:val="28"/>
        </w:rPr>
      </w:pPr>
      <w:r w:rsidRPr="0060528F">
        <w:rPr>
          <w:rFonts w:ascii="Times New Roman" w:hAnsi="Times New Roman"/>
          <w:sz w:val="28"/>
          <w:szCs w:val="28"/>
        </w:rPr>
        <w:t>2</w:t>
      </w:r>
      <w:r>
        <w:rPr>
          <w:rFonts w:ascii="Times New Roman" w:hAnsi="Times New Roman"/>
          <w:sz w:val="28"/>
          <w:szCs w:val="28"/>
        </w:rPr>
        <w:t>41</w:t>
      </w:r>
      <w:r w:rsidRPr="0060528F">
        <w:rPr>
          <w:rFonts w:ascii="Times New Roman" w:hAnsi="Times New Roman"/>
          <w:sz w:val="28"/>
          <w:szCs w:val="28"/>
        </w:rPr>
        <w:t xml:space="preserve"> Бекишева А.Т., Макишев А.К. Результаты применения шкалы оценки тяжести осложнений Сlavien </w:t>
      </w:r>
      <w:r w:rsidRPr="0060528F">
        <w:rPr>
          <w:rFonts w:ascii="Times New Roman" w:hAnsi="Times New Roman"/>
          <w:sz w:val="28"/>
          <w:szCs w:val="28"/>
          <w:lang w:val="en-US"/>
        </w:rPr>
        <w:t>D</w:t>
      </w:r>
      <w:r w:rsidRPr="0060528F">
        <w:rPr>
          <w:rFonts w:ascii="Times New Roman" w:hAnsi="Times New Roman"/>
          <w:sz w:val="28"/>
          <w:szCs w:val="28"/>
        </w:rPr>
        <w:t>indo у больных после хирургического лечения рака ободочной кишки // Валеология Денсаулық - Ауру - Сауықтыру. – 2018. – №4. – С. 58-61.</w:t>
      </w:r>
    </w:p>
    <w:p w14:paraId="0A2131B4" w14:textId="77777777" w:rsidR="00BB318A" w:rsidRPr="0060528F" w:rsidRDefault="00BB318A" w:rsidP="00BB318A">
      <w:pPr>
        <w:pStyle w:val="a7"/>
        <w:ind w:left="0" w:firstLine="567"/>
        <w:jc w:val="both"/>
        <w:rPr>
          <w:rFonts w:ascii="Times New Roman" w:hAnsi="Times New Roman"/>
          <w:sz w:val="28"/>
          <w:szCs w:val="28"/>
          <w:lang w:val="en-US"/>
        </w:rPr>
      </w:pPr>
      <w:r w:rsidRPr="0060528F">
        <w:rPr>
          <w:rFonts w:ascii="Times New Roman" w:hAnsi="Times New Roman"/>
          <w:sz w:val="28"/>
          <w:szCs w:val="28"/>
          <w:lang w:val="en-US"/>
        </w:rPr>
        <w:t>2</w:t>
      </w:r>
      <w:r w:rsidRPr="00B13979">
        <w:rPr>
          <w:rFonts w:ascii="Times New Roman" w:hAnsi="Times New Roman"/>
          <w:sz w:val="28"/>
          <w:szCs w:val="28"/>
          <w:lang w:val="en-US"/>
        </w:rPr>
        <w:t>42</w:t>
      </w:r>
      <w:r w:rsidRPr="0060528F">
        <w:rPr>
          <w:rFonts w:ascii="Times New Roman" w:hAnsi="Times New Roman"/>
          <w:sz w:val="28"/>
          <w:szCs w:val="28"/>
          <w:lang w:val="en-US"/>
        </w:rPr>
        <w:t xml:space="preserve"> Bekisheva A., Makishev A., Zhagiparov M. Quality of life of patients with colorectal cancer after the use of probiotics // Problems of biology and medicine. – Samarkand. – 2018. – Vol. 105, №</w:t>
      </w:r>
      <w:r>
        <w:rPr>
          <w:rFonts w:ascii="Times New Roman" w:hAnsi="Times New Roman"/>
          <w:sz w:val="28"/>
          <w:szCs w:val="28"/>
          <w:lang w:val="en-US"/>
        </w:rPr>
        <w:t xml:space="preserve"> </w:t>
      </w:r>
      <w:r w:rsidRPr="0060528F">
        <w:rPr>
          <w:rFonts w:ascii="Times New Roman" w:hAnsi="Times New Roman"/>
          <w:sz w:val="28"/>
          <w:szCs w:val="28"/>
          <w:lang w:val="en-US"/>
        </w:rPr>
        <w:t>4. – 208</w:t>
      </w:r>
      <w:r>
        <w:rPr>
          <w:rFonts w:ascii="Times New Roman" w:hAnsi="Times New Roman"/>
          <w:sz w:val="28"/>
          <w:szCs w:val="28"/>
          <w:lang w:val="en-US"/>
        </w:rPr>
        <w:t xml:space="preserve"> p</w:t>
      </w:r>
      <w:r w:rsidRPr="0060528F">
        <w:rPr>
          <w:rFonts w:ascii="Times New Roman" w:hAnsi="Times New Roman"/>
          <w:sz w:val="28"/>
          <w:szCs w:val="28"/>
          <w:lang w:val="en-US"/>
        </w:rPr>
        <w:t>.</w:t>
      </w:r>
    </w:p>
    <w:p w14:paraId="367C8EFF" w14:textId="77777777" w:rsidR="00BB318A" w:rsidRPr="0060528F" w:rsidRDefault="00BB318A" w:rsidP="00BB318A">
      <w:pPr>
        <w:autoSpaceDE w:val="0"/>
        <w:autoSpaceDN w:val="0"/>
        <w:adjustRightInd w:val="0"/>
        <w:spacing w:after="0" w:line="240" w:lineRule="auto"/>
        <w:ind w:firstLine="567"/>
        <w:jc w:val="both"/>
        <w:rPr>
          <w:rFonts w:ascii="Times New Roman" w:hAnsi="Times New Roman"/>
          <w:sz w:val="28"/>
          <w:szCs w:val="28"/>
        </w:rPr>
      </w:pPr>
      <w:r w:rsidRPr="0060528F">
        <w:rPr>
          <w:rFonts w:ascii="Times New Roman" w:hAnsi="Times New Roman"/>
          <w:sz w:val="28"/>
          <w:szCs w:val="28"/>
        </w:rPr>
        <w:t>2</w:t>
      </w:r>
      <w:r>
        <w:rPr>
          <w:rFonts w:ascii="Times New Roman" w:hAnsi="Times New Roman"/>
          <w:sz w:val="28"/>
          <w:szCs w:val="28"/>
        </w:rPr>
        <w:t>43</w:t>
      </w:r>
      <w:r w:rsidRPr="0060528F">
        <w:rPr>
          <w:rFonts w:ascii="Times New Roman" w:hAnsi="Times New Roman"/>
          <w:sz w:val="28"/>
          <w:szCs w:val="28"/>
        </w:rPr>
        <w:t xml:space="preserve"> Бекишева А., Макишев А. Оценка функциональных нарушений после хирургического лечения рака ободочной кишки // </w:t>
      </w:r>
      <w:r w:rsidRPr="0060528F">
        <w:rPr>
          <w:rFonts w:ascii="Times New Roman" w:hAnsi="Times New Roman"/>
          <w:sz w:val="28"/>
          <w:szCs w:val="28"/>
          <w:lang w:val="kk-KZ"/>
        </w:rPr>
        <w:t>С</w:t>
      </w:r>
      <w:r w:rsidRPr="0060528F">
        <w:rPr>
          <w:rFonts w:ascii="Times New Roman" w:hAnsi="Times New Roman"/>
          <w:sz w:val="28"/>
          <w:szCs w:val="28"/>
        </w:rPr>
        <w:t xml:space="preserve">б. тез. междунар. науч.-практ. конф. студентов и молодых ученых «Медицинская наука и образование: молодость и стремление - 2019». – </w:t>
      </w:r>
      <w:r w:rsidRPr="0060528F">
        <w:rPr>
          <w:rFonts w:ascii="Times New Roman" w:hAnsi="Times New Roman"/>
          <w:sz w:val="28"/>
          <w:szCs w:val="28"/>
          <w:lang w:val="kk-KZ"/>
        </w:rPr>
        <w:t>Нур-Султан</w:t>
      </w:r>
      <w:r w:rsidRPr="0060528F">
        <w:rPr>
          <w:rFonts w:ascii="Times New Roman" w:hAnsi="Times New Roman"/>
          <w:sz w:val="28"/>
          <w:szCs w:val="28"/>
        </w:rPr>
        <w:t>, 2019. – С. 317-318.</w:t>
      </w:r>
    </w:p>
    <w:p w14:paraId="6386A6D9" w14:textId="77777777" w:rsidR="00BB318A" w:rsidRPr="0060528F" w:rsidRDefault="00BB318A" w:rsidP="00BB318A">
      <w:pPr>
        <w:spacing w:after="0" w:line="240" w:lineRule="auto"/>
        <w:ind w:firstLine="567"/>
        <w:jc w:val="both"/>
        <w:rPr>
          <w:rFonts w:ascii="Times New Roman" w:hAnsi="Times New Roman"/>
          <w:sz w:val="28"/>
          <w:szCs w:val="28"/>
          <w:lang w:val="en-US"/>
        </w:rPr>
      </w:pPr>
      <w:r w:rsidRPr="0060528F">
        <w:rPr>
          <w:rFonts w:ascii="Times New Roman" w:hAnsi="Times New Roman"/>
          <w:sz w:val="28"/>
          <w:szCs w:val="28"/>
          <w:lang w:val="en-US"/>
        </w:rPr>
        <w:t>2</w:t>
      </w:r>
      <w:r w:rsidRPr="00B13979">
        <w:rPr>
          <w:rFonts w:ascii="Times New Roman" w:hAnsi="Times New Roman"/>
          <w:sz w:val="28"/>
          <w:szCs w:val="28"/>
          <w:lang w:val="en-US"/>
        </w:rPr>
        <w:t>44</w:t>
      </w:r>
      <w:r w:rsidRPr="0060528F">
        <w:rPr>
          <w:rFonts w:ascii="Times New Roman" w:hAnsi="Times New Roman"/>
          <w:sz w:val="28"/>
          <w:szCs w:val="28"/>
          <w:lang w:val="en-US"/>
        </w:rPr>
        <w:t xml:space="preserve"> Bekisheva A., Makishev A., Shtefanov I. et al. Nutritional support after radical treatment of colon cancer // </w:t>
      </w:r>
      <w:r w:rsidRPr="0060528F">
        <w:rPr>
          <w:rFonts w:ascii="Times New Roman" w:hAnsi="Times New Roman"/>
          <w:sz w:val="28"/>
          <w:szCs w:val="28"/>
          <w:shd w:val="clear" w:color="auto" w:fill="FFFFFF"/>
          <w:lang w:val="en-US"/>
        </w:rPr>
        <w:t>Eurasian journal of oncology</w:t>
      </w:r>
      <w:r w:rsidRPr="0060528F">
        <w:rPr>
          <w:rFonts w:ascii="Times New Roman" w:hAnsi="Times New Roman"/>
          <w:sz w:val="28"/>
          <w:szCs w:val="28"/>
          <w:lang w:val="en-US"/>
        </w:rPr>
        <w:t>. – 2020. – Vol. 8, № 2. – 831</w:t>
      </w:r>
      <w:r>
        <w:rPr>
          <w:rFonts w:ascii="Times New Roman" w:hAnsi="Times New Roman"/>
          <w:sz w:val="28"/>
          <w:szCs w:val="28"/>
          <w:lang w:val="en-US"/>
        </w:rPr>
        <w:t xml:space="preserve"> p</w:t>
      </w:r>
      <w:r w:rsidRPr="0060528F">
        <w:rPr>
          <w:rFonts w:ascii="Times New Roman" w:hAnsi="Times New Roman"/>
          <w:sz w:val="28"/>
          <w:szCs w:val="28"/>
          <w:lang w:val="en-US"/>
        </w:rPr>
        <w:t>.</w:t>
      </w:r>
    </w:p>
    <w:p w14:paraId="3FBBC759" w14:textId="77777777" w:rsidR="00BB318A" w:rsidRPr="0060528F" w:rsidRDefault="00BB318A" w:rsidP="00BB318A">
      <w:pPr>
        <w:spacing w:after="0" w:line="240" w:lineRule="auto"/>
        <w:ind w:firstLine="567"/>
        <w:jc w:val="both"/>
        <w:rPr>
          <w:rFonts w:ascii="Times New Roman" w:hAnsi="Times New Roman"/>
          <w:sz w:val="28"/>
          <w:szCs w:val="28"/>
        </w:rPr>
      </w:pPr>
      <w:r w:rsidRPr="0060528F">
        <w:rPr>
          <w:rFonts w:ascii="Times New Roman" w:hAnsi="Times New Roman"/>
          <w:sz w:val="28"/>
          <w:szCs w:val="28"/>
        </w:rPr>
        <w:t>2</w:t>
      </w:r>
      <w:r>
        <w:rPr>
          <w:rFonts w:ascii="Times New Roman" w:hAnsi="Times New Roman"/>
          <w:sz w:val="28"/>
          <w:szCs w:val="28"/>
        </w:rPr>
        <w:t>45</w:t>
      </w:r>
      <w:r w:rsidRPr="0060528F">
        <w:rPr>
          <w:rFonts w:ascii="Times New Roman" w:hAnsi="Times New Roman"/>
          <w:sz w:val="28"/>
          <w:szCs w:val="28"/>
        </w:rPr>
        <w:t xml:space="preserve"> Бекишева А.Т., Штефанов И.И., Маулетбаев М.С. и др. Оценка эффективности нутритивной поддержки у больных после радикального лечения рака ободочной кишки // Сб. тез. </w:t>
      </w:r>
      <w:r w:rsidRPr="0060528F">
        <w:rPr>
          <w:rFonts w:ascii="Times New Roman" w:hAnsi="Times New Roman"/>
          <w:sz w:val="28"/>
          <w:szCs w:val="28"/>
          <w:lang w:val="en-US"/>
        </w:rPr>
        <w:t>VII</w:t>
      </w:r>
      <w:r w:rsidRPr="0060528F">
        <w:rPr>
          <w:rFonts w:ascii="Times New Roman" w:hAnsi="Times New Roman"/>
          <w:sz w:val="28"/>
          <w:szCs w:val="28"/>
        </w:rPr>
        <w:t xml:space="preserve"> съезда онкологов и радиологов </w:t>
      </w:r>
      <w:r w:rsidRPr="0060528F">
        <w:rPr>
          <w:rFonts w:ascii="Times New Roman" w:hAnsi="Times New Roman"/>
          <w:sz w:val="28"/>
          <w:szCs w:val="28"/>
          <w:lang w:val="kk-KZ"/>
        </w:rPr>
        <w:t>К</w:t>
      </w:r>
      <w:r w:rsidRPr="0060528F">
        <w:rPr>
          <w:rFonts w:ascii="Times New Roman" w:hAnsi="Times New Roman"/>
          <w:sz w:val="28"/>
          <w:szCs w:val="28"/>
        </w:rPr>
        <w:t>азахстана с международным участием. –2019. – 53</w:t>
      </w:r>
      <w:r w:rsidRPr="00127136">
        <w:rPr>
          <w:rFonts w:ascii="Times New Roman" w:hAnsi="Times New Roman"/>
          <w:sz w:val="28"/>
          <w:szCs w:val="28"/>
        </w:rPr>
        <w:t xml:space="preserve"> </w:t>
      </w:r>
      <w:r>
        <w:rPr>
          <w:rFonts w:ascii="Times New Roman" w:hAnsi="Times New Roman"/>
          <w:sz w:val="28"/>
          <w:szCs w:val="28"/>
          <w:lang w:val="en-US"/>
        </w:rPr>
        <w:t>c</w:t>
      </w:r>
      <w:r w:rsidRPr="0060528F">
        <w:rPr>
          <w:rFonts w:ascii="Times New Roman" w:hAnsi="Times New Roman"/>
          <w:sz w:val="28"/>
          <w:szCs w:val="28"/>
        </w:rPr>
        <w:t>.</w:t>
      </w:r>
    </w:p>
    <w:p w14:paraId="21DB661E" w14:textId="77777777" w:rsidR="00BB318A" w:rsidRDefault="00BB318A" w:rsidP="00BB318A">
      <w:pPr>
        <w:spacing w:after="0" w:line="240" w:lineRule="auto"/>
        <w:ind w:firstLine="567"/>
        <w:jc w:val="both"/>
        <w:rPr>
          <w:rFonts w:ascii="Times New Roman" w:hAnsi="Times New Roman"/>
          <w:sz w:val="28"/>
          <w:szCs w:val="28"/>
        </w:rPr>
      </w:pPr>
      <w:r w:rsidRPr="0060528F">
        <w:rPr>
          <w:rFonts w:ascii="Times New Roman" w:hAnsi="Times New Roman"/>
          <w:sz w:val="28"/>
          <w:szCs w:val="28"/>
        </w:rPr>
        <w:t>2</w:t>
      </w:r>
      <w:r>
        <w:rPr>
          <w:rFonts w:ascii="Times New Roman" w:hAnsi="Times New Roman"/>
          <w:sz w:val="28"/>
          <w:szCs w:val="28"/>
        </w:rPr>
        <w:t>46</w:t>
      </w:r>
      <w:r w:rsidRPr="0060528F">
        <w:rPr>
          <w:rFonts w:ascii="Times New Roman" w:hAnsi="Times New Roman"/>
          <w:sz w:val="28"/>
          <w:szCs w:val="28"/>
        </w:rPr>
        <w:t xml:space="preserve"> Бекишева А.Т., Макишев А.К., Куканова А.М. и др. Гипомагниемия у пациентов после комбинированных операций поводу рака тонкого и толстого кишечника: возможности диагностики и лечения // Евразийский онкологический журнал. – 2018. – Т. 6, №</w:t>
      </w:r>
      <w:r w:rsidRPr="00AF7D44">
        <w:rPr>
          <w:rFonts w:ascii="Times New Roman" w:hAnsi="Times New Roman"/>
          <w:sz w:val="28"/>
          <w:szCs w:val="28"/>
        </w:rPr>
        <w:t xml:space="preserve"> </w:t>
      </w:r>
      <w:r w:rsidRPr="0060528F">
        <w:rPr>
          <w:rFonts w:ascii="Times New Roman" w:hAnsi="Times New Roman"/>
          <w:sz w:val="28"/>
          <w:szCs w:val="28"/>
        </w:rPr>
        <w:t>1. – 474</w:t>
      </w:r>
      <w:r w:rsidRPr="00127136">
        <w:rPr>
          <w:rFonts w:ascii="Times New Roman" w:hAnsi="Times New Roman"/>
          <w:sz w:val="28"/>
          <w:szCs w:val="28"/>
        </w:rPr>
        <w:t xml:space="preserve"> </w:t>
      </w:r>
      <w:r>
        <w:rPr>
          <w:rFonts w:ascii="Times New Roman" w:hAnsi="Times New Roman"/>
          <w:sz w:val="28"/>
          <w:szCs w:val="28"/>
          <w:lang w:val="en-US"/>
        </w:rPr>
        <w:t>c</w:t>
      </w:r>
      <w:r w:rsidRPr="0060528F">
        <w:rPr>
          <w:rFonts w:ascii="Times New Roman" w:hAnsi="Times New Roman"/>
          <w:sz w:val="28"/>
          <w:szCs w:val="28"/>
        </w:rPr>
        <w:t>.</w:t>
      </w:r>
    </w:p>
    <w:p w14:paraId="78E95CFE" w14:textId="77777777" w:rsidR="00BB318A" w:rsidRDefault="00BB318A" w:rsidP="00BB318A">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 xml:space="preserve">247 </w:t>
      </w:r>
      <w:r w:rsidRPr="00DD228A">
        <w:rPr>
          <w:rFonts w:ascii="Times New Roman" w:hAnsi="Times New Roman"/>
          <w:sz w:val="28"/>
          <w:szCs w:val="28"/>
        </w:rPr>
        <w:t>Шевченко Ю. Концепция исследования качества жизни в здравоохранении // Медицинская газета. – № 53. – 14.7.2000 – № 54. – 19.7.2000.</w:t>
      </w:r>
    </w:p>
    <w:p w14:paraId="2BA18325" w14:textId="77777777" w:rsidR="00BB318A" w:rsidRPr="00DD228A" w:rsidRDefault="00BB318A" w:rsidP="00BB318A">
      <w:pPr>
        <w:spacing w:after="0" w:line="240" w:lineRule="auto"/>
        <w:ind w:firstLine="567"/>
        <w:jc w:val="both"/>
        <w:rPr>
          <w:rFonts w:ascii="Times New Roman" w:hAnsi="Times New Roman"/>
          <w:sz w:val="28"/>
          <w:szCs w:val="28"/>
        </w:rPr>
      </w:pPr>
      <w:r>
        <w:rPr>
          <w:rFonts w:ascii="Times New Roman" w:hAnsi="Times New Roman"/>
          <w:sz w:val="28"/>
          <w:szCs w:val="28"/>
        </w:rPr>
        <w:t xml:space="preserve">248 </w:t>
      </w:r>
      <w:r w:rsidRPr="00DD228A">
        <w:rPr>
          <w:rFonts w:ascii="Times New Roman" w:hAnsi="Times New Roman"/>
          <w:sz w:val="28"/>
          <w:szCs w:val="28"/>
        </w:rPr>
        <w:t xml:space="preserve">Бокерия Л.А., Аракелян B.C., Тутов Е.Г., </w:t>
      </w:r>
      <w:r>
        <w:rPr>
          <w:rFonts w:ascii="Times New Roman" w:hAnsi="Times New Roman"/>
          <w:sz w:val="28"/>
          <w:szCs w:val="28"/>
        </w:rPr>
        <w:t>и др</w:t>
      </w:r>
      <w:r w:rsidRPr="00DD228A">
        <w:rPr>
          <w:rFonts w:ascii="Times New Roman" w:hAnsi="Times New Roman"/>
          <w:sz w:val="28"/>
          <w:szCs w:val="28"/>
        </w:rPr>
        <w:t>. Понятие «Качество жизни» и методы его оценки // Бюллетень НЦССХ им.А.Н. Бакулева. – РАМН, 2005. – № 1. – С. 23-29.</w:t>
      </w:r>
    </w:p>
    <w:p w14:paraId="6E30FA7B" w14:textId="77777777" w:rsidR="00BB318A" w:rsidRPr="00DD228A" w:rsidRDefault="00BB318A" w:rsidP="00BB318A">
      <w:pPr>
        <w:spacing w:after="0" w:line="240" w:lineRule="auto"/>
        <w:ind w:firstLine="567"/>
        <w:jc w:val="both"/>
        <w:rPr>
          <w:rFonts w:ascii="Times New Roman" w:hAnsi="Times New Roman"/>
          <w:sz w:val="28"/>
          <w:szCs w:val="28"/>
        </w:rPr>
      </w:pPr>
      <w:r>
        <w:rPr>
          <w:rFonts w:ascii="Times New Roman" w:hAnsi="Times New Roman"/>
          <w:sz w:val="28"/>
          <w:szCs w:val="28"/>
        </w:rPr>
        <w:t xml:space="preserve">249 </w:t>
      </w:r>
      <w:r w:rsidRPr="00DD228A">
        <w:rPr>
          <w:rFonts w:ascii="Times New Roman" w:hAnsi="Times New Roman"/>
          <w:sz w:val="28"/>
          <w:szCs w:val="28"/>
        </w:rPr>
        <w:t>Гиляревский С.Р., Орлов В.А., Бенделиани Н.Г. Современная методология оценки качества жизни больных с хронической сердечной недостаточностью. – Москва, 2000. – С. 1-60.</w:t>
      </w:r>
    </w:p>
    <w:p w14:paraId="68062AEE" w14:textId="77777777" w:rsidR="00BB318A" w:rsidRPr="00425952" w:rsidRDefault="00BB318A" w:rsidP="00BB318A">
      <w:pPr>
        <w:spacing w:after="0" w:line="240" w:lineRule="auto"/>
        <w:ind w:firstLine="567"/>
        <w:jc w:val="both"/>
        <w:rPr>
          <w:rFonts w:ascii="Times New Roman" w:hAnsi="Times New Roman"/>
          <w:sz w:val="28"/>
          <w:szCs w:val="28"/>
          <w:lang w:val="en-US"/>
        </w:rPr>
      </w:pPr>
      <w:r>
        <w:rPr>
          <w:rFonts w:ascii="Times New Roman" w:hAnsi="Times New Roman"/>
          <w:sz w:val="28"/>
          <w:szCs w:val="28"/>
        </w:rPr>
        <w:t xml:space="preserve">250 </w:t>
      </w:r>
      <w:r w:rsidRPr="00DD228A">
        <w:rPr>
          <w:rFonts w:ascii="Times New Roman" w:hAnsi="Times New Roman"/>
          <w:sz w:val="28"/>
          <w:szCs w:val="28"/>
        </w:rPr>
        <w:t xml:space="preserve">Орлов В.А., Гиляревский С.Р., Бенделиани Н.Г. Терапевтическое обучение больных с хронической сердечной недостаточностью: методические вопросы и практическое применение // </w:t>
      </w:r>
      <w:r w:rsidRPr="00425952">
        <w:rPr>
          <w:rFonts w:ascii="Times New Roman" w:hAnsi="Times New Roman"/>
          <w:sz w:val="28"/>
          <w:szCs w:val="28"/>
        </w:rPr>
        <w:t>Российский кардиологический журнал. – 2000.</w:t>
      </w:r>
      <w:r>
        <w:rPr>
          <w:rFonts w:ascii="Times New Roman" w:hAnsi="Times New Roman"/>
          <w:sz w:val="28"/>
          <w:szCs w:val="28"/>
        </w:rPr>
        <w:t xml:space="preserve"> </w:t>
      </w:r>
      <w:r w:rsidRPr="0060528F">
        <w:rPr>
          <w:rFonts w:ascii="Times New Roman" w:hAnsi="Times New Roman"/>
          <w:sz w:val="28"/>
          <w:szCs w:val="28"/>
        </w:rPr>
        <w:t xml:space="preserve">– </w:t>
      </w:r>
      <w:r w:rsidRPr="00DD228A">
        <w:rPr>
          <w:rFonts w:ascii="Times New Roman" w:hAnsi="Times New Roman"/>
          <w:sz w:val="28"/>
          <w:szCs w:val="28"/>
        </w:rPr>
        <w:t>№</w:t>
      </w:r>
      <w:r w:rsidRPr="0060528F">
        <w:rPr>
          <w:rFonts w:ascii="Times New Roman" w:hAnsi="Times New Roman"/>
          <w:sz w:val="28"/>
          <w:szCs w:val="28"/>
        </w:rPr>
        <w:t xml:space="preserve">. </w:t>
      </w:r>
      <w:r w:rsidRPr="00425952">
        <w:rPr>
          <w:rFonts w:ascii="Times New Roman" w:hAnsi="Times New Roman"/>
          <w:sz w:val="28"/>
          <w:szCs w:val="28"/>
          <w:lang w:val="en-US"/>
        </w:rPr>
        <w:t xml:space="preserve">6. – </w:t>
      </w:r>
      <w:r w:rsidRPr="00425952">
        <w:rPr>
          <w:rFonts w:ascii="Times New Roman" w:hAnsi="Times New Roman"/>
          <w:sz w:val="28"/>
          <w:szCs w:val="28"/>
        </w:rPr>
        <w:t>С</w:t>
      </w:r>
      <w:r w:rsidRPr="00425952">
        <w:rPr>
          <w:rFonts w:ascii="Times New Roman" w:hAnsi="Times New Roman"/>
          <w:sz w:val="28"/>
          <w:szCs w:val="28"/>
          <w:lang w:val="en-US"/>
        </w:rPr>
        <w:t>.64-69.</w:t>
      </w:r>
    </w:p>
    <w:p w14:paraId="4FA9DC2E" w14:textId="77777777" w:rsidR="00BB318A" w:rsidRDefault="00BB318A" w:rsidP="00BB318A">
      <w:pPr>
        <w:spacing w:after="0" w:line="240" w:lineRule="auto"/>
        <w:ind w:firstLine="567"/>
        <w:jc w:val="both"/>
        <w:rPr>
          <w:rFonts w:ascii="Times New Roman" w:hAnsi="Times New Roman"/>
          <w:sz w:val="28"/>
          <w:szCs w:val="28"/>
          <w:lang w:val="en-US"/>
        </w:rPr>
      </w:pPr>
      <w:r w:rsidRPr="00DD228A">
        <w:rPr>
          <w:rFonts w:ascii="Times New Roman" w:hAnsi="Times New Roman"/>
          <w:sz w:val="28"/>
          <w:szCs w:val="28"/>
          <w:lang w:val="en-US"/>
        </w:rPr>
        <w:t>251 Williams G.H. Do we really need to measure the quality of life? //</w:t>
      </w:r>
      <w:r w:rsidRPr="00425952">
        <w:rPr>
          <w:rFonts w:ascii="Times New Roman" w:hAnsi="Times New Roman"/>
          <w:sz w:val="28"/>
          <w:szCs w:val="28"/>
          <w:lang w:val="en-US"/>
        </w:rPr>
        <w:t xml:space="preserve"> British journal of hospital medicine</w:t>
      </w:r>
      <w:r w:rsidRPr="00DD228A">
        <w:rPr>
          <w:rFonts w:ascii="Times New Roman" w:hAnsi="Times New Roman"/>
          <w:sz w:val="28"/>
          <w:szCs w:val="28"/>
          <w:lang w:val="en-US"/>
        </w:rPr>
        <w:t>. – 1988. –</w:t>
      </w:r>
      <w:r w:rsidRPr="0060528F">
        <w:rPr>
          <w:rFonts w:ascii="Times New Roman" w:hAnsi="Times New Roman"/>
          <w:sz w:val="28"/>
          <w:szCs w:val="28"/>
          <w:lang w:val="en-US"/>
        </w:rPr>
        <w:t>Vol.</w:t>
      </w:r>
      <w:r w:rsidRPr="00425952">
        <w:rPr>
          <w:rFonts w:ascii="Times New Roman" w:hAnsi="Times New Roman"/>
          <w:sz w:val="28"/>
          <w:szCs w:val="28"/>
          <w:lang w:val="en-US"/>
        </w:rPr>
        <w:t xml:space="preserve"> </w:t>
      </w:r>
      <w:r w:rsidRPr="00DD228A">
        <w:rPr>
          <w:rFonts w:ascii="Times New Roman" w:hAnsi="Times New Roman"/>
          <w:sz w:val="28"/>
          <w:szCs w:val="28"/>
          <w:lang w:val="en-US"/>
        </w:rPr>
        <w:t>39</w:t>
      </w:r>
      <w:r w:rsidRPr="00425952">
        <w:rPr>
          <w:rFonts w:ascii="Times New Roman" w:hAnsi="Times New Roman"/>
          <w:sz w:val="28"/>
          <w:szCs w:val="28"/>
          <w:lang w:val="en-US"/>
        </w:rPr>
        <w:t>, № 3</w:t>
      </w:r>
      <w:r w:rsidRPr="00DD228A">
        <w:rPr>
          <w:rFonts w:ascii="Times New Roman" w:hAnsi="Times New Roman"/>
          <w:sz w:val="28"/>
          <w:szCs w:val="28"/>
          <w:lang w:val="en-US"/>
        </w:rPr>
        <w:t xml:space="preserve">. – </w:t>
      </w:r>
      <w:r>
        <w:rPr>
          <w:rFonts w:ascii="Times New Roman" w:hAnsi="Times New Roman"/>
          <w:sz w:val="28"/>
          <w:szCs w:val="28"/>
          <w:lang w:val="en-US"/>
        </w:rPr>
        <w:t>P</w:t>
      </w:r>
      <w:r w:rsidRPr="00DD228A">
        <w:rPr>
          <w:rFonts w:ascii="Times New Roman" w:hAnsi="Times New Roman"/>
          <w:sz w:val="28"/>
          <w:szCs w:val="28"/>
          <w:lang w:val="en-US"/>
        </w:rPr>
        <w:t>. 181-185.</w:t>
      </w:r>
    </w:p>
    <w:p w14:paraId="4270A3E2" w14:textId="77777777" w:rsidR="00BB318A" w:rsidRDefault="00BB318A" w:rsidP="00BB318A">
      <w:pPr>
        <w:spacing w:after="0" w:line="240" w:lineRule="auto"/>
        <w:ind w:firstLine="567"/>
        <w:jc w:val="both"/>
        <w:rPr>
          <w:rFonts w:ascii="Times New Roman" w:hAnsi="Times New Roman"/>
          <w:sz w:val="28"/>
          <w:szCs w:val="28"/>
          <w:lang w:val="en-US"/>
        </w:rPr>
      </w:pPr>
      <w:r w:rsidRPr="00DD228A">
        <w:rPr>
          <w:rFonts w:ascii="Times New Roman" w:hAnsi="Times New Roman"/>
          <w:sz w:val="28"/>
          <w:szCs w:val="28"/>
          <w:lang w:val="en-US"/>
        </w:rPr>
        <w:t>252 The WHOQOL Group. Field trial WHOQOL-100: facet definitions and questions. – Geneva: WHO (MNH/PSF/956.1.B.).</w:t>
      </w:r>
    </w:p>
    <w:p w14:paraId="764BE067" w14:textId="77777777" w:rsidR="00BB318A" w:rsidRDefault="00BB318A" w:rsidP="00BB318A">
      <w:pPr>
        <w:spacing w:after="0" w:line="240" w:lineRule="auto"/>
        <w:ind w:firstLine="567"/>
        <w:jc w:val="both"/>
        <w:rPr>
          <w:rFonts w:ascii="Times New Roman" w:hAnsi="Times New Roman"/>
          <w:sz w:val="28"/>
          <w:szCs w:val="28"/>
          <w:lang w:val="en-US"/>
        </w:rPr>
      </w:pPr>
      <w:r w:rsidRPr="00DD228A">
        <w:rPr>
          <w:rFonts w:ascii="Times New Roman" w:hAnsi="Times New Roman"/>
          <w:sz w:val="28"/>
          <w:szCs w:val="28"/>
          <w:lang w:val="en-US"/>
        </w:rPr>
        <w:t>253 Williams G</w:t>
      </w:r>
      <w:r>
        <w:rPr>
          <w:rFonts w:ascii="Times New Roman" w:hAnsi="Times New Roman"/>
          <w:sz w:val="28"/>
          <w:szCs w:val="28"/>
          <w:lang w:val="en-US"/>
        </w:rPr>
        <w:t>.</w:t>
      </w:r>
      <w:r w:rsidRPr="00DD228A">
        <w:rPr>
          <w:rFonts w:ascii="Times New Roman" w:hAnsi="Times New Roman"/>
          <w:sz w:val="28"/>
          <w:szCs w:val="28"/>
          <w:lang w:val="en-US"/>
        </w:rPr>
        <w:t xml:space="preserve">H. Quality of life and its impact on hypertensive patients // </w:t>
      </w:r>
      <w:r w:rsidRPr="00933B10">
        <w:rPr>
          <w:rFonts w:ascii="Times New Roman" w:hAnsi="Times New Roman"/>
          <w:sz w:val="28"/>
          <w:szCs w:val="28"/>
          <w:lang w:val="en-US"/>
        </w:rPr>
        <w:t>The American journal of medicine</w:t>
      </w:r>
      <w:r>
        <w:rPr>
          <w:rFonts w:ascii="Times New Roman" w:hAnsi="Times New Roman"/>
          <w:sz w:val="28"/>
          <w:szCs w:val="28"/>
          <w:lang w:val="en-US"/>
        </w:rPr>
        <w:t>.</w:t>
      </w:r>
      <w:r w:rsidRPr="00DD228A">
        <w:rPr>
          <w:rFonts w:ascii="Times New Roman" w:hAnsi="Times New Roman"/>
          <w:sz w:val="28"/>
          <w:szCs w:val="28"/>
          <w:lang w:val="en-US"/>
        </w:rPr>
        <w:t xml:space="preserve"> – 1987</w:t>
      </w:r>
      <w:r>
        <w:rPr>
          <w:rFonts w:ascii="Times New Roman" w:hAnsi="Times New Roman"/>
          <w:sz w:val="28"/>
          <w:szCs w:val="28"/>
          <w:lang w:val="en-US"/>
        </w:rPr>
        <w:t>.</w:t>
      </w:r>
      <w:r w:rsidRPr="00DD228A">
        <w:rPr>
          <w:rFonts w:ascii="Times New Roman" w:hAnsi="Times New Roman"/>
          <w:sz w:val="28"/>
          <w:szCs w:val="28"/>
          <w:lang w:val="en-US"/>
        </w:rPr>
        <w:t xml:space="preserve"> – Vol.</w:t>
      </w:r>
      <w:r>
        <w:rPr>
          <w:rFonts w:ascii="Times New Roman" w:hAnsi="Times New Roman"/>
          <w:sz w:val="28"/>
          <w:szCs w:val="28"/>
          <w:lang w:val="en-US"/>
        </w:rPr>
        <w:t xml:space="preserve"> </w:t>
      </w:r>
      <w:r w:rsidRPr="00DD228A">
        <w:rPr>
          <w:rFonts w:ascii="Times New Roman" w:hAnsi="Times New Roman"/>
          <w:sz w:val="28"/>
          <w:szCs w:val="28"/>
          <w:lang w:val="en-US"/>
        </w:rPr>
        <w:t>82</w:t>
      </w:r>
      <w:r w:rsidRPr="00425952">
        <w:rPr>
          <w:rFonts w:ascii="Times New Roman" w:hAnsi="Times New Roman"/>
          <w:sz w:val="28"/>
          <w:szCs w:val="28"/>
          <w:lang w:val="en-US"/>
        </w:rPr>
        <w:t>, №</w:t>
      </w:r>
      <w:r>
        <w:rPr>
          <w:rFonts w:ascii="Times New Roman" w:hAnsi="Times New Roman"/>
          <w:sz w:val="28"/>
          <w:szCs w:val="28"/>
          <w:lang w:val="en-US"/>
        </w:rPr>
        <w:t xml:space="preserve"> 1</w:t>
      </w:r>
      <w:r w:rsidRPr="00DD228A">
        <w:rPr>
          <w:rFonts w:ascii="Times New Roman" w:hAnsi="Times New Roman"/>
          <w:sz w:val="28"/>
          <w:szCs w:val="28"/>
          <w:lang w:val="en-US"/>
        </w:rPr>
        <w:t>. – P. 9</w:t>
      </w:r>
      <w:r>
        <w:rPr>
          <w:rFonts w:ascii="Times New Roman" w:hAnsi="Times New Roman"/>
          <w:sz w:val="28"/>
          <w:szCs w:val="28"/>
          <w:lang w:val="en-US"/>
        </w:rPr>
        <w:t>8</w:t>
      </w:r>
      <w:r w:rsidRPr="00DD228A">
        <w:rPr>
          <w:rFonts w:ascii="Times New Roman" w:hAnsi="Times New Roman"/>
          <w:sz w:val="28"/>
          <w:szCs w:val="28"/>
          <w:lang w:val="en-US"/>
        </w:rPr>
        <w:t>-105.</w:t>
      </w:r>
    </w:p>
    <w:p w14:paraId="57ECBE50" w14:textId="77777777" w:rsidR="00BB318A" w:rsidRDefault="00BB318A" w:rsidP="00BB318A">
      <w:pPr>
        <w:spacing w:after="0" w:line="240" w:lineRule="auto"/>
        <w:ind w:firstLine="567"/>
        <w:jc w:val="both"/>
        <w:rPr>
          <w:rFonts w:ascii="Times New Roman" w:hAnsi="Times New Roman"/>
          <w:sz w:val="28"/>
          <w:szCs w:val="28"/>
        </w:rPr>
      </w:pPr>
      <w:r>
        <w:rPr>
          <w:rFonts w:ascii="Times New Roman" w:hAnsi="Times New Roman"/>
          <w:sz w:val="28"/>
          <w:szCs w:val="28"/>
        </w:rPr>
        <w:t xml:space="preserve">254 </w:t>
      </w:r>
      <w:r w:rsidRPr="00DD228A">
        <w:rPr>
          <w:rFonts w:ascii="Times New Roman" w:hAnsi="Times New Roman"/>
          <w:sz w:val="28"/>
          <w:szCs w:val="28"/>
        </w:rPr>
        <w:t>Егорова Л.А.</w:t>
      </w:r>
      <w:r w:rsidRPr="00933B10">
        <w:rPr>
          <w:rFonts w:ascii="Times New Roman" w:hAnsi="Times New Roman"/>
          <w:sz w:val="28"/>
          <w:szCs w:val="28"/>
        </w:rPr>
        <w:t xml:space="preserve">, </w:t>
      </w:r>
      <w:r w:rsidRPr="00DD228A">
        <w:rPr>
          <w:rFonts w:ascii="Times New Roman" w:hAnsi="Times New Roman"/>
          <w:sz w:val="28"/>
          <w:szCs w:val="28"/>
        </w:rPr>
        <w:t>Рябчикова Т.В. Сравнительный анализ качества жизни больных старше 60 лет с сердечной недостаточностью // Клиническая геронтология</w:t>
      </w:r>
      <w:r w:rsidRPr="00933B10">
        <w:rPr>
          <w:rFonts w:ascii="Times New Roman" w:hAnsi="Times New Roman"/>
          <w:sz w:val="28"/>
          <w:szCs w:val="28"/>
        </w:rPr>
        <w:t xml:space="preserve">. – </w:t>
      </w:r>
      <w:r w:rsidRPr="00DD228A">
        <w:rPr>
          <w:rFonts w:ascii="Times New Roman" w:hAnsi="Times New Roman"/>
          <w:sz w:val="28"/>
          <w:szCs w:val="28"/>
        </w:rPr>
        <w:t>2004.</w:t>
      </w:r>
      <w:r w:rsidRPr="00933B10">
        <w:rPr>
          <w:rFonts w:ascii="Times New Roman" w:hAnsi="Times New Roman"/>
          <w:sz w:val="28"/>
          <w:szCs w:val="28"/>
        </w:rPr>
        <w:t xml:space="preserve"> – </w:t>
      </w:r>
      <w:r w:rsidRPr="00DD228A">
        <w:rPr>
          <w:rFonts w:ascii="Times New Roman" w:hAnsi="Times New Roman"/>
          <w:sz w:val="28"/>
          <w:szCs w:val="28"/>
        </w:rPr>
        <w:t>№3</w:t>
      </w:r>
      <w:r w:rsidRPr="00933B10">
        <w:rPr>
          <w:rFonts w:ascii="Times New Roman" w:hAnsi="Times New Roman"/>
          <w:sz w:val="28"/>
          <w:szCs w:val="28"/>
        </w:rPr>
        <w:t>.</w:t>
      </w:r>
      <w:r w:rsidRPr="00DD228A">
        <w:rPr>
          <w:rFonts w:ascii="Times New Roman" w:hAnsi="Times New Roman"/>
          <w:sz w:val="28"/>
          <w:szCs w:val="28"/>
        </w:rPr>
        <w:t xml:space="preserve"> – </w:t>
      </w:r>
      <w:r>
        <w:rPr>
          <w:rFonts w:ascii="Times New Roman" w:hAnsi="Times New Roman"/>
          <w:sz w:val="28"/>
          <w:szCs w:val="28"/>
          <w:lang w:val="en-US"/>
        </w:rPr>
        <w:t>C</w:t>
      </w:r>
      <w:r w:rsidRPr="00DD228A">
        <w:rPr>
          <w:rFonts w:ascii="Times New Roman" w:hAnsi="Times New Roman"/>
          <w:sz w:val="28"/>
          <w:szCs w:val="28"/>
        </w:rPr>
        <w:t>. 19–25.</w:t>
      </w:r>
    </w:p>
    <w:p w14:paraId="304DD64F" w14:textId="77777777" w:rsidR="00BB318A" w:rsidRDefault="00BB318A" w:rsidP="00BB318A">
      <w:pPr>
        <w:spacing w:after="0" w:line="240" w:lineRule="auto"/>
        <w:ind w:firstLine="567"/>
        <w:jc w:val="both"/>
        <w:rPr>
          <w:rFonts w:ascii="Times New Roman" w:hAnsi="Times New Roman"/>
          <w:sz w:val="28"/>
          <w:szCs w:val="28"/>
        </w:rPr>
      </w:pPr>
      <w:r>
        <w:rPr>
          <w:rFonts w:ascii="Times New Roman" w:hAnsi="Times New Roman"/>
          <w:sz w:val="28"/>
          <w:szCs w:val="28"/>
        </w:rPr>
        <w:t xml:space="preserve">255 </w:t>
      </w:r>
      <w:r w:rsidRPr="00DD228A">
        <w:rPr>
          <w:rFonts w:ascii="Times New Roman" w:hAnsi="Times New Roman"/>
          <w:sz w:val="28"/>
          <w:szCs w:val="28"/>
        </w:rPr>
        <w:t>Сыркин А. Л., Вейн А.М, Ибатов А.Д и др. Больные ишемической болезнью сердца пожилого возраста: особенности клиники, эмоционального статуса и качества жизни //</w:t>
      </w:r>
      <w:r w:rsidRPr="004A1A78">
        <w:rPr>
          <w:rFonts w:ascii="Times New Roman" w:hAnsi="Times New Roman"/>
          <w:sz w:val="28"/>
          <w:szCs w:val="28"/>
        </w:rPr>
        <w:t xml:space="preserve"> </w:t>
      </w:r>
      <w:r w:rsidRPr="00DD228A">
        <w:rPr>
          <w:rFonts w:ascii="Times New Roman" w:hAnsi="Times New Roman"/>
          <w:sz w:val="28"/>
          <w:szCs w:val="28"/>
        </w:rPr>
        <w:t>Клиническая геронтология.</w:t>
      </w:r>
      <w:r w:rsidRPr="00933B10">
        <w:rPr>
          <w:rFonts w:ascii="Times New Roman" w:hAnsi="Times New Roman"/>
          <w:sz w:val="28"/>
          <w:szCs w:val="28"/>
        </w:rPr>
        <w:t xml:space="preserve"> – </w:t>
      </w:r>
      <w:r w:rsidRPr="00DD228A">
        <w:rPr>
          <w:rFonts w:ascii="Times New Roman" w:hAnsi="Times New Roman"/>
          <w:sz w:val="28"/>
          <w:szCs w:val="28"/>
        </w:rPr>
        <w:t>2002.</w:t>
      </w:r>
      <w:r w:rsidRPr="00933B10">
        <w:rPr>
          <w:rFonts w:ascii="Times New Roman" w:hAnsi="Times New Roman"/>
          <w:sz w:val="28"/>
          <w:szCs w:val="28"/>
        </w:rPr>
        <w:t xml:space="preserve"> – </w:t>
      </w:r>
      <w:r w:rsidRPr="00DD228A">
        <w:rPr>
          <w:rFonts w:ascii="Times New Roman" w:hAnsi="Times New Roman"/>
          <w:sz w:val="28"/>
          <w:szCs w:val="28"/>
        </w:rPr>
        <w:t>№7.</w:t>
      </w:r>
      <w:r w:rsidRPr="00933B10">
        <w:rPr>
          <w:rFonts w:ascii="Times New Roman" w:hAnsi="Times New Roman"/>
          <w:sz w:val="28"/>
          <w:szCs w:val="28"/>
        </w:rPr>
        <w:t xml:space="preserve"> – </w:t>
      </w:r>
      <w:r w:rsidRPr="00DD228A">
        <w:rPr>
          <w:rFonts w:ascii="Times New Roman" w:hAnsi="Times New Roman"/>
          <w:sz w:val="28"/>
          <w:szCs w:val="28"/>
        </w:rPr>
        <w:t>С.6-10.</w:t>
      </w:r>
    </w:p>
    <w:p w14:paraId="352366F9" w14:textId="77777777" w:rsidR="00BB318A" w:rsidRDefault="00BB318A" w:rsidP="00BB318A">
      <w:pPr>
        <w:spacing w:after="0" w:line="240" w:lineRule="auto"/>
        <w:ind w:firstLine="567"/>
        <w:jc w:val="both"/>
        <w:rPr>
          <w:rFonts w:ascii="Times New Roman" w:hAnsi="Times New Roman"/>
          <w:sz w:val="28"/>
          <w:szCs w:val="28"/>
          <w:lang w:val="en-US"/>
        </w:rPr>
      </w:pPr>
      <w:r w:rsidRPr="00DD228A">
        <w:rPr>
          <w:rFonts w:ascii="Times New Roman" w:hAnsi="Times New Roman"/>
          <w:sz w:val="28"/>
          <w:szCs w:val="28"/>
          <w:lang w:val="en-US"/>
        </w:rPr>
        <w:t xml:space="preserve">256 </w:t>
      </w:r>
      <w:r w:rsidRPr="00933B10">
        <w:rPr>
          <w:rFonts w:ascii="Times New Roman" w:hAnsi="Times New Roman"/>
          <w:sz w:val="28"/>
          <w:szCs w:val="28"/>
          <w:lang w:val="en-US"/>
        </w:rPr>
        <w:t>Sprangers M.A., Cull A., Groenvold M.,</w:t>
      </w:r>
      <w:r w:rsidRPr="00DD228A">
        <w:rPr>
          <w:rFonts w:ascii="Times New Roman" w:hAnsi="Times New Roman"/>
          <w:sz w:val="28"/>
          <w:szCs w:val="28"/>
          <w:lang w:val="en-US"/>
        </w:rPr>
        <w:t xml:space="preserve"> et al. The European Organization for Research and Treatment of Cancer approach to developing questionnaire modules: an update and overview. EORTC Quality of Life Study Group // </w:t>
      </w:r>
      <w:r w:rsidRPr="00933B10">
        <w:rPr>
          <w:rFonts w:ascii="Times New Roman" w:hAnsi="Times New Roman"/>
          <w:sz w:val="28"/>
          <w:szCs w:val="28"/>
          <w:lang w:val="en-US"/>
        </w:rPr>
        <w:t>Quality of life research : an international journal of quality of life aspects of treatment, care and rehabilitation</w:t>
      </w:r>
      <w:r w:rsidRPr="00DD228A">
        <w:rPr>
          <w:rFonts w:ascii="Times New Roman" w:hAnsi="Times New Roman"/>
          <w:sz w:val="28"/>
          <w:szCs w:val="28"/>
          <w:lang w:val="en-US"/>
        </w:rPr>
        <w:t>. – 1998. – Vol. 7, №</w:t>
      </w:r>
      <w:r>
        <w:rPr>
          <w:rFonts w:ascii="Times New Roman" w:hAnsi="Times New Roman"/>
          <w:sz w:val="28"/>
          <w:szCs w:val="28"/>
          <w:lang w:val="en-US"/>
        </w:rPr>
        <w:t xml:space="preserve"> </w:t>
      </w:r>
      <w:r w:rsidRPr="00DD228A">
        <w:rPr>
          <w:rFonts w:ascii="Times New Roman" w:hAnsi="Times New Roman"/>
          <w:sz w:val="28"/>
          <w:szCs w:val="28"/>
          <w:lang w:val="en-US"/>
        </w:rPr>
        <w:t>4. – P. 291-300.</w:t>
      </w:r>
    </w:p>
    <w:p w14:paraId="2A3222DE" w14:textId="77777777" w:rsidR="00BB318A" w:rsidRDefault="00BB318A" w:rsidP="00BB318A">
      <w:pPr>
        <w:spacing w:after="0" w:line="240" w:lineRule="auto"/>
        <w:ind w:firstLine="567"/>
        <w:jc w:val="both"/>
        <w:rPr>
          <w:rFonts w:ascii="Times New Roman" w:hAnsi="Times New Roman"/>
          <w:sz w:val="28"/>
          <w:szCs w:val="28"/>
          <w:lang w:val="en-US"/>
        </w:rPr>
      </w:pPr>
      <w:r w:rsidRPr="00DD228A">
        <w:rPr>
          <w:rFonts w:ascii="Times New Roman" w:hAnsi="Times New Roman"/>
          <w:sz w:val="28"/>
          <w:szCs w:val="28"/>
          <w:lang w:val="en-US"/>
        </w:rPr>
        <w:t xml:space="preserve">257 </w:t>
      </w:r>
      <w:r w:rsidRPr="00933B10">
        <w:rPr>
          <w:rFonts w:ascii="Times New Roman" w:hAnsi="Times New Roman"/>
          <w:sz w:val="28"/>
          <w:szCs w:val="28"/>
          <w:lang w:val="en-US"/>
        </w:rPr>
        <w:t>Eyl R.E., Xie K., Koch-Gallenkamp L., Brenner H., Arndt V</w:t>
      </w:r>
      <w:r w:rsidRPr="00DD228A">
        <w:rPr>
          <w:rFonts w:ascii="Times New Roman" w:hAnsi="Times New Roman"/>
          <w:sz w:val="28"/>
          <w:szCs w:val="28"/>
          <w:lang w:val="en-US"/>
        </w:rPr>
        <w:t xml:space="preserve">. Quality of life and physical activity in long-term (≥5 years post-diagnosis) colorectal cancer survivors – systematic review // </w:t>
      </w:r>
      <w:r w:rsidRPr="00933B10">
        <w:rPr>
          <w:rFonts w:ascii="Times New Roman" w:hAnsi="Times New Roman"/>
          <w:sz w:val="28"/>
          <w:szCs w:val="28"/>
          <w:lang w:val="en-US"/>
        </w:rPr>
        <w:t>Health and quality of life outcomes</w:t>
      </w:r>
      <w:r w:rsidRPr="00DD228A">
        <w:rPr>
          <w:rFonts w:ascii="Times New Roman" w:hAnsi="Times New Roman"/>
          <w:sz w:val="28"/>
          <w:szCs w:val="28"/>
          <w:lang w:val="en-US"/>
        </w:rPr>
        <w:t>. – 2018. – Vol. 16, №</w:t>
      </w:r>
      <w:r>
        <w:rPr>
          <w:rFonts w:ascii="Times New Roman" w:hAnsi="Times New Roman"/>
          <w:sz w:val="28"/>
          <w:szCs w:val="28"/>
          <w:lang w:val="en-US"/>
        </w:rPr>
        <w:t xml:space="preserve"> </w:t>
      </w:r>
      <w:r w:rsidRPr="00DD228A">
        <w:rPr>
          <w:rFonts w:ascii="Times New Roman" w:hAnsi="Times New Roman"/>
          <w:sz w:val="28"/>
          <w:szCs w:val="28"/>
          <w:lang w:val="en-US"/>
        </w:rPr>
        <w:t xml:space="preserve">1. – P. </w:t>
      </w:r>
      <w:r w:rsidRPr="00DD228A">
        <w:rPr>
          <w:rFonts w:ascii="Times New Roman" w:hAnsi="Times New Roman"/>
          <w:sz w:val="28"/>
          <w:szCs w:val="28"/>
          <w:lang w:val="kk-KZ"/>
        </w:rPr>
        <w:t>1-13</w:t>
      </w:r>
      <w:r w:rsidRPr="00DD228A">
        <w:rPr>
          <w:rFonts w:ascii="Times New Roman" w:hAnsi="Times New Roman"/>
          <w:sz w:val="28"/>
          <w:szCs w:val="28"/>
          <w:lang w:val="en-US"/>
        </w:rPr>
        <w:t>.</w:t>
      </w:r>
    </w:p>
    <w:p w14:paraId="60707244" w14:textId="77777777" w:rsidR="00BB318A" w:rsidRPr="00FC284D" w:rsidRDefault="00BB318A" w:rsidP="00BB318A">
      <w:pPr>
        <w:spacing w:after="0" w:line="240" w:lineRule="auto"/>
        <w:ind w:firstLine="567"/>
        <w:jc w:val="both"/>
        <w:rPr>
          <w:rFonts w:ascii="Times New Roman" w:hAnsi="Times New Roman"/>
          <w:sz w:val="28"/>
          <w:szCs w:val="28"/>
        </w:rPr>
      </w:pPr>
      <w:r>
        <w:rPr>
          <w:rFonts w:ascii="Times New Roman" w:hAnsi="Times New Roman"/>
          <w:sz w:val="28"/>
          <w:szCs w:val="28"/>
        </w:rPr>
        <w:t xml:space="preserve">258 </w:t>
      </w:r>
      <w:r w:rsidRPr="00FC284D">
        <w:rPr>
          <w:rFonts w:ascii="Times New Roman" w:hAnsi="Times New Roman"/>
          <w:sz w:val="28"/>
          <w:szCs w:val="28"/>
        </w:rPr>
        <w:t>Бекишева А.Т., Макишев А.К., Мырзабай Ж.Б. и др. Результаты анкетирования больных с раком желудка опросником PGSAS-45 // Сб. тез. междунар. науч.-практ. конф. молодых ученых и студентов, приуроченная к 30-летию Независимости Республики Казахстан. – Нур-Султан, 2021. – С. 351-352.</w:t>
      </w:r>
    </w:p>
    <w:p w14:paraId="54DC8FD1" w14:textId="77777777" w:rsidR="00BB318A" w:rsidRPr="00FC284D" w:rsidRDefault="00BB318A" w:rsidP="00BB318A">
      <w:pPr>
        <w:spacing w:after="0" w:line="240" w:lineRule="auto"/>
        <w:ind w:firstLine="567"/>
        <w:jc w:val="both"/>
        <w:rPr>
          <w:rFonts w:ascii="Times New Roman" w:hAnsi="Times New Roman"/>
          <w:sz w:val="28"/>
          <w:szCs w:val="28"/>
        </w:rPr>
      </w:pPr>
      <w:r w:rsidRPr="00FC284D">
        <w:rPr>
          <w:rFonts w:ascii="Times New Roman" w:hAnsi="Times New Roman"/>
          <w:sz w:val="28"/>
          <w:szCs w:val="28"/>
        </w:rPr>
        <w:t>2</w:t>
      </w:r>
      <w:r>
        <w:rPr>
          <w:rFonts w:ascii="Times New Roman" w:hAnsi="Times New Roman"/>
          <w:sz w:val="28"/>
          <w:szCs w:val="28"/>
        </w:rPr>
        <w:t>59</w:t>
      </w:r>
      <w:r w:rsidRPr="00FC284D">
        <w:rPr>
          <w:rFonts w:ascii="Times New Roman" w:hAnsi="Times New Roman"/>
          <w:sz w:val="28"/>
          <w:szCs w:val="28"/>
        </w:rPr>
        <w:t xml:space="preserve"> Бекишева А.Т., Макишев А.К., Мырзабай Ж.Б. Клиническая значимость и характеристика шкалы оценки постгастрэктомического синдрома (PGSAS)-45 // Евразийский онкологический журнал. – 2022. – Т. 10, №2. – 765</w:t>
      </w:r>
      <w:r w:rsidRPr="00F75C91">
        <w:rPr>
          <w:rFonts w:ascii="Times New Roman" w:hAnsi="Times New Roman"/>
          <w:sz w:val="28"/>
          <w:szCs w:val="28"/>
        </w:rPr>
        <w:t xml:space="preserve"> </w:t>
      </w:r>
      <w:r>
        <w:rPr>
          <w:rFonts w:ascii="Times New Roman" w:hAnsi="Times New Roman"/>
          <w:sz w:val="28"/>
          <w:szCs w:val="28"/>
          <w:lang w:val="en-US"/>
        </w:rPr>
        <w:t>c</w:t>
      </w:r>
      <w:r w:rsidRPr="00FC284D">
        <w:rPr>
          <w:rFonts w:ascii="Times New Roman" w:hAnsi="Times New Roman"/>
          <w:sz w:val="28"/>
          <w:szCs w:val="28"/>
        </w:rPr>
        <w:t>.</w:t>
      </w:r>
    </w:p>
    <w:p w14:paraId="2C861B18" w14:textId="77777777" w:rsidR="00BB318A" w:rsidRPr="00FC284D" w:rsidRDefault="00BB318A" w:rsidP="00BB318A">
      <w:pPr>
        <w:spacing w:after="0" w:line="240" w:lineRule="auto"/>
        <w:ind w:firstLine="567"/>
        <w:jc w:val="both"/>
        <w:rPr>
          <w:rFonts w:ascii="Times New Roman" w:hAnsi="Times New Roman"/>
          <w:sz w:val="28"/>
          <w:szCs w:val="28"/>
          <w:lang w:val="en-US"/>
        </w:rPr>
      </w:pPr>
      <w:r w:rsidRPr="00FC284D">
        <w:rPr>
          <w:rFonts w:ascii="Times New Roman" w:hAnsi="Times New Roman"/>
          <w:sz w:val="28"/>
          <w:szCs w:val="28"/>
          <w:lang w:val="en-US"/>
        </w:rPr>
        <w:t>260 Lewis S.J., Heaton K.W. Stool Form Scale as a Useful Guide to Intestinal Transit Time // Scandinavian Journal of Gastroenterology. – 1997. – Vol. 32, №</w:t>
      </w:r>
      <w:r>
        <w:rPr>
          <w:rFonts w:ascii="Times New Roman" w:hAnsi="Times New Roman"/>
          <w:sz w:val="28"/>
          <w:szCs w:val="28"/>
          <w:lang w:val="en-US"/>
        </w:rPr>
        <w:t xml:space="preserve"> </w:t>
      </w:r>
      <w:r w:rsidRPr="00FC284D">
        <w:rPr>
          <w:rFonts w:ascii="Times New Roman" w:hAnsi="Times New Roman"/>
          <w:sz w:val="28"/>
          <w:szCs w:val="28"/>
          <w:lang w:val="en-US"/>
        </w:rPr>
        <w:t>9. – P. 920-924.</w:t>
      </w:r>
    </w:p>
    <w:p w14:paraId="2FCA3D37" w14:textId="77777777" w:rsidR="00BB318A" w:rsidRPr="00FC284D" w:rsidRDefault="00BB318A" w:rsidP="00BB318A">
      <w:pPr>
        <w:spacing w:after="0" w:line="240" w:lineRule="auto"/>
        <w:ind w:firstLine="567"/>
        <w:jc w:val="both"/>
        <w:rPr>
          <w:rFonts w:ascii="Times New Roman" w:hAnsi="Times New Roman"/>
          <w:sz w:val="28"/>
          <w:szCs w:val="28"/>
          <w:lang w:val="en-US"/>
        </w:rPr>
      </w:pPr>
      <w:r w:rsidRPr="00FC284D">
        <w:rPr>
          <w:rFonts w:ascii="Times New Roman" w:hAnsi="Times New Roman"/>
          <w:sz w:val="28"/>
          <w:szCs w:val="28"/>
          <w:lang w:val="en-US"/>
        </w:rPr>
        <w:t>261 Common Terminology Criteria for Adverse Events (CTCAE)</w:t>
      </w:r>
      <w:r w:rsidRPr="004A1A78">
        <w:rPr>
          <w:rFonts w:ascii="Times New Roman" w:hAnsi="Times New Roman"/>
          <w:sz w:val="28"/>
          <w:szCs w:val="28"/>
          <w:lang w:val="en-US"/>
        </w:rPr>
        <w:t xml:space="preserve"> // </w:t>
      </w:r>
      <w:r w:rsidRPr="00FC284D">
        <w:rPr>
          <w:rFonts w:ascii="Times New Roman" w:hAnsi="Times New Roman"/>
          <w:sz w:val="28"/>
          <w:szCs w:val="28"/>
          <w:lang w:val="en-US"/>
        </w:rPr>
        <w:t xml:space="preserve">National Cancer Institute. – Washington, 2017. – 147 </w:t>
      </w:r>
      <w:r w:rsidRPr="00FC284D">
        <w:rPr>
          <w:rFonts w:ascii="Times New Roman" w:hAnsi="Times New Roman"/>
          <w:sz w:val="28"/>
          <w:szCs w:val="28"/>
        </w:rPr>
        <w:t>р</w:t>
      </w:r>
      <w:r w:rsidRPr="00FC284D">
        <w:rPr>
          <w:rFonts w:ascii="Times New Roman" w:hAnsi="Times New Roman"/>
          <w:sz w:val="28"/>
          <w:szCs w:val="28"/>
          <w:lang w:val="en-US"/>
        </w:rPr>
        <w:t>.</w:t>
      </w:r>
    </w:p>
    <w:p w14:paraId="7C9B241E" w14:textId="77777777" w:rsidR="00BB318A" w:rsidRPr="00FC284D" w:rsidRDefault="00BB318A" w:rsidP="00BB318A">
      <w:pPr>
        <w:spacing w:after="0" w:line="240" w:lineRule="auto"/>
        <w:ind w:firstLine="567"/>
        <w:jc w:val="both"/>
        <w:rPr>
          <w:rFonts w:ascii="Times New Roman" w:hAnsi="Times New Roman"/>
          <w:sz w:val="28"/>
          <w:szCs w:val="28"/>
        </w:rPr>
      </w:pPr>
      <w:r w:rsidRPr="00FC284D">
        <w:rPr>
          <w:rFonts w:ascii="Times New Roman" w:hAnsi="Times New Roman"/>
          <w:sz w:val="28"/>
          <w:szCs w:val="28"/>
        </w:rPr>
        <w:lastRenderedPageBreak/>
        <w:t>2</w:t>
      </w:r>
      <w:r>
        <w:rPr>
          <w:rFonts w:ascii="Times New Roman" w:hAnsi="Times New Roman"/>
          <w:sz w:val="28"/>
          <w:szCs w:val="28"/>
        </w:rPr>
        <w:t>62</w:t>
      </w:r>
      <w:r w:rsidRPr="00FC284D">
        <w:rPr>
          <w:rFonts w:ascii="Times New Roman" w:hAnsi="Times New Roman"/>
          <w:sz w:val="28"/>
          <w:szCs w:val="28"/>
        </w:rPr>
        <w:t xml:space="preserve"> Бекишева А.Т., Макишев А.К., Мырзабай Ж.Б. Опыт применения FODMAP диеты в комбинации с пробиотиками у больных с функциональными осложнениями после хирургического лечения рака ободочной кишки // Сб. тез. междунар. науч.-практ. конф. молодых ученых и студентов, приуроченная к 30-летию Независимости Республики Казахстан. – Нур-Султан, 2021. – С. 353-354.</w:t>
      </w:r>
    </w:p>
    <w:p w14:paraId="66C59B7E" w14:textId="77777777" w:rsidR="00BB318A" w:rsidRPr="00062877" w:rsidRDefault="00BB318A" w:rsidP="00BB318A">
      <w:pPr>
        <w:spacing w:after="0" w:line="240" w:lineRule="auto"/>
        <w:ind w:firstLine="567"/>
        <w:jc w:val="both"/>
        <w:rPr>
          <w:rFonts w:ascii="Times New Roman" w:hAnsi="Times New Roman"/>
          <w:sz w:val="28"/>
          <w:szCs w:val="28"/>
        </w:rPr>
      </w:pPr>
      <w:r w:rsidRPr="00FC284D">
        <w:rPr>
          <w:rFonts w:ascii="Times New Roman" w:hAnsi="Times New Roman"/>
          <w:sz w:val="28"/>
          <w:szCs w:val="28"/>
        </w:rPr>
        <w:t>2</w:t>
      </w:r>
      <w:r>
        <w:rPr>
          <w:rFonts w:ascii="Times New Roman" w:hAnsi="Times New Roman"/>
          <w:sz w:val="28"/>
          <w:szCs w:val="28"/>
        </w:rPr>
        <w:t>63</w:t>
      </w:r>
      <w:r w:rsidRPr="00FC284D">
        <w:rPr>
          <w:rFonts w:ascii="Times New Roman" w:hAnsi="Times New Roman"/>
          <w:sz w:val="28"/>
          <w:szCs w:val="28"/>
        </w:rPr>
        <w:t xml:space="preserve"> Бекишева А.Т. и соавт. Лечение функциональных осложнений рака ободочной кишки после хирургического лечения // Сб. статей XLIV международной научно-практической конференции «Advances in Science and Technology». – 2022</w:t>
      </w:r>
      <w:r w:rsidRPr="00062877">
        <w:rPr>
          <w:rFonts w:ascii="Times New Roman" w:hAnsi="Times New Roman"/>
          <w:sz w:val="28"/>
          <w:szCs w:val="28"/>
        </w:rPr>
        <w:t>.</w:t>
      </w:r>
      <w:r w:rsidRPr="00FC284D">
        <w:rPr>
          <w:rFonts w:ascii="Times New Roman" w:hAnsi="Times New Roman"/>
          <w:sz w:val="28"/>
          <w:szCs w:val="28"/>
        </w:rPr>
        <w:t xml:space="preserve"> – С. 52–54</w:t>
      </w:r>
      <w:r w:rsidRPr="00062877">
        <w:rPr>
          <w:rFonts w:ascii="Times New Roman" w:hAnsi="Times New Roman"/>
          <w:sz w:val="28"/>
          <w:szCs w:val="28"/>
        </w:rPr>
        <w:t>.</w:t>
      </w:r>
    </w:p>
    <w:p w14:paraId="45EB0FB5" w14:textId="77777777" w:rsidR="00BB318A" w:rsidRPr="00FC284D" w:rsidRDefault="00BB318A" w:rsidP="00BB318A">
      <w:pPr>
        <w:spacing w:after="0" w:line="240" w:lineRule="auto"/>
        <w:ind w:firstLine="567"/>
        <w:jc w:val="both"/>
        <w:rPr>
          <w:rFonts w:ascii="Times New Roman" w:hAnsi="Times New Roman"/>
          <w:sz w:val="28"/>
          <w:szCs w:val="28"/>
        </w:rPr>
      </w:pPr>
      <w:r w:rsidRPr="00FC284D">
        <w:rPr>
          <w:rFonts w:ascii="Times New Roman" w:hAnsi="Times New Roman"/>
          <w:sz w:val="28"/>
          <w:szCs w:val="28"/>
        </w:rPr>
        <w:t>2</w:t>
      </w:r>
      <w:r>
        <w:rPr>
          <w:rFonts w:ascii="Times New Roman" w:hAnsi="Times New Roman"/>
          <w:sz w:val="28"/>
          <w:szCs w:val="28"/>
        </w:rPr>
        <w:t>64</w:t>
      </w:r>
      <w:r w:rsidRPr="00FC284D">
        <w:rPr>
          <w:rFonts w:ascii="Times New Roman" w:hAnsi="Times New Roman"/>
          <w:sz w:val="28"/>
          <w:szCs w:val="28"/>
        </w:rPr>
        <w:t xml:space="preserve"> Бекишева А.Т., Макишев А.К., Куканова А.М., Тажикова А.М. Оценка влияния FODMAP-диеты в комбинации с пробиотиками на качество жизни больных после хирургического лечения рака ободочной кишки // Евразийский онкологический журнал. – 2022. – Т. 10, №</w:t>
      </w:r>
      <w:r w:rsidRPr="00062877">
        <w:rPr>
          <w:rFonts w:ascii="Times New Roman" w:hAnsi="Times New Roman"/>
          <w:sz w:val="28"/>
          <w:szCs w:val="28"/>
        </w:rPr>
        <w:t xml:space="preserve"> </w:t>
      </w:r>
      <w:r w:rsidRPr="00FC284D">
        <w:rPr>
          <w:rFonts w:ascii="Times New Roman" w:hAnsi="Times New Roman"/>
          <w:sz w:val="28"/>
          <w:szCs w:val="28"/>
        </w:rPr>
        <w:t>2. – С. 763</w:t>
      </w:r>
      <w:r w:rsidRPr="00062877">
        <w:rPr>
          <w:rFonts w:ascii="Times New Roman" w:hAnsi="Times New Roman"/>
          <w:sz w:val="28"/>
          <w:szCs w:val="28"/>
        </w:rPr>
        <w:t>-766</w:t>
      </w:r>
      <w:r w:rsidRPr="00FC284D">
        <w:rPr>
          <w:rFonts w:ascii="Times New Roman" w:hAnsi="Times New Roman"/>
          <w:sz w:val="28"/>
          <w:szCs w:val="28"/>
        </w:rPr>
        <w:t>.</w:t>
      </w:r>
    </w:p>
    <w:p w14:paraId="65C671E9" w14:textId="77777777" w:rsidR="00BB318A" w:rsidRPr="00FC284D" w:rsidRDefault="00BB318A" w:rsidP="00BB318A">
      <w:pPr>
        <w:spacing w:after="0" w:line="240" w:lineRule="auto"/>
        <w:ind w:firstLine="567"/>
        <w:jc w:val="both"/>
        <w:rPr>
          <w:rFonts w:ascii="Times New Roman" w:hAnsi="Times New Roman"/>
          <w:sz w:val="28"/>
          <w:szCs w:val="28"/>
          <w:lang w:val="en-US"/>
        </w:rPr>
      </w:pPr>
      <w:r w:rsidRPr="00FC284D">
        <w:rPr>
          <w:rFonts w:ascii="Times New Roman" w:hAnsi="Times New Roman"/>
          <w:sz w:val="28"/>
          <w:szCs w:val="28"/>
          <w:lang w:val="en-US"/>
        </w:rPr>
        <w:t>26</w:t>
      </w:r>
      <w:r>
        <w:rPr>
          <w:rFonts w:ascii="Times New Roman" w:hAnsi="Times New Roman"/>
          <w:sz w:val="28"/>
          <w:szCs w:val="28"/>
          <w:lang w:val="en-US"/>
        </w:rPr>
        <w:t>5</w:t>
      </w:r>
      <w:r w:rsidRPr="00FC284D">
        <w:rPr>
          <w:rFonts w:ascii="Times New Roman" w:hAnsi="Times New Roman"/>
          <w:sz w:val="28"/>
          <w:szCs w:val="28"/>
          <w:lang w:val="en-US"/>
        </w:rPr>
        <w:t xml:space="preserve"> Goren M.P. Cisplatin nephrotoxicity affects magnesium and calcium metabolism // Med Pediatr Oncol. – 2003. – Vol. 41, №</w:t>
      </w:r>
      <w:r>
        <w:rPr>
          <w:rFonts w:ascii="Times New Roman" w:hAnsi="Times New Roman"/>
          <w:sz w:val="28"/>
          <w:szCs w:val="28"/>
          <w:lang w:val="en-US"/>
        </w:rPr>
        <w:t xml:space="preserve"> </w:t>
      </w:r>
      <w:r w:rsidRPr="00FC284D">
        <w:rPr>
          <w:rFonts w:ascii="Times New Roman" w:hAnsi="Times New Roman"/>
          <w:sz w:val="28"/>
          <w:szCs w:val="28"/>
          <w:lang w:val="en-US"/>
        </w:rPr>
        <w:t>3. – P. 186-189.</w:t>
      </w:r>
    </w:p>
    <w:p w14:paraId="090CEBB6" w14:textId="77777777" w:rsidR="00BB318A" w:rsidRPr="00FC284D" w:rsidRDefault="00BB318A" w:rsidP="00BB318A">
      <w:pPr>
        <w:spacing w:after="0" w:line="240" w:lineRule="auto"/>
        <w:ind w:firstLine="567"/>
        <w:jc w:val="both"/>
        <w:rPr>
          <w:rFonts w:ascii="Times New Roman" w:hAnsi="Times New Roman"/>
          <w:sz w:val="28"/>
          <w:szCs w:val="28"/>
          <w:lang w:val="en-US"/>
        </w:rPr>
      </w:pPr>
      <w:r w:rsidRPr="00FC284D">
        <w:rPr>
          <w:rFonts w:ascii="Times New Roman" w:hAnsi="Times New Roman"/>
          <w:sz w:val="28"/>
          <w:szCs w:val="28"/>
          <w:lang w:val="en-US"/>
        </w:rPr>
        <w:t>2</w:t>
      </w:r>
      <w:r w:rsidRPr="00C954CB">
        <w:rPr>
          <w:rFonts w:ascii="Times New Roman" w:hAnsi="Times New Roman"/>
          <w:sz w:val="28"/>
          <w:szCs w:val="28"/>
          <w:lang w:val="en-US"/>
        </w:rPr>
        <w:t>6</w:t>
      </w:r>
      <w:r>
        <w:rPr>
          <w:rFonts w:ascii="Times New Roman" w:hAnsi="Times New Roman"/>
          <w:sz w:val="28"/>
          <w:szCs w:val="28"/>
          <w:lang w:val="en-US"/>
        </w:rPr>
        <w:t>6</w:t>
      </w:r>
      <w:r w:rsidRPr="00FC284D">
        <w:rPr>
          <w:rFonts w:ascii="Times New Roman" w:hAnsi="Times New Roman"/>
          <w:sz w:val="28"/>
          <w:szCs w:val="28"/>
          <w:lang w:val="en-US"/>
        </w:rPr>
        <w:t xml:space="preserve"> </w:t>
      </w:r>
      <w:r w:rsidRPr="00062877">
        <w:rPr>
          <w:rFonts w:ascii="Times New Roman" w:hAnsi="Times New Roman"/>
          <w:sz w:val="28"/>
          <w:szCs w:val="28"/>
          <w:lang w:val="en-US"/>
        </w:rPr>
        <w:t>Li Y., Chen X., Shen Z.,</w:t>
      </w:r>
      <w:r w:rsidRPr="00FC284D">
        <w:rPr>
          <w:rFonts w:ascii="Times New Roman" w:hAnsi="Times New Roman"/>
          <w:sz w:val="28"/>
          <w:szCs w:val="28"/>
          <w:lang w:val="en-US"/>
        </w:rPr>
        <w:t xml:space="preserve"> et al. Electrolyte and acid-base disorders in cancer patients and its impact on clinical outcomes: evidence from a real-world study in China // </w:t>
      </w:r>
      <w:r w:rsidRPr="00062877">
        <w:rPr>
          <w:rFonts w:ascii="Times New Roman" w:hAnsi="Times New Roman"/>
          <w:sz w:val="28"/>
          <w:szCs w:val="28"/>
          <w:lang w:val="en-US"/>
        </w:rPr>
        <w:t>Renal failure</w:t>
      </w:r>
      <w:r w:rsidRPr="00FC284D">
        <w:rPr>
          <w:rFonts w:ascii="Times New Roman" w:hAnsi="Times New Roman"/>
          <w:sz w:val="28"/>
          <w:szCs w:val="28"/>
          <w:lang w:val="en-US"/>
        </w:rPr>
        <w:t>. –2020. – Vol. 42, №</w:t>
      </w:r>
      <w:r>
        <w:rPr>
          <w:rFonts w:ascii="Times New Roman" w:hAnsi="Times New Roman"/>
          <w:sz w:val="28"/>
          <w:szCs w:val="28"/>
          <w:lang w:val="en-US"/>
        </w:rPr>
        <w:t xml:space="preserve"> </w:t>
      </w:r>
      <w:r w:rsidRPr="00FC284D">
        <w:rPr>
          <w:rFonts w:ascii="Times New Roman" w:hAnsi="Times New Roman"/>
          <w:sz w:val="28"/>
          <w:szCs w:val="28"/>
          <w:lang w:val="en-US"/>
        </w:rPr>
        <w:t>1. – P. 234-243.</w:t>
      </w:r>
    </w:p>
    <w:p w14:paraId="4FBB6674" w14:textId="77777777" w:rsidR="00BB318A" w:rsidRDefault="00BB318A" w:rsidP="00BB318A">
      <w:pPr>
        <w:spacing w:after="0" w:line="240" w:lineRule="auto"/>
        <w:ind w:firstLine="567"/>
        <w:jc w:val="both"/>
        <w:rPr>
          <w:rFonts w:ascii="Times New Roman" w:hAnsi="Times New Roman"/>
          <w:sz w:val="28"/>
          <w:szCs w:val="28"/>
          <w:lang w:val="en-US"/>
        </w:rPr>
      </w:pPr>
      <w:r w:rsidRPr="00FC284D">
        <w:rPr>
          <w:rFonts w:ascii="Times New Roman" w:hAnsi="Times New Roman"/>
          <w:sz w:val="28"/>
          <w:szCs w:val="28"/>
          <w:lang w:val="en-US"/>
        </w:rPr>
        <w:t>26</w:t>
      </w:r>
      <w:r>
        <w:rPr>
          <w:rFonts w:ascii="Times New Roman" w:hAnsi="Times New Roman"/>
          <w:sz w:val="28"/>
          <w:szCs w:val="28"/>
          <w:lang w:val="en-US"/>
        </w:rPr>
        <w:t>7</w:t>
      </w:r>
      <w:r w:rsidRPr="00FC284D">
        <w:rPr>
          <w:rFonts w:ascii="Times New Roman" w:hAnsi="Times New Roman"/>
          <w:sz w:val="28"/>
          <w:szCs w:val="28"/>
          <w:lang w:val="en-US"/>
        </w:rPr>
        <w:t xml:space="preserve"> </w:t>
      </w:r>
      <w:r w:rsidRPr="00062877">
        <w:rPr>
          <w:rFonts w:ascii="Times New Roman" w:hAnsi="Times New Roman"/>
          <w:sz w:val="28"/>
          <w:szCs w:val="28"/>
          <w:lang w:val="en-US"/>
        </w:rPr>
        <w:t>Mohan S., Gu S., Parikh A., Radhakrishnan J</w:t>
      </w:r>
      <w:r w:rsidRPr="00FC284D">
        <w:rPr>
          <w:rFonts w:ascii="Times New Roman" w:hAnsi="Times New Roman"/>
          <w:sz w:val="28"/>
          <w:szCs w:val="28"/>
          <w:lang w:val="en-US"/>
        </w:rPr>
        <w:t xml:space="preserve">. Prevalence of hyponatremia and association with mortality: results from NHANES // </w:t>
      </w:r>
      <w:r w:rsidRPr="004A1A78">
        <w:rPr>
          <w:rFonts w:ascii="Times New Roman" w:hAnsi="Times New Roman"/>
          <w:sz w:val="28"/>
          <w:szCs w:val="28"/>
          <w:lang w:val="en-US"/>
        </w:rPr>
        <w:t>The American journal of medicine</w:t>
      </w:r>
      <w:r w:rsidRPr="00FC284D">
        <w:rPr>
          <w:rFonts w:ascii="Times New Roman" w:hAnsi="Times New Roman"/>
          <w:sz w:val="28"/>
          <w:szCs w:val="28"/>
          <w:lang w:val="en-US"/>
        </w:rPr>
        <w:t>. – 2013. – Vol. 126, №</w:t>
      </w:r>
      <w:r>
        <w:rPr>
          <w:rFonts w:ascii="Times New Roman" w:hAnsi="Times New Roman"/>
          <w:sz w:val="28"/>
          <w:szCs w:val="28"/>
          <w:lang w:val="en-US"/>
        </w:rPr>
        <w:t xml:space="preserve"> </w:t>
      </w:r>
      <w:r w:rsidRPr="00FC284D">
        <w:rPr>
          <w:rFonts w:ascii="Times New Roman" w:hAnsi="Times New Roman"/>
          <w:sz w:val="28"/>
          <w:szCs w:val="28"/>
          <w:lang w:val="en-US"/>
        </w:rPr>
        <w:t>12. – P. 1127-1137.</w:t>
      </w:r>
    </w:p>
    <w:p w14:paraId="635658F7" w14:textId="77777777" w:rsidR="00BB318A" w:rsidRPr="00846808" w:rsidRDefault="00BB318A" w:rsidP="00BB318A">
      <w:pPr>
        <w:spacing w:after="0" w:line="240" w:lineRule="auto"/>
        <w:ind w:firstLine="567"/>
        <w:jc w:val="both"/>
        <w:rPr>
          <w:rFonts w:ascii="Times New Roman" w:hAnsi="Times New Roman"/>
          <w:sz w:val="28"/>
          <w:szCs w:val="28"/>
          <w:lang w:val="en-US"/>
        </w:rPr>
      </w:pPr>
      <w:r w:rsidRPr="00FC284D">
        <w:rPr>
          <w:rFonts w:ascii="Times New Roman" w:hAnsi="Times New Roman"/>
          <w:sz w:val="28"/>
          <w:szCs w:val="28"/>
          <w:lang w:val="en-US"/>
        </w:rPr>
        <w:t>26</w:t>
      </w:r>
      <w:r>
        <w:rPr>
          <w:rFonts w:ascii="Times New Roman" w:hAnsi="Times New Roman"/>
          <w:sz w:val="28"/>
          <w:szCs w:val="28"/>
          <w:lang w:val="en-US"/>
        </w:rPr>
        <w:t>8</w:t>
      </w:r>
      <w:r w:rsidRPr="00FC284D">
        <w:rPr>
          <w:rFonts w:ascii="Times New Roman" w:hAnsi="Times New Roman"/>
          <w:sz w:val="28"/>
          <w:szCs w:val="28"/>
          <w:lang w:val="en-US"/>
        </w:rPr>
        <w:t xml:space="preserve"> Akhondi-Meybodi M., Akhondi-Meybodi S., Vakili M., Javaheri Z. Quality of life in patients with colorectal cancer in Iran // </w:t>
      </w:r>
      <w:r w:rsidRPr="00846808">
        <w:rPr>
          <w:rFonts w:ascii="Times New Roman" w:hAnsi="Times New Roman"/>
          <w:sz w:val="28"/>
          <w:szCs w:val="28"/>
          <w:lang w:val="en-US"/>
        </w:rPr>
        <w:t>Arab Journal of Gastroenterology</w:t>
      </w:r>
      <w:r w:rsidRPr="00FC284D">
        <w:rPr>
          <w:rFonts w:ascii="Times New Roman" w:hAnsi="Times New Roman"/>
          <w:sz w:val="28"/>
          <w:szCs w:val="28"/>
          <w:lang w:val="en-US"/>
        </w:rPr>
        <w:t>. – 2016. – Vol.</w:t>
      </w:r>
      <w:r>
        <w:rPr>
          <w:rFonts w:ascii="Times New Roman" w:hAnsi="Times New Roman"/>
          <w:sz w:val="28"/>
          <w:szCs w:val="28"/>
          <w:lang w:val="en-US"/>
        </w:rPr>
        <w:t xml:space="preserve"> </w:t>
      </w:r>
      <w:r w:rsidRPr="00846808">
        <w:rPr>
          <w:rFonts w:ascii="Times New Roman" w:hAnsi="Times New Roman"/>
          <w:sz w:val="28"/>
          <w:szCs w:val="28"/>
          <w:lang w:val="en-US"/>
        </w:rPr>
        <w:t>17</w:t>
      </w:r>
      <w:r w:rsidRPr="00FC284D">
        <w:rPr>
          <w:rFonts w:ascii="Times New Roman" w:hAnsi="Times New Roman"/>
          <w:sz w:val="28"/>
          <w:szCs w:val="28"/>
          <w:lang w:val="en-US"/>
        </w:rPr>
        <w:t>, №</w:t>
      </w:r>
      <w:r>
        <w:rPr>
          <w:rFonts w:ascii="Times New Roman" w:hAnsi="Times New Roman"/>
          <w:sz w:val="28"/>
          <w:szCs w:val="28"/>
          <w:lang w:val="en-US"/>
        </w:rPr>
        <w:t xml:space="preserve"> </w:t>
      </w:r>
      <w:r w:rsidRPr="00846808">
        <w:rPr>
          <w:rFonts w:ascii="Times New Roman" w:hAnsi="Times New Roman"/>
          <w:sz w:val="28"/>
          <w:szCs w:val="28"/>
          <w:lang w:val="en-US"/>
        </w:rPr>
        <w:t>3</w:t>
      </w:r>
      <w:r>
        <w:rPr>
          <w:rFonts w:ascii="Times New Roman" w:hAnsi="Times New Roman"/>
          <w:sz w:val="28"/>
          <w:szCs w:val="28"/>
          <w:lang w:val="en-US"/>
        </w:rPr>
        <w:t>.</w:t>
      </w:r>
      <w:r w:rsidRPr="00FC284D">
        <w:rPr>
          <w:rFonts w:ascii="Times New Roman" w:hAnsi="Times New Roman"/>
          <w:sz w:val="28"/>
          <w:szCs w:val="28"/>
          <w:lang w:val="en-US"/>
        </w:rPr>
        <w:t xml:space="preserve"> – P.</w:t>
      </w:r>
      <w:r w:rsidRPr="00846808">
        <w:rPr>
          <w:rFonts w:ascii="Times New Roman" w:hAnsi="Times New Roman"/>
          <w:sz w:val="28"/>
          <w:szCs w:val="28"/>
          <w:lang w:val="en-US"/>
        </w:rPr>
        <w:t xml:space="preserve"> 127–130.</w:t>
      </w:r>
    </w:p>
    <w:p w14:paraId="029FD9FF" w14:textId="77777777" w:rsidR="00BB318A" w:rsidRPr="00846808" w:rsidRDefault="00BB318A" w:rsidP="00BB318A">
      <w:pPr>
        <w:spacing w:after="0" w:line="240" w:lineRule="auto"/>
        <w:ind w:firstLine="567"/>
        <w:jc w:val="both"/>
        <w:rPr>
          <w:rFonts w:ascii="Times New Roman" w:hAnsi="Times New Roman"/>
          <w:sz w:val="28"/>
          <w:szCs w:val="28"/>
          <w:lang w:val="en-US"/>
        </w:rPr>
      </w:pPr>
      <w:r w:rsidRPr="00846808">
        <w:rPr>
          <w:rFonts w:ascii="Times New Roman" w:hAnsi="Times New Roman"/>
          <w:sz w:val="28"/>
          <w:szCs w:val="28"/>
          <w:lang w:val="en-US"/>
        </w:rPr>
        <w:t>2</w:t>
      </w:r>
      <w:r>
        <w:rPr>
          <w:rFonts w:ascii="Times New Roman" w:hAnsi="Times New Roman"/>
          <w:sz w:val="28"/>
          <w:szCs w:val="28"/>
          <w:lang w:val="en-US"/>
        </w:rPr>
        <w:t>69</w:t>
      </w:r>
      <w:r w:rsidRPr="00846808">
        <w:rPr>
          <w:rFonts w:ascii="Times New Roman" w:hAnsi="Times New Roman"/>
          <w:sz w:val="28"/>
          <w:szCs w:val="28"/>
          <w:lang w:val="en-US"/>
        </w:rPr>
        <w:t xml:space="preserve"> Seow‐En I., Chok A.Y., Matchar D.B., </w:t>
      </w:r>
      <w:r>
        <w:rPr>
          <w:rFonts w:ascii="Times New Roman" w:hAnsi="Times New Roman"/>
          <w:sz w:val="28"/>
          <w:szCs w:val="28"/>
          <w:lang w:val="en-US"/>
        </w:rPr>
        <w:t>et al</w:t>
      </w:r>
      <w:r w:rsidRPr="00846808">
        <w:rPr>
          <w:rFonts w:ascii="Times New Roman" w:hAnsi="Times New Roman"/>
          <w:sz w:val="28"/>
          <w:szCs w:val="28"/>
          <w:lang w:val="en-US"/>
        </w:rPr>
        <w:t>. Long‐term quality of life, sexual health and gastrointestinal function following colorectal cancer resection in an Asian cohort</w:t>
      </w:r>
      <w:r w:rsidRPr="00FC284D">
        <w:rPr>
          <w:rFonts w:ascii="Times New Roman" w:hAnsi="Times New Roman"/>
          <w:sz w:val="28"/>
          <w:szCs w:val="28"/>
          <w:lang w:val="en-US"/>
        </w:rPr>
        <w:t xml:space="preserve"> // </w:t>
      </w:r>
      <w:r w:rsidRPr="00846808">
        <w:rPr>
          <w:rFonts w:ascii="Times New Roman" w:hAnsi="Times New Roman"/>
          <w:sz w:val="28"/>
          <w:szCs w:val="28"/>
          <w:lang w:val="en-US"/>
        </w:rPr>
        <w:t>Colorectal Disease</w:t>
      </w:r>
      <w:r w:rsidRPr="00FC284D">
        <w:rPr>
          <w:rFonts w:ascii="Times New Roman" w:hAnsi="Times New Roman"/>
          <w:sz w:val="28"/>
          <w:szCs w:val="28"/>
          <w:lang w:val="en-US"/>
        </w:rPr>
        <w:t xml:space="preserve">. – </w:t>
      </w:r>
      <w:r w:rsidRPr="00846808">
        <w:rPr>
          <w:rFonts w:ascii="Times New Roman" w:hAnsi="Times New Roman"/>
          <w:sz w:val="28"/>
          <w:szCs w:val="28"/>
          <w:lang w:val="en-US"/>
        </w:rPr>
        <w:t>2021.</w:t>
      </w:r>
      <w:r w:rsidRPr="00FC284D">
        <w:rPr>
          <w:rFonts w:ascii="Times New Roman" w:hAnsi="Times New Roman"/>
          <w:sz w:val="28"/>
          <w:szCs w:val="28"/>
          <w:lang w:val="en-US"/>
        </w:rPr>
        <w:t xml:space="preserve"> – Vol.</w:t>
      </w:r>
      <w:r>
        <w:rPr>
          <w:rFonts w:ascii="Times New Roman" w:hAnsi="Times New Roman"/>
          <w:sz w:val="28"/>
          <w:szCs w:val="28"/>
          <w:lang w:val="en-US"/>
        </w:rPr>
        <w:t xml:space="preserve"> </w:t>
      </w:r>
      <w:r w:rsidRPr="00846808">
        <w:rPr>
          <w:rFonts w:ascii="Times New Roman" w:hAnsi="Times New Roman"/>
          <w:sz w:val="28"/>
          <w:szCs w:val="28"/>
          <w:lang w:val="en-US"/>
        </w:rPr>
        <w:t>23</w:t>
      </w:r>
      <w:r w:rsidRPr="00FC284D">
        <w:rPr>
          <w:rFonts w:ascii="Times New Roman" w:hAnsi="Times New Roman"/>
          <w:sz w:val="28"/>
          <w:szCs w:val="28"/>
          <w:lang w:val="en-US"/>
        </w:rPr>
        <w:t>, №</w:t>
      </w:r>
      <w:r>
        <w:rPr>
          <w:rFonts w:ascii="Times New Roman" w:hAnsi="Times New Roman"/>
          <w:sz w:val="28"/>
          <w:szCs w:val="28"/>
          <w:lang w:val="en-US"/>
        </w:rPr>
        <w:t xml:space="preserve"> </w:t>
      </w:r>
      <w:r w:rsidRPr="00846808">
        <w:rPr>
          <w:rFonts w:ascii="Times New Roman" w:hAnsi="Times New Roman"/>
          <w:sz w:val="28"/>
          <w:szCs w:val="28"/>
          <w:lang w:val="en-US"/>
        </w:rPr>
        <w:t>9</w:t>
      </w:r>
      <w:r>
        <w:rPr>
          <w:rFonts w:ascii="Times New Roman" w:hAnsi="Times New Roman"/>
          <w:sz w:val="28"/>
          <w:szCs w:val="28"/>
          <w:lang w:val="en-US"/>
        </w:rPr>
        <w:t>.</w:t>
      </w:r>
      <w:r w:rsidRPr="00846808">
        <w:rPr>
          <w:rFonts w:ascii="Times New Roman" w:hAnsi="Times New Roman"/>
          <w:sz w:val="28"/>
          <w:szCs w:val="28"/>
          <w:lang w:val="en-US"/>
        </w:rPr>
        <w:t xml:space="preserve"> </w:t>
      </w:r>
      <w:r w:rsidRPr="00FC284D">
        <w:rPr>
          <w:rFonts w:ascii="Times New Roman" w:hAnsi="Times New Roman"/>
          <w:sz w:val="28"/>
          <w:szCs w:val="28"/>
          <w:lang w:val="en-US"/>
        </w:rPr>
        <w:t>– P.</w:t>
      </w:r>
      <w:r w:rsidRPr="00846808">
        <w:rPr>
          <w:rFonts w:ascii="Times New Roman" w:hAnsi="Times New Roman"/>
          <w:sz w:val="28"/>
          <w:szCs w:val="28"/>
          <w:lang w:val="en-US"/>
        </w:rPr>
        <w:t xml:space="preserve"> 2348–2360.</w:t>
      </w:r>
    </w:p>
    <w:p w14:paraId="497AAC15" w14:textId="77777777" w:rsidR="00BB318A" w:rsidRPr="00846808" w:rsidRDefault="00BB318A" w:rsidP="00BB318A">
      <w:pPr>
        <w:spacing w:after="0" w:line="240" w:lineRule="auto"/>
        <w:ind w:firstLine="567"/>
        <w:jc w:val="both"/>
        <w:rPr>
          <w:rFonts w:ascii="Times New Roman" w:hAnsi="Times New Roman"/>
          <w:sz w:val="28"/>
          <w:szCs w:val="28"/>
          <w:lang w:val="kk-KZ"/>
        </w:rPr>
      </w:pPr>
      <w:r w:rsidRPr="00846808">
        <w:rPr>
          <w:rFonts w:ascii="Times New Roman" w:hAnsi="Times New Roman"/>
          <w:sz w:val="28"/>
          <w:szCs w:val="28"/>
          <w:lang w:val="kk-KZ"/>
        </w:rPr>
        <w:t>2</w:t>
      </w:r>
      <w:r>
        <w:rPr>
          <w:rFonts w:ascii="Times New Roman" w:hAnsi="Times New Roman"/>
          <w:sz w:val="28"/>
          <w:szCs w:val="28"/>
          <w:lang w:val="en-US"/>
        </w:rPr>
        <w:t>70</w:t>
      </w:r>
      <w:r w:rsidRPr="00846808">
        <w:rPr>
          <w:rFonts w:ascii="Times New Roman" w:hAnsi="Times New Roman"/>
          <w:sz w:val="28"/>
          <w:szCs w:val="28"/>
          <w:lang w:val="kk-KZ"/>
        </w:rPr>
        <w:t xml:space="preserve"> Towe M</w:t>
      </w:r>
      <w:r>
        <w:rPr>
          <w:rFonts w:ascii="Times New Roman" w:hAnsi="Times New Roman"/>
          <w:sz w:val="28"/>
          <w:szCs w:val="28"/>
          <w:lang w:val="en-US"/>
        </w:rPr>
        <w:t>.</w:t>
      </w:r>
      <w:r w:rsidRPr="00846808">
        <w:rPr>
          <w:rFonts w:ascii="Times New Roman" w:hAnsi="Times New Roman"/>
          <w:sz w:val="28"/>
          <w:szCs w:val="28"/>
          <w:lang w:val="kk-KZ"/>
        </w:rPr>
        <w:t>, Huynh L</w:t>
      </w:r>
      <w:r>
        <w:rPr>
          <w:rFonts w:ascii="Times New Roman" w:hAnsi="Times New Roman"/>
          <w:sz w:val="28"/>
          <w:szCs w:val="28"/>
          <w:lang w:val="en-US"/>
        </w:rPr>
        <w:t>.</w:t>
      </w:r>
      <w:r w:rsidRPr="00846808">
        <w:rPr>
          <w:rFonts w:ascii="Times New Roman" w:hAnsi="Times New Roman"/>
          <w:sz w:val="28"/>
          <w:szCs w:val="28"/>
          <w:lang w:val="kk-KZ"/>
        </w:rPr>
        <w:t>M</w:t>
      </w:r>
      <w:r>
        <w:rPr>
          <w:rFonts w:ascii="Times New Roman" w:hAnsi="Times New Roman"/>
          <w:sz w:val="28"/>
          <w:szCs w:val="28"/>
          <w:lang w:val="en-US"/>
        </w:rPr>
        <w:t>.</w:t>
      </w:r>
      <w:r w:rsidRPr="00846808">
        <w:rPr>
          <w:rFonts w:ascii="Times New Roman" w:hAnsi="Times New Roman"/>
          <w:sz w:val="28"/>
          <w:szCs w:val="28"/>
          <w:lang w:val="kk-KZ"/>
        </w:rPr>
        <w:t>, El-Khatib F</w:t>
      </w:r>
      <w:r>
        <w:rPr>
          <w:rFonts w:ascii="Times New Roman" w:hAnsi="Times New Roman"/>
          <w:sz w:val="28"/>
          <w:szCs w:val="28"/>
          <w:lang w:val="en-US"/>
        </w:rPr>
        <w:t>.</w:t>
      </w:r>
      <w:r w:rsidRPr="00846808">
        <w:rPr>
          <w:rFonts w:ascii="Times New Roman" w:hAnsi="Times New Roman"/>
          <w:sz w:val="28"/>
          <w:szCs w:val="28"/>
          <w:lang w:val="kk-KZ"/>
        </w:rPr>
        <w:t xml:space="preserve">, </w:t>
      </w:r>
      <w:r>
        <w:rPr>
          <w:rFonts w:ascii="Times New Roman" w:hAnsi="Times New Roman"/>
          <w:sz w:val="28"/>
          <w:szCs w:val="28"/>
          <w:lang w:val="en-US"/>
        </w:rPr>
        <w:t>et al</w:t>
      </w:r>
      <w:r w:rsidRPr="00846808">
        <w:rPr>
          <w:rFonts w:ascii="Times New Roman" w:hAnsi="Times New Roman"/>
          <w:sz w:val="28"/>
          <w:szCs w:val="28"/>
          <w:lang w:val="kk-KZ"/>
        </w:rPr>
        <w:t>. A Review of Male and Female Sexual Function Following Colorectal Surgery</w:t>
      </w:r>
      <w:r w:rsidRPr="00FC284D">
        <w:rPr>
          <w:rFonts w:ascii="Times New Roman" w:hAnsi="Times New Roman"/>
          <w:sz w:val="28"/>
          <w:szCs w:val="28"/>
          <w:lang w:val="en-US"/>
        </w:rPr>
        <w:t xml:space="preserve"> // </w:t>
      </w:r>
      <w:r w:rsidRPr="007E369B">
        <w:rPr>
          <w:rFonts w:ascii="Times New Roman" w:hAnsi="Times New Roman"/>
          <w:sz w:val="28"/>
          <w:szCs w:val="28"/>
          <w:lang w:val="kk-KZ"/>
        </w:rPr>
        <w:t>Sexual medicine reviews</w:t>
      </w:r>
      <w:r w:rsidRPr="00FC284D">
        <w:rPr>
          <w:rFonts w:ascii="Times New Roman" w:hAnsi="Times New Roman"/>
          <w:sz w:val="28"/>
          <w:szCs w:val="28"/>
          <w:lang w:val="en-US"/>
        </w:rPr>
        <w:t xml:space="preserve">. – </w:t>
      </w:r>
      <w:r w:rsidRPr="00846808">
        <w:rPr>
          <w:rFonts w:ascii="Times New Roman" w:hAnsi="Times New Roman"/>
          <w:sz w:val="28"/>
          <w:szCs w:val="28"/>
          <w:lang w:val="kk-KZ"/>
        </w:rPr>
        <w:t>2019</w:t>
      </w:r>
      <w:r w:rsidRPr="00846808">
        <w:rPr>
          <w:rFonts w:ascii="Times New Roman" w:hAnsi="Times New Roman"/>
          <w:sz w:val="28"/>
          <w:szCs w:val="28"/>
          <w:lang w:val="en-US"/>
        </w:rPr>
        <w:t>.</w:t>
      </w:r>
      <w:r w:rsidRPr="00FC284D">
        <w:rPr>
          <w:rFonts w:ascii="Times New Roman" w:hAnsi="Times New Roman"/>
          <w:sz w:val="28"/>
          <w:szCs w:val="28"/>
          <w:lang w:val="en-US"/>
        </w:rPr>
        <w:t xml:space="preserve"> – Vol.</w:t>
      </w:r>
      <w:r>
        <w:rPr>
          <w:rFonts w:ascii="Times New Roman" w:hAnsi="Times New Roman"/>
          <w:sz w:val="28"/>
          <w:szCs w:val="28"/>
          <w:lang w:val="en-US"/>
        </w:rPr>
        <w:t xml:space="preserve"> </w:t>
      </w:r>
      <w:r w:rsidRPr="00846808">
        <w:rPr>
          <w:rFonts w:ascii="Times New Roman" w:hAnsi="Times New Roman"/>
          <w:sz w:val="28"/>
          <w:szCs w:val="28"/>
          <w:lang w:val="kk-KZ"/>
        </w:rPr>
        <w:t>7</w:t>
      </w:r>
      <w:r>
        <w:rPr>
          <w:rFonts w:ascii="Times New Roman" w:hAnsi="Times New Roman"/>
          <w:sz w:val="28"/>
          <w:szCs w:val="28"/>
          <w:lang w:val="en-US"/>
        </w:rPr>
        <w:t>.</w:t>
      </w:r>
      <w:r w:rsidRPr="00846808">
        <w:rPr>
          <w:rFonts w:ascii="Times New Roman" w:hAnsi="Times New Roman"/>
          <w:sz w:val="28"/>
          <w:szCs w:val="28"/>
          <w:lang w:val="en-US"/>
        </w:rPr>
        <w:t xml:space="preserve"> </w:t>
      </w:r>
      <w:r w:rsidRPr="00FC284D">
        <w:rPr>
          <w:rFonts w:ascii="Times New Roman" w:hAnsi="Times New Roman"/>
          <w:sz w:val="28"/>
          <w:szCs w:val="28"/>
          <w:lang w:val="en-US"/>
        </w:rPr>
        <w:t>– P.</w:t>
      </w:r>
      <w:r w:rsidRPr="00846808">
        <w:rPr>
          <w:rFonts w:ascii="Times New Roman" w:hAnsi="Times New Roman"/>
          <w:sz w:val="28"/>
          <w:szCs w:val="28"/>
          <w:lang w:val="kk-KZ"/>
        </w:rPr>
        <w:t xml:space="preserve"> 422-</w:t>
      </w:r>
      <w:r>
        <w:rPr>
          <w:rFonts w:ascii="Times New Roman" w:hAnsi="Times New Roman"/>
          <w:sz w:val="28"/>
          <w:szCs w:val="28"/>
          <w:lang w:val="en-US"/>
        </w:rPr>
        <w:t>42</w:t>
      </w:r>
      <w:r w:rsidRPr="00846808">
        <w:rPr>
          <w:rFonts w:ascii="Times New Roman" w:hAnsi="Times New Roman"/>
          <w:sz w:val="28"/>
          <w:szCs w:val="28"/>
          <w:lang w:val="kk-KZ"/>
        </w:rPr>
        <w:t>9.</w:t>
      </w:r>
    </w:p>
    <w:p w14:paraId="02286E10" w14:textId="77777777" w:rsidR="00BB318A" w:rsidRDefault="00BB318A" w:rsidP="00BB318A">
      <w:pPr>
        <w:spacing w:after="0" w:line="240" w:lineRule="auto"/>
        <w:ind w:firstLine="567"/>
        <w:jc w:val="both"/>
        <w:rPr>
          <w:rFonts w:ascii="Times New Roman" w:hAnsi="Times New Roman"/>
          <w:sz w:val="28"/>
          <w:szCs w:val="28"/>
          <w:lang w:val="kk-KZ"/>
        </w:rPr>
      </w:pPr>
      <w:r w:rsidRPr="00846808">
        <w:rPr>
          <w:rFonts w:ascii="Times New Roman" w:hAnsi="Times New Roman"/>
          <w:sz w:val="28"/>
          <w:szCs w:val="28"/>
          <w:lang w:val="kk-KZ"/>
        </w:rPr>
        <w:t>27</w:t>
      </w:r>
      <w:r>
        <w:rPr>
          <w:rFonts w:ascii="Times New Roman" w:hAnsi="Times New Roman"/>
          <w:sz w:val="28"/>
          <w:szCs w:val="28"/>
          <w:lang w:val="en-US"/>
        </w:rPr>
        <w:t>1</w:t>
      </w:r>
      <w:r w:rsidRPr="00846808">
        <w:rPr>
          <w:rFonts w:ascii="Times New Roman" w:hAnsi="Times New Roman"/>
          <w:sz w:val="28"/>
          <w:szCs w:val="28"/>
          <w:lang w:val="kk-KZ"/>
        </w:rPr>
        <w:t xml:space="preserve"> Sharpe L</w:t>
      </w:r>
      <w:r>
        <w:rPr>
          <w:rFonts w:ascii="Times New Roman" w:hAnsi="Times New Roman"/>
          <w:sz w:val="28"/>
          <w:szCs w:val="28"/>
          <w:lang w:val="en-US"/>
        </w:rPr>
        <w:t>.</w:t>
      </w:r>
      <w:r w:rsidRPr="00846808">
        <w:rPr>
          <w:rFonts w:ascii="Times New Roman" w:hAnsi="Times New Roman"/>
          <w:sz w:val="28"/>
          <w:szCs w:val="28"/>
          <w:lang w:val="kk-KZ"/>
        </w:rPr>
        <w:t>, Patel D</w:t>
      </w:r>
      <w:r>
        <w:rPr>
          <w:rFonts w:ascii="Times New Roman" w:hAnsi="Times New Roman"/>
          <w:sz w:val="28"/>
          <w:szCs w:val="28"/>
          <w:lang w:val="en-US"/>
        </w:rPr>
        <w:t>.</w:t>
      </w:r>
      <w:r w:rsidRPr="00846808">
        <w:rPr>
          <w:rFonts w:ascii="Times New Roman" w:hAnsi="Times New Roman"/>
          <w:sz w:val="28"/>
          <w:szCs w:val="28"/>
          <w:lang w:val="kk-KZ"/>
        </w:rPr>
        <w:t>, Clarke S. The relationship between body image disturbance and distress in colorectal cancer patients with and without stomas</w:t>
      </w:r>
      <w:r w:rsidRPr="00FC284D">
        <w:rPr>
          <w:rFonts w:ascii="Times New Roman" w:hAnsi="Times New Roman"/>
          <w:sz w:val="28"/>
          <w:szCs w:val="28"/>
          <w:lang w:val="en-US"/>
        </w:rPr>
        <w:t xml:space="preserve"> // </w:t>
      </w:r>
      <w:r w:rsidRPr="007E369B">
        <w:rPr>
          <w:rFonts w:ascii="Times New Roman" w:hAnsi="Times New Roman"/>
          <w:sz w:val="28"/>
          <w:szCs w:val="28"/>
          <w:lang w:val="kk-KZ"/>
        </w:rPr>
        <w:t>Journal of psychosomatic research</w:t>
      </w:r>
      <w:r w:rsidRPr="00FC284D">
        <w:rPr>
          <w:rFonts w:ascii="Times New Roman" w:hAnsi="Times New Roman"/>
          <w:sz w:val="28"/>
          <w:szCs w:val="28"/>
          <w:lang w:val="en-US"/>
        </w:rPr>
        <w:t xml:space="preserve">. – </w:t>
      </w:r>
      <w:r w:rsidRPr="00846808">
        <w:rPr>
          <w:rFonts w:ascii="Times New Roman" w:hAnsi="Times New Roman"/>
          <w:sz w:val="28"/>
          <w:szCs w:val="28"/>
          <w:lang w:val="kk-KZ"/>
        </w:rPr>
        <w:t>2011</w:t>
      </w:r>
      <w:r w:rsidRPr="00846808">
        <w:rPr>
          <w:rFonts w:ascii="Times New Roman" w:hAnsi="Times New Roman"/>
          <w:sz w:val="28"/>
          <w:szCs w:val="28"/>
          <w:lang w:val="en-US"/>
        </w:rPr>
        <w:t>.</w:t>
      </w:r>
      <w:r w:rsidRPr="00FC284D">
        <w:rPr>
          <w:rFonts w:ascii="Times New Roman" w:hAnsi="Times New Roman"/>
          <w:sz w:val="28"/>
          <w:szCs w:val="28"/>
          <w:lang w:val="en-US"/>
        </w:rPr>
        <w:t xml:space="preserve"> – Vol.</w:t>
      </w:r>
      <w:r>
        <w:rPr>
          <w:rFonts w:ascii="Times New Roman" w:hAnsi="Times New Roman"/>
          <w:sz w:val="28"/>
          <w:szCs w:val="28"/>
          <w:lang w:val="en-US"/>
        </w:rPr>
        <w:t xml:space="preserve"> </w:t>
      </w:r>
      <w:r w:rsidRPr="00846808">
        <w:rPr>
          <w:rFonts w:ascii="Times New Roman" w:hAnsi="Times New Roman"/>
          <w:sz w:val="28"/>
          <w:szCs w:val="28"/>
          <w:lang w:val="kk-KZ"/>
        </w:rPr>
        <w:t>70</w:t>
      </w:r>
      <w:r>
        <w:rPr>
          <w:rFonts w:ascii="Times New Roman" w:hAnsi="Times New Roman"/>
          <w:sz w:val="28"/>
          <w:szCs w:val="28"/>
          <w:lang w:val="en-US"/>
        </w:rPr>
        <w:t>.</w:t>
      </w:r>
      <w:r w:rsidRPr="00846808">
        <w:rPr>
          <w:rFonts w:ascii="Times New Roman" w:hAnsi="Times New Roman"/>
          <w:sz w:val="28"/>
          <w:szCs w:val="28"/>
          <w:lang w:val="en-US"/>
        </w:rPr>
        <w:t xml:space="preserve"> </w:t>
      </w:r>
      <w:r w:rsidRPr="00FC284D">
        <w:rPr>
          <w:rFonts w:ascii="Times New Roman" w:hAnsi="Times New Roman"/>
          <w:sz w:val="28"/>
          <w:szCs w:val="28"/>
          <w:lang w:val="en-US"/>
        </w:rPr>
        <w:t>– P.</w:t>
      </w:r>
      <w:r>
        <w:rPr>
          <w:rFonts w:ascii="Times New Roman" w:hAnsi="Times New Roman"/>
          <w:sz w:val="28"/>
          <w:szCs w:val="28"/>
          <w:lang w:val="en-US"/>
        </w:rPr>
        <w:t xml:space="preserve"> </w:t>
      </w:r>
      <w:r w:rsidRPr="00846808">
        <w:rPr>
          <w:rFonts w:ascii="Times New Roman" w:hAnsi="Times New Roman"/>
          <w:sz w:val="28"/>
          <w:szCs w:val="28"/>
          <w:lang w:val="kk-KZ"/>
        </w:rPr>
        <w:t>395-402.</w:t>
      </w:r>
    </w:p>
    <w:p w14:paraId="64130A6B" w14:textId="77777777" w:rsidR="00BB318A" w:rsidRDefault="00BB318A" w:rsidP="00BB318A">
      <w:pPr>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27</w:t>
      </w:r>
      <w:r>
        <w:rPr>
          <w:rFonts w:ascii="Times New Roman" w:hAnsi="Times New Roman"/>
          <w:sz w:val="28"/>
          <w:szCs w:val="28"/>
          <w:lang w:val="en-US"/>
        </w:rPr>
        <w:t>2</w:t>
      </w:r>
      <w:r>
        <w:rPr>
          <w:rFonts w:ascii="Times New Roman" w:hAnsi="Times New Roman"/>
          <w:sz w:val="28"/>
          <w:szCs w:val="28"/>
          <w:lang w:val="kk-KZ"/>
        </w:rPr>
        <w:t xml:space="preserve"> </w:t>
      </w:r>
      <w:r w:rsidRPr="00846808">
        <w:rPr>
          <w:rFonts w:ascii="Times New Roman" w:hAnsi="Times New Roman"/>
          <w:sz w:val="28"/>
          <w:szCs w:val="28"/>
          <w:lang w:val="kk-KZ"/>
        </w:rPr>
        <w:t>Den Oudsten B</w:t>
      </w:r>
      <w:r>
        <w:rPr>
          <w:rFonts w:ascii="Times New Roman" w:hAnsi="Times New Roman"/>
          <w:sz w:val="28"/>
          <w:szCs w:val="28"/>
          <w:lang w:val="en-US"/>
        </w:rPr>
        <w:t>.</w:t>
      </w:r>
      <w:r w:rsidRPr="00846808">
        <w:rPr>
          <w:rFonts w:ascii="Times New Roman" w:hAnsi="Times New Roman"/>
          <w:sz w:val="28"/>
          <w:szCs w:val="28"/>
          <w:lang w:val="kk-KZ"/>
        </w:rPr>
        <w:t>L</w:t>
      </w:r>
      <w:r>
        <w:rPr>
          <w:rFonts w:ascii="Times New Roman" w:hAnsi="Times New Roman"/>
          <w:sz w:val="28"/>
          <w:szCs w:val="28"/>
          <w:lang w:val="en-US"/>
        </w:rPr>
        <w:t>.</w:t>
      </w:r>
      <w:r w:rsidRPr="00846808">
        <w:rPr>
          <w:rFonts w:ascii="Times New Roman" w:hAnsi="Times New Roman"/>
          <w:sz w:val="28"/>
          <w:szCs w:val="28"/>
          <w:lang w:val="kk-KZ"/>
        </w:rPr>
        <w:t>, Traa M</w:t>
      </w:r>
      <w:r>
        <w:rPr>
          <w:rFonts w:ascii="Times New Roman" w:hAnsi="Times New Roman"/>
          <w:sz w:val="28"/>
          <w:szCs w:val="28"/>
          <w:lang w:val="en-US"/>
        </w:rPr>
        <w:t>.</w:t>
      </w:r>
      <w:r w:rsidRPr="00846808">
        <w:rPr>
          <w:rFonts w:ascii="Times New Roman" w:hAnsi="Times New Roman"/>
          <w:sz w:val="28"/>
          <w:szCs w:val="28"/>
          <w:lang w:val="kk-KZ"/>
        </w:rPr>
        <w:t>J</w:t>
      </w:r>
      <w:r>
        <w:rPr>
          <w:rFonts w:ascii="Times New Roman" w:hAnsi="Times New Roman"/>
          <w:sz w:val="28"/>
          <w:szCs w:val="28"/>
          <w:lang w:val="en-US"/>
        </w:rPr>
        <w:t>.</w:t>
      </w:r>
      <w:r w:rsidRPr="00846808">
        <w:rPr>
          <w:rFonts w:ascii="Times New Roman" w:hAnsi="Times New Roman"/>
          <w:sz w:val="28"/>
          <w:szCs w:val="28"/>
          <w:lang w:val="kk-KZ"/>
        </w:rPr>
        <w:t>, Thong M</w:t>
      </w:r>
      <w:r>
        <w:rPr>
          <w:rFonts w:ascii="Times New Roman" w:hAnsi="Times New Roman"/>
          <w:sz w:val="28"/>
          <w:szCs w:val="28"/>
          <w:lang w:val="en-US"/>
        </w:rPr>
        <w:t>.</w:t>
      </w:r>
      <w:r w:rsidRPr="00846808">
        <w:rPr>
          <w:rFonts w:ascii="Times New Roman" w:hAnsi="Times New Roman"/>
          <w:sz w:val="28"/>
          <w:szCs w:val="28"/>
          <w:lang w:val="kk-KZ"/>
        </w:rPr>
        <w:t>S</w:t>
      </w:r>
      <w:r>
        <w:rPr>
          <w:rFonts w:ascii="Times New Roman" w:hAnsi="Times New Roman"/>
          <w:sz w:val="28"/>
          <w:szCs w:val="28"/>
          <w:lang w:val="en-US"/>
        </w:rPr>
        <w:t>.</w:t>
      </w:r>
      <w:r w:rsidRPr="00846808">
        <w:rPr>
          <w:rFonts w:ascii="Times New Roman" w:hAnsi="Times New Roman"/>
          <w:sz w:val="28"/>
          <w:szCs w:val="28"/>
          <w:lang w:val="kk-KZ"/>
        </w:rPr>
        <w:t xml:space="preserve">, </w:t>
      </w:r>
      <w:r>
        <w:rPr>
          <w:rFonts w:ascii="Times New Roman" w:hAnsi="Times New Roman"/>
          <w:sz w:val="28"/>
          <w:szCs w:val="28"/>
          <w:lang w:val="en-US"/>
        </w:rPr>
        <w:t>et al</w:t>
      </w:r>
      <w:r w:rsidRPr="00846808">
        <w:rPr>
          <w:rFonts w:ascii="Times New Roman" w:hAnsi="Times New Roman"/>
          <w:sz w:val="28"/>
          <w:szCs w:val="28"/>
          <w:lang w:val="kk-KZ"/>
        </w:rPr>
        <w:t>. Higher prevalence of sexual dysfunction in colon and rectal cancer survivors compared with the normative population: a population-based study</w:t>
      </w:r>
      <w:r w:rsidRPr="00FC284D">
        <w:rPr>
          <w:rFonts w:ascii="Times New Roman" w:hAnsi="Times New Roman"/>
          <w:sz w:val="28"/>
          <w:szCs w:val="28"/>
          <w:lang w:val="en-US"/>
        </w:rPr>
        <w:t xml:space="preserve"> // </w:t>
      </w:r>
      <w:r w:rsidRPr="007E369B">
        <w:rPr>
          <w:rFonts w:ascii="Times New Roman" w:hAnsi="Times New Roman"/>
          <w:sz w:val="28"/>
          <w:szCs w:val="28"/>
          <w:lang w:val="kk-KZ"/>
        </w:rPr>
        <w:t>European journal of cancer (Oxford, England : 1990)</w:t>
      </w:r>
      <w:r w:rsidRPr="00FC284D">
        <w:rPr>
          <w:rFonts w:ascii="Times New Roman" w:hAnsi="Times New Roman"/>
          <w:sz w:val="28"/>
          <w:szCs w:val="28"/>
          <w:lang w:val="en-US"/>
        </w:rPr>
        <w:t xml:space="preserve">. – </w:t>
      </w:r>
      <w:r w:rsidRPr="00846808">
        <w:rPr>
          <w:rFonts w:ascii="Times New Roman" w:hAnsi="Times New Roman"/>
          <w:sz w:val="28"/>
          <w:szCs w:val="28"/>
          <w:lang w:val="kk-KZ"/>
        </w:rPr>
        <w:t>2012</w:t>
      </w:r>
      <w:r w:rsidRPr="00846808">
        <w:rPr>
          <w:rFonts w:ascii="Times New Roman" w:hAnsi="Times New Roman"/>
          <w:sz w:val="28"/>
          <w:szCs w:val="28"/>
          <w:lang w:val="en-US"/>
        </w:rPr>
        <w:t>.</w:t>
      </w:r>
      <w:r w:rsidRPr="00FC284D">
        <w:rPr>
          <w:rFonts w:ascii="Times New Roman" w:hAnsi="Times New Roman"/>
          <w:sz w:val="28"/>
          <w:szCs w:val="28"/>
          <w:lang w:val="en-US"/>
        </w:rPr>
        <w:t xml:space="preserve"> – Vol.</w:t>
      </w:r>
      <w:r>
        <w:rPr>
          <w:rFonts w:ascii="Times New Roman" w:hAnsi="Times New Roman"/>
          <w:sz w:val="28"/>
          <w:szCs w:val="28"/>
          <w:lang w:val="en-US"/>
        </w:rPr>
        <w:t xml:space="preserve"> </w:t>
      </w:r>
      <w:r w:rsidRPr="00846808">
        <w:rPr>
          <w:rFonts w:ascii="Times New Roman" w:hAnsi="Times New Roman"/>
          <w:sz w:val="28"/>
          <w:szCs w:val="28"/>
          <w:lang w:val="kk-KZ"/>
        </w:rPr>
        <w:t>48</w:t>
      </w:r>
      <w:r>
        <w:rPr>
          <w:rFonts w:ascii="Times New Roman" w:hAnsi="Times New Roman"/>
          <w:sz w:val="28"/>
          <w:szCs w:val="28"/>
          <w:lang w:val="en-US"/>
        </w:rPr>
        <w:t>.</w:t>
      </w:r>
      <w:r w:rsidRPr="00846808">
        <w:rPr>
          <w:rFonts w:ascii="Times New Roman" w:hAnsi="Times New Roman"/>
          <w:sz w:val="28"/>
          <w:szCs w:val="28"/>
          <w:lang w:val="en-US"/>
        </w:rPr>
        <w:t xml:space="preserve"> </w:t>
      </w:r>
      <w:r w:rsidRPr="00FC284D">
        <w:rPr>
          <w:rFonts w:ascii="Times New Roman" w:hAnsi="Times New Roman"/>
          <w:sz w:val="28"/>
          <w:szCs w:val="28"/>
          <w:lang w:val="en-US"/>
        </w:rPr>
        <w:t>– P.</w:t>
      </w:r>
      <w:r>
        <w:rPr>
          <w:rFonts w:ascii="Times New Roman" w:hAnsi="Times New Roman"/>
          <w:sz w:val="28"/>
          <w:szCs w:val="28"/>
          <w:lang w:val="en-US"/>
        </w:rPr>
        <w:t xml:space="preserve"> </w:t>
      </w:r>
      <w:r w:rsidRPr="00846808">
        <w:rPr>
          <w:rFonts w:ascii="Times New Roman" w:hAnsi="Times New Roman"/>
          <w:sz w:val="28"/>
          <w:szCs w:val="28"/>
          <w:lang w:val="kk-KZ"/>
        </w:rPr>
        <w:t>3161-</w:t>
      </w:r>
      <w:r>
        <w:rPr>
          <w:rFonts w:ascii="Times New Roman" w:hAnsi="Times New Roman"/>
          <w:sz w:val="28"/>
          <w:szCs w:val="28"/>
          <w:lang w:val="en-US"/>
        </w:rPr>
        <w:t>31</w:t>
      </w:r>
      <w:r w:rsidRPr="00846808">
        <w:rPr>
          <w:rFonts w:ascii="Times New Roman" w:hAnsi="Times New Roman"/>
          <w:sz w:val="28"/>
          <w:szCs w:val="28"/>
          <w:lang w:val="kk-KZ"/>
        </w:rPr>
        <w:t>70</w:t>
      </w:r>
      <w:r>
        <w:rPr>
          <w:rFonts w:ascii="Times New Roman" w:hAnsi="Times New Roman"/>
          <w:sz w:val="28"/>
          <w:szCs w:val="28"/>
          <w:lang w:val="en-US"/>
        </w:rPr>
        <w:t>.</w:t>
      </w:r>
    </w:p>
    <w:p w14:paraId="498383F7" w14:textId="77777777" w:rsidR="00BB318A" w:rsidRDefault="00BB318A" w:rsidP="00BB318A">
      <w:pPr>
        <w:spacing w:after="0" w:line="240" w:lineRule="auto"/>
        <w:ind w:firstLine="567"/>
        <w:jc w:val="both"/>
        <w:rPr>
          <w:rFonts w:ascii="Times New Roman" w:hAnsi="Times New Roman"/>
          <w:sz w:val="28"/>
          <w:szCs w:val="28"/>
          <w:lang w:val="en-US"/>
        </w:rPr>
      </w:pPr>
      <w:r w:rsidRPr="00B921B0">
        <w:rPr>
          <w:rFonts w:ascii="Times New Roman" w:hAnsi="Times New Roman"/>
          <w:sz w:val="28"/>
          <w:szCs w:val="28"/>
          <w:lang w:val="en-US"/>
        </w:rPr>
        <w:t xml:space="preserve">273 </w:t>
      </w:r>
      <w:r w:rsidRPr="00E710EE">
        <w:rPr>
          <w:rFonts w:ascii="Times New Roman" w:hAnsi="Times New Roman"/>
          <w:sz w:val="28"/>
          <w:szCs w:val="28"/>
          <w:lang w:val="en-US"/>
        </w:rPr>
        <w:t>Glanz S. Biomedical statistics. - Moscow: Practice, 1998. -</w:t>
      </w:r>
      <w:r w:rsidRPr="00B921B0">
        <w:rPr>
          <w:rFonts w:ascii="Times New Roman" w:hAnsi="Times New Roman"/>
          <w:sz w:val="28"/>
          <w:szCs w:val="28"/>
          <w:lang w:val="en-US"/>
        </w:rPr>
        <w:t xml:space="preserve"> 459</w:t>
      </w:r>
      <w:r>
        <w:rPr>
          <w:rFonts w:ascii="Times New Roman" w:hAnsi="Times New Roman"/>
          <w:sz w:val="28"/>
          <w:szCs w:val="28"/>
          <w:lang w:val="en-US"/>
        </w:rPr>
        <w:t xml:space="preserve"> p</w:t>
      </w:r>
      <w:r w:rsidRPr="00B921B0">
        <w:rPr>
          <w:rFonts w:ascii="Times New Roman" w:hAnsi="Times New Roman"/>
          <w:sz w:val="28"/>
          <w:szCs w:val="28"/>
          <w:lang w:val="en-US"/>
        </w:rPr>
        <w:t>.</w:t>
      </w:r>
    </w:p>
    <w:p w14:paraId="556A6416" w14:textId="77777777" w:rsidR="00BB318A" w:rsidRPr="00E710EE" w:rsidRDefault="00BB318A" w:rsidP="00BB318A">
      <w:pPr>
        <w:spacing w:after="0" w:line="240" w:lineRule="auto"/>
        <w:ind w:firstLine="567"/>
        <w:jc w:val="both"/>
        <w:rPr>
          <w:rFonts w:ascii="Times New Roman" w:hAnsi="Times New Roman"/>
          <w:sz w:val="28"/>
          <w:szCs w:val="28"/>
          <w:lang w:val="en-US"/>
        </w:rPr>
      </w:pPr>
      <w:r w:rsidRPr="00B921B0">
        <w:rPr>
          <w:rFonts w:ascii="Times New Roman" w:hAnsi="Times New Roman"/>
          <w:sz w:val="28"/>
          <w:szCs w:val="28"/>
          <w:lang w:val="en-US"/>
        </w:rPr>
        <w:t xml:space="preserve">274 </w:t>
      </w:r>
      <w:r w:rsidRPr="00E710EE">
        <w:rPr>
          <w:rFonts w:ascii="Times New Roman" w:hAnsi="Times New Roman"/>
          <w:sz w:val="28"/>
          <w:szCs w:val="28"/>
          <w:lang w:val="en-US"/>
        </w:rPr>
        <w:t>dos Santos Silva I</w:t>
      </w:r>
      <w:r>
        <w:rPr>
          <w:rFonts w:ascii="Times New Roman" w:hAnsi="Times New Roman"/>
          <w:sz w:val="28"/>
          <w:szCs w:val="28"/>
          <w:lang w:val="en-US"/>
        </w:rPr>
        <w:t>.</w:t>
      </w:r>
      <w:r w:rsidRPr="00E710EE">
        <w:rPr>
          <w:rFonts w:ascii="Times New Roman" w:hAnsi="Times New Roman"/>
          <w:sz w:val="28"/>
          <w:szCs w:val="28"/>
          <w:lang w:val="en-US"/>
        </w:rPr>
        <w:t xml:space="preserve"> Cancer epidemiology: principles and methods. - Lion, France: IARC, 1999. - 441 p.</w:t>
      </w:r>
    </w:p>
    <w:p w14:paraId="6D8E7329" w14:textId="77777777" w:rsidR="00BB318A" w:rsidRPr="00E710EE" w:rsidRDefault="00BB318A" w:rsidP="00BB318A">
      <w:pPr>
        <w:spacing w:after="0" w:line="240" w:lineRule="auto"/>
        <w:ind w:firstLine="567"/>
        <w:jc w:val="both"/>
        <w:rPr>
          <w:rFonts w:ascii="Times New Roman" w:hAnsi="Times New Roman"/>
          <w:sz w:val="28"/>
          <w:szCs w:val="28"/>
          <w:lang w:val="en-US"/>
        </w:rPr>
      </w:pPr>
      <w:r w:rsidRPr="00B921B0">
        <w:rPr>
          <w:rFonts w:ascii="Times New Roman" w:hAnsi="Times New Roman"/>
          <w:sz w:val="28"/>
          <w:szCs w:val="28"/>
          <w:lang w:val="en-US"/>
        </w:rPr>
        <w:t xml:space="preserve">275 </w:t>
      </w:r>
      <w:r w:rsidRPr="00E710EE">
        <w:rPr>
          <w:rFonts w:ascii="Times New Roman" w:hAnsi="Times New Roman"/>
          <w:sz w:val="28"/>
          <w:szCs w:val="28"/>
          <w:lang w:val="en-US"/>
        </w:rPr>
        <w:t>Merkov A.M., Polyakov L.Y. Health Statistics. - Leningrad: Medicine, 1974. - 384 p.</w:t>
      </w:r>
    </w:p>
    <w:p w14:paraId="0CE4DD90" w14:textId="77777777" w:rsidR="00BB318A" w:rsidRPr="00B921B0" w:rsidRDefault="00BB318A" w:rsidP="00BB318A">
      <w:pPr>
        <w:spacing w:after="0" w:line="240" w:lineRule="auto"/>
        <w:ind w:firstLine="567"/>
        <w:jc w:val="both"/>
        <w:rPr>
          <w:rFonts w:ascii="Times New Roman" w:hAnsi="Times New Roman"/>
          <w:sz w:val="28"/>
          <w:szCs w:val="28"/>
          <w:lang w:val="en-US"/>
        </w:rPr>
      </w:pPr>
      <w:r w:rsidRPr="00B921B0">
        <w:rPr>
          <w:rFonts w:ascii="Times New Roman" w:hAnsi="Times New Roman"/>
          <w:sz w:val="28"/>
          <w:szCs w:val="28"/>
          <w:lang w:val="en-US"/>
        </w:rPr>
        <w:t xml:space="preserve">276 </w:t>
      </w:r>
      <w:r w:rsidRPr="00127136">
        <w:rPr>
          <w:rFonts w:ascii="Times New Roman" w:hAnsi="Times New Roman"/>
          <w:sz w:val="28"/>
          <w:szCs w:val="28"/>
          <w:lang w:val="en-US"/>
        </w:rPr>
        <w:t>Online Statistical Calculator // URL: https://medstatistic.ru/calculators/averagestudent.html (дата обращения: 15.09.2021).</w:t>
      </w:r>
    </w:p>
    <w:p w14:paraId="759FB469" w14:textId="26B0A892" w:rsidR="00AF377A" w:rsidRPr="008260C5" w:rsidRDefault="00BB318A" w:rsidP="00BB318A">
      <w:pPr>
        <w:spacing w:after="0" w:line="240" w:lineRule="auto"/>
        <w:ind w:firstLine="567"/>
        <w:jc w:val="both"/>
        <w:rPr>
          <w:rFonts w:ascii="Times New Roman" w:hAnsi="Times New Roman"/>
          <w:sz w:val="28"/>
          <w:szCs w:val="28"/>
          <w:lang w:val="en-US"/>
        </w:rPr>
      </w:pPr>
      <w:r w:rsidRPr="0060528F">
        <w:rPr>
          <w:rFonts w:ascii="Times New Roman" w:hAnsi="Times New Roman"/>
          <w:sz w:val="28"/>
          <w:szCs w:val="28"/>
        </w:rPr>
        <w:fldChar w:fldCharType="end"/>
      </w:r>
    </w:p>
    <w:p w14:paraId="317B53A2" w14:textId="77777777" w:rsidR="003F1ADB" w:rsidRPr="003E5EFA" w:rsidRDefault="003F1ADB" w:rsidP="003F1ADB">
      <w:pPr>
        <w:pStyle w:val="a7"/>
        <w:ind w:left="0" w:firstLine="0"/>
        <w:jc w:val="center"/>
        <w:rPr>
          <w:rFonts w:ascii="Times New Roman" w:hAnsi="Times New Roman"/>
          <w:b/>
          <w:sz w:val="28"/>
          <w:szCs w:val="28"/>
        </w:rPr>
      </w:pPr>
      <w:r w:rsidRPr="00CD3812">
        <w:rPr>
          <w:rFonts w:ascii="Times New Roman" w:hAnsi="Times New Roman"/>
          <w:sz w:val="28"/>
          <w:szCs w:val="28"/>
        </w:rPr>
        <w:lastRenderedPageBreak/>
        <w:fldChar w:fldCharType="begin"/>
      </w:r>
      <w:r w:rsidRPr="00CD3812">
        <w:rPr>
          <w:rFonts w:ascii="Times New Roman" w:hAnsi="Times New Roman"/>
          <w:sz w:val="28"/>
          <w:szCs w:val="28"/>
        </w:rPr>
        <w:instrText xml:space="preserve"> </w:instrText>
      </w:r>
      <w:r w:rsidRPr="00CD3812">
        <w:rPr>
          <w:rFonts w:ascii="Times New Roman" w:hAnsi="Times New Roman"/>
          <w:sz w:val="28"/>
          <w:szCs w:val="28"/>
          <w:lang w:val="en-US"/>
        </w:rPr>
        <w:instrText>ADDIN</w:instrText>
      </w:r>
      <w:r w:rsidRPr="00CD3812">
        <w:rPr>
          <w:rFonts w:ascii="Times New Roman" w:hAnsi="Times New Roman"/>
          <w:sz w:val="28"/>
          <w:szCs w:val="28"/>
        </w:rPr>
        <w:instrText xml:space="preserve"> </w:instrText>
      </w:r>
      <w:r w:rsidRPr="00CD3812">
        <w:rPr>
          <w:rFonts w:ascii="Times New Roman" w:hAnsi="Times New Roman"/>
          <w:sz w:val="28"/>
          <w:szCs w:val="28"/>
          <w:lang w:val="en-US"/>
        </w:rPr>
        <w:instrText>ZOTERO</w:instrText>
      </w:r>
      <w:r w:rsidRPr="00CD3812">
        <w:rPr>
          <w:rFonts w:ascii="Times New Roman" w:hAnsi="Times New Roman"/>
          <w:sz w:val="28"/>
          <w:szCs w:val="28"/>
        </w:rPr>
        <w:instrText>_</w:instrText>
      </w:r>
      <w:r w:rsidRPr="00CD3812">
        <w:rPr>
          <w:rFonts w:ascii="Times New Roman" w:hAnsi="Times New Roman"/>
          <w:sz w:val="28"/>
          <w:szCs w:val="28"/>
          <w:lang w:val="en-US"/>
        </w:rPr>
        <w:instrText>BIBL</w:instrText>
      </w:r>
      <w:r w:rsidRPr="00CD3812">
        <w:rPr>
          <w:rFonts w:ascii="Times New Roman" w:hAnsi="Times New Roman"/>
          <w:sz w:val="28"/>
          <w:szCs w:val="28"/>
        </w:rPr>
        <w:instrText xml:space="preserve"> {"</w:instrText>
      </w:r>
      <w:r w:rsidRPr="00CD3812">
        <w:rPr>
          <w:rFonts w:ascii="Times New Roman" w:hAnsi="Times New Roman"/>
          <w:sz w:val="28"/>
          <w:szCs w:val="28"/>
          <w:lang w:val="en-US"/>
        </w:rPr>
        <w:instrText>uncited</w:instrText>
      </w:r>
      <w:r w:rsidRPr="00CD3812">
        <w:rPr>
          <w:rFonts w:ascii="Times New Roman" w:hAnsi="Times New Roman"/>
          <w:sz w:val="28"/>
          <w:szCs w:val="28"/>
        </w:rPr>
        <w:instrText>":[],"</w:instrText>
      </w:r>
      <w:r w:rsidRPr="00CD3812">
        <w:rPr>
          <w:rFonts w:ascii="Times New Roman" w:hAnsi="Times New Roman"/>
          <w:sz w:val="28"/>
          <w:szCs w:val="28"/>
          <w:lang w:val="en-US"/>
        </w:rPr>
        <w:instrText>omitted</w:instrText>
      </w:r>
      <w:r w:rsidRPr="00CD3812">
        <w:rPr>
          <w:rFonts w:ascii="Times New Roman" w:hAnsi="Times New Roman"/>
          <w:sz w:val="28"/>
          <w:szCs w:val="28"/>
        </w:rPr>
        <w:instrText>":[],"</w:instrText>
      </w:r>
      <w:r w:rsidRPr="00CD3812">
        <w:rPr>
          <w:rFonts w:ascii="Times New Roman" w:hAnsi="Times New Roman"/>
          <w:sz w:val="28"/>
          <w:szCs w:val="28"/>
          <w:lang w:val="en-US"/>
        </w:rPr>
        <w:instrText>custom</w:instrText>
      </w:r>
      <w:r w:rsidRPr="00CD3812">
        <w:rPr>
          <w:rFonts w:ascii="Times New Roman" w:hAnsi="Times New Roman"/>
          <w:sz w:val="28"/>
          <w:szCs w:val="28"/>
        </w:rPr>
        <w:instrText xml:space="preserve">":[]} </w:instrText>
      </w:r>
      <w:r w:rsidRPr="00CD3812">
        <w:rPr>
          <w:rFonts w:ascii="Times New Roman" w:hAnsi="Times New Roman"/>
          <w:sz w:val="28"/>
          <w:szCs w:val="28"/>
          <w:lang w:val="en-US"/>
        </w:rPr>
        <w:instrText>CSL</w:instrText>
      </w:r>
      <w:r w:rsidRPr="00CD3812">
        <w:rPr>
          <w:rFonts w:ascii="Times New Roman" w:hAnsi="Times New Roman"/>
          <w:sz w:val="28"/>
          <w:szCs w:val="28"/>
        </w:rPr>
        <w:instrText>_</w:instrText>
      </w:r>
      <w:r w:rsidRPr="00CD3812">
        <w:rPr>
          <w:rFonts w:ascii="Times New Roman" w:hAnsi="Times New Roman"/>
          <w:sz w:val="28"/>
          <w:szCs w:val="28"/>
          <w:lang w:val="en-US"/>
        </w:rPr>
        <w:instrText>BIBLIOGRAPHY</w:instrText>
      </w:r>
      <w:r w:rsidRPr="00CD3812">
        <w:rPr>
          <w:rFonts w:ascii="Times New Roman" w:hAnsi="Times New Roman"/>
          <w:sz w:val="28"/>
          <w:szCs w:val="28"/>
        </w:rPr>
        <w:instrText xml:space="preserve"> </w:instrText>
      </w:r>
      <w:r w:rsidRPr="00CD3812">
        <w:rPr>
          <w:rFonts w:ascii="Times New Roman" w:hAnsi="Times New Roman"/>
          <w:sz w:val="28"/>
          <w:szCs w:val="28"/>
        </w:rPr>
        <w:fldChar w:fldCharType="end"/>
      </w:r>
      <w:r w:rsidRPr="00145B66">
        <w:rPr>
          <w:rFonts w:ascii="Times New Roman" w:hAnsi="Times New Roman"/>
          <w:b/>
          <w:sz w:val="28"/>
          <w:szCs w:val="28"/>
        </w:rPr>
        <w:t>ПРИЛОЖЕНИЕ</w:t>
      </w:r>
      <w:r w:rsidRPr="003E5EFA">
        <w:rPr>
          <w:rFonts w:ascii="Times New Roman" w:hAnsi="Times New Roman"/>
          <w:b/>
          <w:sz w:val="28"/>
          <w:szCs w:val="28"/>
        </w:rPr>
        <w:t xml:space="preserve"> </w:t>
      </w:r>
      <w:r w:rsidRPr="00145B66">
        <w:rPr>
          <w:rFonts w:ascii="Times New Roman" w:hAnsi="Times New Roman"/>
          <w:b/>
          <w:sz w:val="28"/>
          <w:szCs w:val="28"/>
        </w:rPr>
        <w:t>А</w:t>
      </w:r>
    </w:p>
    <w:p w14:paraId="63444045" w14:textId="77777777" w:rsidR="003F1ADB" w:rsidRPr="003E5EFA"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8"/>
          <w:szCs w:val="28"/>
        </w:rPr>
      </w:pPr>
    </w:p>
    <w:p w14:paraId="4C628FC7" w14:textId="77777777" w:rsidR="003F1ADB" w:rsidRPr="003E5EFA"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145B66">
        <w:rPr>
          <w:rFonts w:ascii="Times New Roman" w:hAnsi="Times New Roman"/>
          <w:sz w:val="28"/>
          <w:szCs w:val="28"/>
        </w:rPr>
        <w:t>Свидетельство</w:t>
      </w:r>
      <w:r w:rsidRPr="003E5EFA">
        <w:rPr>
          <w:rFonts w:ascii="Times New Roman" w:hAnsi="Times New Roman"/>
          <w:sz w:val="28"/>
          <w:szCs w:val="28"/>
        </w:rPr>
        <w:t xml:space="preserve"> </w:t>
      </w:r>
      <w:r w:rsidRPr="00145B66">
        <w:rPr>
          <w:rFonts w:ascii="Times New Roman" w:hAnsi="Times New Roman"/>
          <w:sz w:val="28"/>
          <w:szCs w:val="28"/>
        </w:rPr>
        <w:t>авторского</w:t>
      </w:r>
      <w:r w:rsidRPr="003E5EFA">
        <w:rPr>
          <w:rFonts w:ascii="Times New Roman" w:hAnsi="Times New Roman"/>
          <w:sz w:val="28"/>
          <w:szCs w:val="28"/>
        </w:rPr>
        <w:t xml:space="preserve"> </w:t>
      </w:r>
      <w:r w:rsidRPr="00145B66">
        <w:rPr>
          <w:rFonts w:ascii="Times New Roman" w:hAnsi="Times New Roman"/>
          <w:sz w:val="28"/>
          <w:szCs w:val="28"/>
        </w:rPr>
        <w:t>права</w:t>
      </w:r>
    </w:p>
    <w:p w14:paraId="7C3290AB" w14:textId="77777777" w:rsidR="003F1ADB" w:rsidRPr="003E5EFA"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p>
    <w:p w14:paraId="3AE4E5FC" w14:textId="77777777" w:rsidR="003F1ADB" w:rsidRPr="00145B66"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145B66">
        <w:rPr>
          <w:rFonts w:ascii="Times New Roman" w:hAnsi="Times New Roman"/>
          <w:sz w:val="28"/>
          <w:szCs w:val="28"/>
        </w:rPr>
        <w:object w:dxaOrig="8926" w:dyaOrig="12631" w14:anchorId="12ED379E">
          <v:shape id="_x0000_i1034" type="#_x0000_t75" style="width:447.9pt;height:633.2pt" o:ole="">
            <v:imagedata r:id="rId74" o:title=""/>
          </v:shape>
          <o:OLEObject Type="Embed" ProgID="AcroExch.Document.7" ShapeID="_x0000_i1034" DrawAspect="Content" ObjectID="_1715063353" r:id="rId75"/>
        </w:object>
      </w:r>
    </w:p>
    <w:p w14:paraId="7A57C3BE"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8"/>
          <w:szCs w:val="28"/>
        </w:rPr>
      </w:pPr>
    </w:p>
    <w:p w14:paraId="13FD5001"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8"/>
          <w:szCs w:val="28"/>
        </w:rPr>
      </w:pPr>
      <w:r w:rsidRPr="00145B66">
        <w:rPr>
          <w:rFonts w:ascii="Times New Roman" w:hAnsi="Times New Roman"/>
          <w:b/>
          <w:sz w:val="28"/>
          <w:szCs w:val="28"/>
        </w:rPr>
        <w:lastRenderedPageBreak/>
        <w:t xml:space="preserve">ПРИЛОЖЕНИЕ </w:t>
      </w:r>
      <w:r>
        <w:rPr>
          <w:rFonts w:ascii="Times New Roman" w:hAnsi="Times New Roman"/>
          <w:b/>
          <w:sz w:val="28"/>
          <w:szCs w:val="28"/>
        </w:rPr>
        <w:t>Б</w:t>
      </w:r>
    </w:p>
    <w:p w14:paraId="77F2F321"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p>
    <w:p w14:paraId="3E661EBE"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145B66">
        <w:rPr>
          <w:rFonts w:ascii="Times New Roman" w:hAnsi="Times New Roman"/>
          <w:sz w:val="28"/>
          <w:szCs w:val="28"/>
        </w:rPr>
        <w:t>Акты внедрения</w:t>
      </w:r>
    </w:p>
    <w:p w14:paraId="6EB62C46" w14:textId="77777777" w:rsidR="003F1ADB" w:rsidRPr="00145B66"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p>
    <w:p w14:paraId="5DCD5DAF" w14:textId="77777777" w:rsidR="003F1ADB" w:rsidRPr="00145B66"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145B66">
        <w:rPr>
          <w:rFonts w:ascii="Times New Roman" w:hAnsi="Times New Roman"/>
          <w:noProof/>
          <w:sz w:val="28"/>
          <w:szCs w:val="28"/>
        </w:rPr>
        <w:drawing>
          <wp:inline distT="0" distB="0" distL="0" distR="0" wp14:anchorId="20594C02" wp14:editId="1CC5A33F">
            <wp:extent cx="5951220" cy="8138160"/>
            <wp:effectExtent l="0" t="0" r="0" b="0"/>
            <wp:docPr id="52" name="Рисунок 52" descr="C:\Users\user\Documents\доки\2020-2021\рейтинг наука\Бекишева А.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user\Documents\доки\2020-2021\рейтинг наука\Бекишева А.Т.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51220" cy="8138160"/>
                    </a:xfrm>
                    <a:prstGeom prst="rect">
                      <a:avLst/>
                    </a:prstGeom>
                    <a:noFill/>
                    <a:ln>
                      <a:noFill/>
                    </a:ln>
                  </pic:spPr>
                </pic:pic>
              </a:graphicData>
            </a:graphic>
          </wp:inline>
        </w:drawing>
      </w:r>
    </w:p>
    <w:p w14:paraId="2A8FDDEA" w14:textId="77777777" w:rsidR="003F1ADB" w:rsidRPr="00145B66"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145B66">
        <w:rPr>
          <w:rFonts w:ascii="Times New Roman" w:hAnsi="Times New Roman"/>
          <w:noProof/>
          <w:sz w:val="28"/>
          <w:szCs w:val="28"/>
        </w:rPr>
        <w:lastRenderedPageBreak/>
        <w:drawing>
          <wp:inline distT="0" distB="0" distL="0" distR="0" wp14:anchorId="65147C67" wp14:editId="5DF5776C">
            <wp:extent cx="6118860" cy="8648700"/>
            <wp:effectExtent l="0" t="0" r="0" b="0"/>
            <wp:docPr id="53" name="Рисунок 53" descr="C:\Users\user\Documents\доки\2020-2021\рейтинг наука\Бекишева А.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user\Documents\доки\2020-2021\рейтинг наука\Бекишева А.Т.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p>
    <w:p w14:paraId="6C411D97" w14:textId="77777777" w:rsidR="003F1ADB" w:rsidRPr="00145B66"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p>
    <w:p w14:paraId="191923EB" w14:textId="77777777" w:rsidR="003F1ADB" w:rsidRPr="00145B66"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p>
    <w:p w14:paraId="74839DCC"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noProof/>
          <w:sz w:val="28"/>
          <w:szCs w:val="28"/>
        </w:rPr>
      </w:pPr>
      <w:r w:rsidRPr="00145B66">
        <w:rPr>
          <w:rFonts w:ascii="Times New Roman" w:hAnsi="Times New Roman"/>
          <w:noProof/>
          <w:sz w:val="28"/>
          <w:szCs w:val="28"/>
        </w:rPr>
        <w:lastRenderedPageBreak/>
        <w:drawing>
          <wp:inline distT="0" distB="0" distL="0" distR="0" wp14:anchorId="2CF35BAD" wp14:editId="0F10D5D7">
            <wp:extent cx="6118860" cy="8648700"/>
            <wp:effectExtent l="0" t="0" r="0" b="0"/>
            <wp:docPr id="54" name="Рисунок 54" descr="C:\Users\user\Documents\доки\2020-2021\рейтинг наука\Бекишева а.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Users\user\Documents\доки\2020-2021\рейтинг наука\Бекишева а.Т.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p>
    <w:p w14:paraId="78499A7C" w14:textId="77777777" w:rsidR="003F1ADB" w:rsidRDefault="003F1ADB" w:rsidP="003F1ADB">
      <w:pPr>
        <w:tabs>
          <w:tab w:val="left" w:pos="916"/>
          <w:tab w:val="left" w:pos="1832"/>
          <w:tab w:val="left" w:pos="2748"/>
          <w:tab w:val="left" w:pos="344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noProof/>
          <w:sz w:val="28"/>
          <w:szCs w:val="28"/>
        </w:rPr>
      </w:pPr>
      <w:r>
        <w:rPr>
          <w:rFonts w:ascii="Times New Roman" w:hAnsi="Times New Roman"/>
          <w:noProof/>
          <w:sz w:val="28"/>
          <w:szCs w:val="28"/>
        </w:rPr>
        <w:tab/>
      </w:r>
      <w:r>
        <w:rPr>
          <w:rFonts w:ascii="Times New Roman" w:hAnsi="Times New Roman"/>
          <w:noProof/>
          <w:sz w:val="28"/>
          <w:szCs w:val="28"/>
        </w:rPr>
        <w:tab/>
      </w:r>
      <w:r>
        <w:rPr>
          <w:rFonts w:ascii="Times New Roman" w:hAnsi="Times New Roman"/>
          <w:noProof/>
          <w:sz w:val="28"/>
          <w:szCs w:val="28"/>
        </w:rPr>
        <w:tab/>
      </w:r>
      <w:r>
        <w:rPr>
          <w:rFonts w:ascii="Times New Roman" w:hAnsi="Times New Roman"/>
          <w:noProof/>
          <w:sz w:val="28"/>
          <w:szCs w:val="28"/>
        </w:rPr>
        <w:tab/>
      </w:r>
    </w:p>
    <w:p w14:paraId="3AB87F28" w14:textId="77777777" w:rsidR="003F1ADB" w:rsidRDefault="003F1ADB" w:rsidP="003F1ADB">
      <w:pPr>
        <w:tabs>
          <w:tab w:val="left" w:pos="916"/>
          <w:tab w:val="left" w:pos="1832"/>
          <w:tab w:val="left" w:pos="2748"/>
          <w:tab w:val="left" w:pos="344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noProof/>
          <w:sz w:val="28"/>
          <w:szCs w:val="28"/>
        </w:rPr>
      </w:pPr>
    </w:p>
    <w:p w14:paraId="52F301F7" w14:textId="77777777" w:rsidR="003F1ADB" w:rsidRDefault="003F1ADB" w:rsidP="003F1ADB">
      <w:pPr>
        <w:tabs>
          <w:tab w:val="left" w:pos="916"/>
          <w:tab w:val="left" w:pos="1832"/>
          <w:tab w:val="left" w:pos="2748"/>
          <w:tab w:val="left" w:pos="344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noProof/>
          <w:sz w:val="28"/>
          <w:szCs w:val="28"/>
        </w:rPr>
      </w:pPr>
      <w:r w:rsidRPr="001A2940">
        <w:rPr>
          <w:rFonts w:ascii="Times New Roman" w:hAnsi="Times New Roman"/>
          <w:noProof/>
          <w:sz w:val="28"/>
          <w:szCs w:val="28"/>
        </w:rPr>
        <w:lastRenderedPageBreak/>
        <w:drawing>
          <wp:inline distT="0" distB="0" distL="0" distR="0" wp14:anchorId="13E8525B" wp14:editId="52AC17D8">
            <wp:extent cx="5966460" cy="8907780"/>
            <wp:effectExtent l="0" t="0" r="0" b="7620"/>
            <wp:docPr id="59" name="Рисунок 5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66460" cy="8907780"/>
                    </a:xfrm>
                    <a:prstGeom prst="rect">
                      <a:avLst/>
                    </a:prstGeom>
                    <a:noFill/>
                    <a:ln>
                      <a:noFill/>
                    </a:ln>
                  </pic:spPr>
                </pic:pic>
              </a:graphicData>
            </a:graphic>
          </wp:inline>
        </w:drawing>
      </w:r>
    </w:p>
    <w:p w14:paraId="4F9F31CD" w14:textId="77777777" w:rsidR="003F1ADB" w:rsidRDefault="003F1ADB" w:rsidP="003F1ADB">
      <w:pPr>
        <w:tabs>
          <w:tab w:val="left" w:pos="916"/>
          <w:tab w:val="left" w:pos="1832"/>
          <w:tab w:val="left" w:pos="2748"/>
          <w:tab w:val="left" w:pos="344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noProof/>
          <w:sz w:val="28"/>
          <w:szCs w:val="28"/>
        </w:rPr>
      </w:pPr>
    </w:p>
    <w:p w14:paraId="294673D8" w14:textId="77777777" w:rsidR="003F1ADB" w:rsidRDefault="003F1ADB" w:rsidP="003F1ADB">
      <w:pPr>
        <w:tabs>
          <w:tab w:val="left" w:pos="916"/>
          <w:tab w:val="left" w:pos="1832"/>
          <w:tab w:val="left" w:pos="2748"/>
          <w:tab w:val="left" w:pos="344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noProof/>
          <w:sz w:val="28"/>
          <w:szCs w:val="28"/>
        </w:rPr>
      </w:pPr>
      <w:r w:rsidRPr="001A2940">
        <w:rPr>
          <w:rFonts w:ascii="Times New Roman" w:hAnsi="Times New Roman"/>
          <w:noProof/>
          <w:sz w:val="28"/>
          <w:szCs w:val="28"/>
        </w:rPr>
        <w:lastRenderedPageBreak/>
        <w:drawing>
          <wp:inline distT="0" distB="0" distL="0" distR="0" wp14:anchorId="2F1B8872" wp14:editId="4E4E421F">
            <wp:extent cx="6004560" cy="8481060"/>
            <wp:effectExtent l="0" t="0" r="0" b="0"/>
            <wp:docPr id="61" name="Рисунок 6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стол&#10;&#10;Автоматически созданное описание"/>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04560" cy="8481060"/>
                    </a:xfrm>
                    <a:prstGeom prst="rect">
                      <a:avLst/>
                    </a:prstGeom>
                    <a:noFill/>
                    <a:ln>
                      <a:noFill/>
                    </a:ln>
                  </pic:spPr>
                </pic:pic>
              </a:graphicData>
            </a:graphic>
          </wp:inline>
        </w:drawing>
      </w:r>
    </w:p>
    <w:p w14:paraId="0ED6EE4D" w14:textId="77777777" w:rsidR="003F1ADB" w:rsidRDefault="003F1ADB" w:rsidP="003F1ADB">
      <w:pPr>
        <w:tabs>
          <w:tab w:val="left" w:pos="916"/>
          <w:tab w:val="left" w:pos="1832"/>
          <w:tab w:val="left" w:pos="2748"/>
          <w:tab w:val="left" w:pos="344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noProof/>
          <w:sz w:val="28"/>
          <w:szCs w:val="28"/>
        </w:rPr>
      </w:pPr>
    </w:p>
    <w:p w14:paraId="6680C8BA" w14:textId="77777777" w:rsidR="003F1ADB" w:rsidRDefault="003F1ADB" w:rsidP="003F1ADB">
      <w:pPr>
        <w:tabs>
          <w:tab w:val="left" w:pos="916"/>
          <w:tab w:val="left" w:pos="1832"/>
          <w:tab w:val="left" w:pos="2748"/>
          <w:tab w:val="left" w:pos="344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noProof/>
          <w:sz w:val="28"/>
          <w:szCs w:val="28"/>
        </w:rPr>
      </w:pPr>
    </w:p>
    <w:p w14:paraId="75A16FB8" w14:textId="77777777" w:rsidR="003F1ADB" w:rsidRDefault="003F1ADB" w:rsidP="003F1ADB">
      <w:pPr>
        <w:tabs>
          <w:tab w:val="left" w:pos="916"/>
          <w:tab w:val="left" w:pos="1832"/>
          <w:tab w:val="left" w:pos="2748"/>
          <w:tab w:val="left" w:pos="3447"/>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noProof/>
          <w:sz w:val="28"/>
          <w:szCs w:val="28"/>
        </w:rPr>
      </w:pPr>
    </w:p>
    <w:p w14:paraId="4D47D21D"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8"/>
          <w:szCs w:val="28"/>
        </w:rPr>
      </w:pPr>
      <w:r w:rsidRPr="00145B66">
        <w:rPr>
          <w:rFonts w:ascii="Times New Roman" w:hAnsi="Times New Roman"/>
          <w:b/>
          <w:sz w:val="28"/>
          <w:szCs w:val="28"/>
        </w:rPr>
        <w:lastRenderedPageBreak/>
        <w:t xml:space="preserve">ПРИЛОЖЕНИЕ </w:t>
      </w:r>
      <w:r>
        <w:rPr>
          <w:rFonts w:ascii="Times New Roman" w:hAnsi="Times New Roman"/>
          <w:b/>
          <w:sz w:val="28"/>
          <w:szCs w:val="28"/>
        </w:rPr>
        <w:t>В</w:t>
      </w:r>
    </w:p>
    <w:p w14:paraId="57548E81"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8"/>
          <w:szCs w:val="28"/>
        </w:rPr>
      </w:pPr>
    </w:p>
    <w:p w14:paraId="61EBE140"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E63035">
        <w:rPr>
          <w:rFonts w:ascii="Times New Roman" w:hAnsi="Times New Roman"/>
          <w:sz w:val="28"/>
          <w:szCs w:val="28"/>
        </w:rPr>
        <w:t>Заключение Локального Биоэтического Комитета</w:t>
      </w:r>
      <w:r>
        <w:rPr>
          <w:rFonts w:ascii="Times New Roman" w:hAnsi="Times New Roman"/>
          <w:sz w:val="28"/>
          <w:szCs w:val="28"/>
        </w:rPr>
        <w:t xml:space="preserve"> НАО «МУА»</w:t>
      </w:r>
    </w:p>
    <w:p w14:paraId="312D2DCA" w14:textId="77777777" w:rsidR="003F1ADB" w:rsidRPr="00E63035"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p>
    <w:p w14:paraId="2D427A8C"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E63035">
        <w:rPr>
          <w:rFonts w:ascii="Times New Roman" w:hAnsi="Times New Roman"/>
          <w:noProof/>
          <w:sz w:val="28"/>
          <w:szCs w:val="28"/>
        </w:rPr>
        <w:drawing>
          <wp:inline distT="0" distB="0" distL="0" distR="0" wp14:anchorId="2B4B8EC2" wp14:editId="0CB066BF">
            <wp:extent cx="5425440" cy="8023860"/>
            <wp:effectExtent l="0" t="0" r="3810" b="0"/>
            <wp:docPr id="62" name="Рисунок 6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a:picLocks noChangeAspect="1" noChangeArrowheads="1"/>
                    </pic:cNvPicPr>
                  </pic:nvPicPr>
                  <pic:blipFill>
                    <a:blip r:embed="rId81">
                      <a:lum bright="20000" contrast="60000"/>
                      <a:extLst>
                        <a:ext uri="{28A0092B-C50C-407E-A947-70E740481C1C}">
                          <a14:useLocalDpi xmlns:a14="http://schemas.microsoft.com/office/drawing/2010/main" val="0"/>
                        </a:ext>
                      </a:extLst>
                    </a:blip>
                    <a:srcRect/>
                    <a:stretch>
                      <a:fillRect/>
                    </a:stretch>
                  </pic:blipFill>
                  <pic:spPr bwMode="auto">
                    <a:xfrm>
                      <a:off x="0" y="0"/>
                      <a:ext cx="5425440" cy="8023860"/>
                    </a:xfrm>
                    <a:prstGeom prst="rect">
                      <a:avLst/>
                    </a:prstGeom>
                    <a:noFill/>
                    <a:ln>
                      <a:noFill/>
                    </a:ln>
                  </pic:spPr>
                </pic:pic>
              </a:graphicData>
            </a:graphic>
          </wp:inline>
        </w:drawing>
      </w:r>
    </w:p>
    <w:p w14:paraId="6A64105E"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p>
    <w:p w14:paraId="1BD4D93E"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8"/>
          <w:szCs w:val="28"/>
        </w:rPr>
      </w:pPr>
      <w:r w:rsidRPr="006933B5">
        <w:rPr>
          <w:rFonts w:ascii="Times New Roman" w:hAnsi="Times New Roman"/>
          <w:b/>
          <w:noProof/>
          <w:sz w:val="28"/>
          <w:szCs w:val="28"/>
        </w:rPr>
        <w:lastRenderedPageBreak/>
        <w:drawing>
          <wp:inline distT="0" distB="0" distL="0" distR="0" wp14:anchorId="66625EB0" wp14:editId="66D773B5">
            <wp:extent cx="5897880" cy="9212580"/>
            <wp:effectExtent l="0" t="0" r="7620" b="7620"/>
            <wp:docPr id="63" name="Рисунок 6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97880" cy="9212580"/>
                    </a:xfrm>
                    <a:prstGeom prst="rect">
                      <a:avLst/>
                    </a:prstGeom>
                    <a:noFill/>
                    <a:ln>
                      <a:noFill/>
                    </a:ln>
                  </pic:spPr>
                </pic:pic>
              </a:graphicData>
            </a:graphic>
          </wp:inline>
        </w:drawing>
      </w:r>
    </w:p>
    <w:p w14:paraId="4F9ED300"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8"/>
          <w:szCs w:val="28"/>
        </w:rPr>
      </w:pPr>
      <w:r w:rsidRPr="00E63035">
        <w:rPr>
          <w:rFonts w:ascii="Times New Roman" w:hAnsi="Times New Roman"/>
          <w:b/>
          <w:sz w:val="28"/>
          <w:szCs w:val="28"/>
        </w:rPr>
        <w:lastRenderedPageBreak/>
        <w:t>ПРИЛОЖЕНИЕ Г</w:t>
      </w:r>
    </w:p>
    <w:p w14:paraId="1B1178AD"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8"/>
          <w:szCs w:val="28"/>
        </w:rPr>
      </w:pPr>
    </w:p>
    <w:p w14:paraId="084F37E1" w14:textId="77777777" w:rsidR="003F1ADB"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pPr>
      <w:r w:rsidRPr="00354796">
        <w:rPr>
          <w:rFonts w:ascii="Times New Roman" w:hAnsi="Times New Roman"/>
          <w:sz w:val="28"/>
          <w:szCs w:val="28"/>
        </w:rPr>
        <w:t>Форма информированного согласия на участие в клиническом исследовании</w:t>
      </w:r>
      <w:r w:rsidRPr="00354796">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354796">
        <w:rPr>
          <w:noProof/>
        </w:rPr>
        <w:drawing>
          <wp:inline distT="0" distB="0" distL="0" distR="0" wp14:anchorId="727EC490" wp14:editId="0447B20A">
            <wp:extent cx="6120130" cy="8431530"/>
            <wp:effectExtent l="0" t="0" r="0" b="7620"/>
            <wp:docPr id="65" name="Рисунок 6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a:picLocks noChangeAspect="1" noChangeArrowheads="1"/>
                    </pic:cNvPicPr>
                  </pic:nvPicPr>
                  <pic:blipFill>
                    <a:blip r:embed="rId83">
                      <a:lum contrast="80000"/>
                      <a:extLst>
                        <a:ext uri="{28A0092B-C50C-407E-A947-70E740481C1C}">
                          <a14:useLocalDpi xmlns:a14="http://schemas.microsoft.com/office/drawing/2010/main" val="0"/>
                        </a:ext>
                      </a:extLst>
                    </a:blip>
                    <a:srcRect/>
                    <a:stretch>
                      <a:fillRect/>
                    </a:stretch>
                  </pic:blipFill>
                  <pic:spPr bwMode="auto">
                    <a:xfrm>
                      <a:off x="0" y="0"/>
                      <a:ext cx="6120130" cy="8431530"/>
                    </a:xfrm>
                    <a:prstGeom prst="rect">
                      <a:avLst/>
                    </a:prstGeom>
                    <a:noFill/>
                    <a:ln>
                      <a:noFill/>
                    </a:ln>
                  </pic:spPr>
                </pic:pic>
              </a:graphicData>
            </a:graphic>
          </wp:inline>
        </w:drawing>
      </w:r>
    </w:p>
    <w:p w14:paraId="621F5A99" w14:textId="77777777" w:rsidR="003F1ADB" w:rsidRPr="00E63035" w:rsidRDefault="003F1ADB" w:rsidP="003F1A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8"/>
          <w:szCs w:val="28"/>
        </w:rPr>
      </w:pPr>
      <w:r w:rsidRPr="00354796">
        <w:rPr>
          <w:rFonts w:ascii="Times New Roman" w:hAnsi="Times New Roman"/>
          <w:b/>
          <w:noProof/>
          <w:sz w:val="28"/>
          <w:szCs w:val="28"/>
        </w:rPr>
        <w:lastRenderedPageBreak/>
        <w:drawing>
          <wp:inline distT="0" distB="0" distL="0" distR="0" wp14:anchorId="4D85E87F" wp14:editId="25353930">
            <wp:extent cx="5966460" cy="8717280"/>
            <wp:effectExtent l="0" t="0" r="0" b="7620"/>
            <wp:docPr id="66" name="Рисунок 6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стол&#10;&#10;Автоматически созданное описание"/>
                    <pic:cNvPicPr>
                      <a:picLocks noChangeAspect="1" noChangeArrowheads="1"/>
                    </pic:cNvPicPr>
                  </pic:nvPicPr>
                  <pic:blipFill>
                    <a:blip r:embed="rId84">
                      <a:lum bright="20000"/>
                      <a:extLst>
                        <a:ext uri="{28A0092B-C50C-407E-A947-70E740481C1C}">
                          <a14:useLocalDpi xmlns:a14="http://schemas.microsoft.com/office/drawing/2010/main" val="0"/>
                        </a:ext>
                      </a:extLst>
                    </a:blip>
                    <a:srcRect/>
                    <a:stretch>
                      <a:fillRect/>
                    </a:stretch>
                  </pic:blipFill>
                  <pic:spPr bwMode="auto">
                    <a:xfrm>
                      <a:off x="0" y="0"/>
                      <a:ext cx="5966460" cy="8717280"/>
                    </a:xfrm>
                    <a:prstGeom prst="rect">
                      <a:avLst/>
                    </a:prstGeom>
                    <a:noFill/>
                    <a:ln>
                      <a:noFill/>
                    </a:ln>
                  </pic:spPr>
                </pic:pic>
              </a:graphicData>
            </a:graphic>
          </wp:inline>
        </w:drawing>
      </w:r>
    </w:p>
    <w:p w14:paraId="623FB2FE" w14:textId="77777777" w:rsidR="003F1ADB" w:rsidRPr="00BB318A" w:rsidRDefault="003F1ADB" w:rsidP="00BB318A">
      <w:pPr>
        <w:spacing w:after="0" w:line="240" w:lineRule="auto"/>
        <w:ind w:firstLine="567"/>
        <w:jc w:val="both"/>
        <w:rPr>
          <w:rFonts w:ascii="Times New Roman" w:hAnsi="Times New Roman"/>
          <w:sz w:val="28"/>
          <w:szCs w:val="28"/>
          <w:lang w:val="en-US"/>
        </w:rPr>
      </w:pPr>
    </w:p>
    <w:sectPr w:rsidR="003F1ADB" w:rsidRPr="00BB318A" w:rsidSect="005C199B">
      <w:footerReference w:type="default" r:id="rId85"/>
      <w:pgSz w:w="11906" w:h="16838" w:code="9"/>
      <w:pgMar w:top="1134" w:right="567" w:bottom="1134" w:left="1701" w:header="510" w:footer="51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468551" w14:textId="77777777" w:rsidR="00907E87" w:rsidRDefault="00907E87">
      <w:pPr>
        <w:spacing w:after="0" w:line="240" w:lineRule="auto"/>
      </w:pPr>
      <w:r>
        <w:separator/>
      </w:r>
    </w:p>
  </w:endnote>
  <w:endnote w:type="continuationSeparator" w:id="0">
    <w:p w14:paraId="34992BC6" w14:textId="77777777" w:rsidR="00907E87" w:rsidRDefault="00907E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0"/>
    <w:family w:val="swiss"/>
    <w:pitch w:val="variable"/>
  </w:font>
  <w:font w:name="Liberation Mono">
    <w:altName w:val="Courier New"/>
    <w:charset w:val="00"/>
    <w:family w:val="modern"/>
    <w:pitch w:val="fixed"/>
  </w:font>
  <w:font w:name="NSimSun">
    <w:panose1 w:val="02010609030101010101"/>
    <w:charset w:val="86"/>
    <w:family w:val="modern"/>
    <w:pitch w:val="fixed"/>
    <w:sig w:usb0="0000028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5778B1" w14:textId="77777777" w:rsidR="00094F6F" w:rsidRPr="00287E2C" w:rsidRDefault="00094F6F" w:rsidP="00094F6F">
    <w:pPr>
      <w:pStyle w:val="a4"/>
      <w:jc w:val="center"/>
      <w:rPr>
        <w:sz w:val="28"/>
        <w:szCs w:val="28"/>
      </w:rPr>
    </w:pPr>
    <w:r w:rsidRPr="00287E2C">
      <w:rPr>
        <w:rFonts w:ascii="Times New Roman" w:hAnsi="Times New Roman"/>
        <w:sz w:val="28"/>
        <w:szCs w:val="28"/>
      </w:rPr>
      <w:fldChar w:fldCharType="begin"/>
    </w:r>
    <w:r w:rsidRPr="00287E2C">
      <w:rPr>
        <w:rFonts w:ascii="Times New Roman" w:hAnsi="Times New Roman"/>
        <w:sz w:val="28"/>
        <w:szCs w:val="28"/>
      </w:rPr>
      <w:instrText>PAGE   \* MERGEFORMAT</w:instrText>
    </w:r>
    <w:r w:rsidRPr="00287E2C">
      <w:rPr>
        <w:rFonts w:ascii="Times New Roman" w:hAnsi="Times New Roman"/>
        <w:sz w:val="28"/>
        <w:szCs w:val="28"/>
      </w:rPr>
      <w:fldChar w:fldCharType="separate"/>
    </w:r>
    <w:r w:rsidR="00A10191">
      <w:rPr>
        <w:rFonts w:ascii="Times New Roman" w:hAnsi="Times New Roman"/>
        <w:noProof/>
        <w:sz w:val="28"/>
        <w:szCs w:val="28"/>
      </w:rPr>
      <w:t>9</w:t>
    </w:r>
    <w:r w:rsidRPr="00287E2C">
      <w:rPr>
        <w:rFonts w:ascii="Times New Roman" w:hAnsi="Times New Roman"/>
        <w:sz w:val="28"/>
        <w:szCs w:val="2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467404" w14:textId="77777777" w:rsidR="00094F6F" w:rsidRDefault="00094F6F" w:rsidP="00094F6F">
    <w:pPr>
      <w:pStyle w:val="a4"/>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8"/>
        <w:szCs w:val="28"/>
      </w:rPr>
      <w:id w:val="-726686971"/>
      <w:docPartObj>
        <w:docPartGallery w:val="Page Numbers (Bottom of Page)"/>
        <w:docPartUnique/>
      </w:docPartObj>
    </w:sdtPr>
    <w:sdtContent>
      <w:p w14:paraId="56BB5C41" w14:textId="77777777" w:rsidR="00094F6F" w:rsidRPr="00BE4845" w:rsidRDefault="00094F6F" w:rsidP="00094F6F">
        <w:pPr>
          <w:pStyle w:val="a4"/>
          <w:jc w:val="center"/>
          <w:rPr>
            <w:rFonts w:ascii="Times New Roman" w:hAnsi="Times New Roman"/>
            <w:sz w:val="28"/>
            <w:szCs w:val="28"/>
          </w:rPr>
        </w:pPr>
        <w:r w:rsidRPr="00BE4845">
          <w:rPr>
            <w:rFonts w:ascii="Times New Roman" w:hAnsi="Times New Roman"/>
            <w:sz w:val="28"/>
            <w:szCs w:val="28"/>
          </w:rPr>
          <w:fldChar w:fldCharType="begin"/>
        </w:r>
        <w:r w:rsidRPr="00BE4845">
          <w:rPr>
            <w:rFonts w:ascii="Times New Roman" w:hAnsi="Times New Roman"/>
            <w:sz w:val="28"/>
            <w:szCs w:val="28"/>
          </w:rPr>
          <w:instrText>PAGE   \* MERGEFORMAT</w:instrText>
        </w:r>
        <w:r w:rsidRPr="00BE4845">
          <w:rPr>
            <w:rFonts w:ascii="Times New Roman" w:hAnsi="Times New Roman"/>
            <w:sz w:val="28"/>
            <w:szCs w:val="28"/>
          </w:rPr>
          <w:fldChar w:fldCharType="separate"/>
        </w:r>
        <w:r w:rsidR="00A10191">
          <w:rPr>
            <w:rFonts w:ascii="Times New Roman" w:hAnsi="Times New Roman"/>
            <w:noProof/>
            <w:sz w:val="28"/>
            <w:szCs w:val="28"/>
          </w:rPr>
          <w:t>148</w:t>
        </w:r>
        <w:r w:rsidRPr="00BE4845">
          <w:rPr>
            <w:rFonts w:ascii="Times New Roman" w:hAnsi="Times New Roman"/>
            <w:sz w:val="28"/>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102C4A" w14:textId="77777777" w:rsidR="00907E87" w:rsidRDefault="00907E87">
      <w:pPr>
        <w:spacing w:after="0" w:line="240" w:lineRule="auto"/>
      </w:pPr>
      <w:r>
        <w:separator/>
      </w:r>
    </w:p>
  </w:footnote>
  <w:footnote w:type="continuationSeparator" w:id="0">
    <w:p w14:paraId="48525CB8" w14:textId="77777777" w:rsidR="00907E87" w:rsidRDefault="00907E8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E311BA"/>
    <w:multiLevelType w:val="multilevel"/>
    <w:tmpl w:val="66EC05EE"/>
    <w:lvl w:ilvl="0">
      <w:start w:val="3"/>
      <w:numFmt w:val="decimal"/>
      <w:lvlText w:val="%1"/>
      <w:lvlJc w:val="left"/>
      <w:pPr>
        <w:ind w:left="720" w:hanging="360"/>
      </w:pPr>
      <w:rPr>
        <w:rFonts w:hint="default"/>
      </w:rPr>
    </w:lvl>
    <w:lvl w:ilvl="1">
      <w:start w:val="1"/>
      <w:numFmt w:val="decimal"/>
      <w:isLgl/>
      <w:lvlText w:val="%1.%2"/>
      <w:lvlJc w:val="left"/>
      <w:pPr>
        <w:ind w:left="801" w:hanging="375"/>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1">
    <w:nsid w:val="098619CC"/>
    <w:multiLevelType w:val="hybridMultilevel"/>
    <w:tmpl w:val="D08E60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FA6F24"/>
    <w:multiLevelType w:val="hybridMultilevel"/>
    <w:tmpl w:val="98080934"/>
    <w:lvl w:ilvl="0" w:tplc="EEC24892">
      <w:start w:val="4"/>
      <w:numFmt w:val="decimal"/>
      <w:lvlText w:val="%1"/>
      <w:lvlJc w:val="left"/>
      <w:pPr>
        <w:ind w:left="786" w:hanging="360"/>
      </w:pPr>
      <w:rPr>
        <w:rFonts w:hint="default"/>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3">
    <w:nsid w:val="106E03BD"/>
    <w:multiLevelType w:val="multilevel"/>
    <w:tmpl w:val="98662F76"/>
    <w:lvl w:ilvl="0">
      <w:start w:val="2"/>
      <w:numFmt w:val="decimal"/>
      <w:lvlText w:val="%1"/>
      <w:lvlJc w:val="left"/>
      <w:pPr>
        <w:ind w:left="851" w:hanging="284"/>
      </w:pPr>
      <w:rPr>
        <w:rFonts w:cs="Times New Roman" w:hint="default"/>
      </w:rPr>
    </w:lvl>
    <w:lvl w:ilvl="1">
      <w:start w:val="1"/>
      <w:numFmt w:val="decimal"/>
      <w:isLgl/>
      <w:lvlText w:val="%1.%2"/>
      <w:lvlJc w:val="left"/>
      <w:pPr>
        <w:ind w:left="1017" w:hanging="450"/>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647" w:hanging="1080"/>
      </w:pPr>
      <w:rPr>
        <w:rFonts w:cs="Times New Roman" w:hint="default"/>
      </w:rPr>
    </w:lvl>
    <w:lvl w:ilvl="4">
      <w:start w:val="1"/>
      <w:numFmt w:val="decimal"/>
      <w:isLgl/>
      <w:lvlText w:val="%1.%2.%3.%4.%5"/>
      <w:lvlJc w:val="left"/>
      <w:pPr>
        <w:ind w:left="1647" w:hanging="1080"/>
      </w:pPr>
      <w:rPr>
        <w:rFonts w:cs="Times New Roman" w:hint="default"/>
      </w:rPr>
    </w:lvl>
    <w:lvl w:ilvl="5">
      <w:start w:val="1"/>
      <w:numFmt w:val="decimal"/>
      <w:isLgl/>
      <w:lvlText w:val="%1.%2.%3.%4.%5.%6"/>
      <w:lvlJc w:val="left"/>
      <w:pPr>
        <w:ind w:left="2007" w:hanging="1440"/>
      </w:pPr>
      <w:rPr>
        <w:rFonts w:cs="Times New Roman" w:hint="default"/>
      </w:rPr>
    </w:lvl>
    <w:lvl w:ilvl="6">
      <w:start w:val="1"/>
      <w:numFmt w:val="decimal"/>
      <w:isLgl/>
      <w:lvlText w:val="%1.%2.%3.%4.%5.%6.%7"/>
      <w:lvlJc w:val="left"/>
      <w:pPr>
        <w:ind w:left="2007" w:hanging="1440"/>
      </w:pPr>
      <w:rPr>
        <w:rFonts w:cs="Times New Roman" w:hint="default"/>
      </w:rPr>
    </w:lvl>
    <w:lvl w:ilvl="7">
      <w:start w:val="1"/>
      <w:numFmt w:val="decimal"/>
      <w:isLgl/>
      <w:lvlText w:val="%1.%2.%3.%4.%5.%6.%7.%8"/>
      <w:lvlJc w:val="left"/>
      <w:pPr>
        <w:ind w:left="2367" w:hanging="1800"/>
      </w:pPr>
      <w:rPr>
        <w:rFonts w:cs="Times New Roman" w:hint="default"/>
      </w:rPr>
    </w:lvl>
    <w:lvl w:ilvl="8">
      <w:start w:val="1"/>
      <w:numFmt w:val="decimal"/>
      <w:isLgl/>
      <w:lvlText w:val="%1.%2.%3.%4.%5.%6.%7.%8.%9"/>
      <w:lvlJc w:val="left"/>
      <w:pPr>
        <w:ind w:left="2727" w:hanging="2160"/>
      </w:pPr>
      <w:rPr>
        <w:rFonts w:cs="Times New Roman" w:hint="default"/>
      </w:rPr>
    </w:lvl>
  </w:abstractNum>
  <w:abstractNum w:abstractNumId="4">
    <w:nsid w:val="110B008C"/>
    <w:multiLevelType w:val="hybridMultilevel"/>
    <w:tmpl w:val="3C56FC64"/>
    <w:lvl w:ilvl="0" w:tplc="0419000F">
      <w:start w:val="1"/>
      <w:numFmt w:val="decimal"/>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359F65DB"/>
    <w:multiLevelType w:val="hybridMultilevel"/>
    <w:tmpl w:val="FF68F3D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367C762F"/>
    <w:multiLevelType w:val="hybridMultilevel"/>
    <w:tmpl w:val="65A4B22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E4941B9"/>
    <w:multiLevelType w:val="hybridMultilevel"/>
    <w:tmpl w:val="1FAA2DC6"/>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8">
    <w:nsid w:val="4F9251C4"/>
    <w:multiLevelType w:val="hybridMultilevel"/>
    <w:tmpl w:val="47B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5792D2A"/>
    <w:multiLevelType w:val="hybridMultilevel"/>
    <w:tmpl w:val="34A02608"/>
    <w:lvl w:ilvl="0" w:tplc="4F1C4D5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AA904D8"/>
    <w:multiLevelType w:val="hybridMultilevel"/>
    <w:tmpl w:val="E252E83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7B500CB3"/>
    <w:multiLevelType w:val="hybridMultilevel"/>
    <w:tmpl w:val="A1A0F4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B9C5B1F"/>
    <w:multiLevelType w:val="hybridMultilevel"/>
    <w:tmpl w:val="10C228F8"/>
    <w:lvl w:ilvl="0" w:tplc="43381C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12"/>
  </w:num>
  <w:num w:numId="3">
    <w:abstractNumId w:val="1"/>
  </w:num>
  <w:num w:numId="4">
    <w:abstractNumId w:val="4"/>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num>
  <w:num w:numId="7">
    <w:abstractNumId w:val="11"/>
  </w:num>
  <w:num w:numId="8">
    <w:abstractNumId w:val="0"/>
  </w:num>
  <w:num w:numId="9">
    <w:abstractNumId w:val="10"/>
  </w:num>
  <w:num w:numId="10">
    <w:abstractNumId w:val="8"/>
  </w:num>
  <w:num w:numId="11">
    <w:abstractNumId w:val="7"/>
  </w:num>
  <w:num w:numId="12">
    <w:abstractNumId w:val="3"/>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1"/>
  <w:removePersonalInformation/>
  <w:removeDateAndTim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312B"/>
    <w:rsid w:val="00094F6F"/>
    <w:rsid w:val="000D3542"/>
    <w:rsid w:val="00100A04"/>
    <w:rsid w:val="0013147D"/>
    <w:rsid w:val="001A1A30"/>
    <w:rsid w:val="00217AA3"/>
    <w:rsid w:val="0025598B"/>
    <w:rsid w:val="002A7AD2"/>
    <w:rsid w:val="003C1236"/>
    <w:rsid w:val="003F1ADB"/>
    <w:rsid w:val="00403127"/>
    <w:rsid w:val="00451B29"/>
    <w:rsid w:val="005C199B"/>
    <w:rsid w:val="006570CF"/>
    <w:rsid w:val="006E3B92"/>
    <w:rsid w:val="00712FD3"/>
    <w:rsid w:val="0074312B"/>
    <w:rsid w:val="00764D76"/>
    <w:rsid w:val="00783EDB"/>
    <w:rsid w:val="007A4CE5"/>
    <w:rsid w:val="007D0DA1"/>
    <w:rsid w:val="0080309F"/>
    <w:rsid w:val="008260C5"/>
    <w:rsid w:val="00907E87"/>
    <w:rsid w:val="00975384"/>
    <w:rsid w:val="009C1019"/>
    <w:rsid w:val="009F30DC"/>
    <w:rsid w:val="00A10191"/>
    <w:rsid w:val="00A84749"/>
    <w:rsid w:val="00A9409C"/>
    <w:rsid w:val="00AB0DCB"/>
    <w:rsid w:val="00AF377A"/>
    <w:rsid w:val="00B006D6"/>
    <w:rsid w:val="00B42B2E"/>
    <w:rsid w:val="00B51D95"/>
    <w:rsid w:val="00B60CB3"/>
    <w:rsid w:val="00BB318A"/>
    <w:rsid w:val="00BC513B"/>
    <w:rsid w:val="00C014F7"/>
    <w:rsid w:val="00C41F1F"/>
    <w:rsid w:val="00C65055"/>
    <w:rsid w:val="00CC6D73"/>
    <w:rsid w:val="00CF6E44"/>
    <w:rsid w:val="00D5132A"/>
    <w:rsid w:val="00D54F06"/>
    <w:rsid w:val="00D752DD"/>
    <w:rsid w:val="00DA529D"/>
    <w:rsid w:val="00E50262"/>
    <w:rsid w:val="00EF0466"/>
    <w:rsid w:val="00EF5CD6"/>
    <w:rsid w:val="00F42162"/>
    <w:rsid w:val="00F75C91"/>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3F9AB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03127"/>
    <w:pPr>
      <w:spacing w:after="200" w:line="276" w:lineRule="auto"/>
    </w:pPr>
    <w:rPr>
      <w:rFonts w:ascii="Calibri" w:eastAsia="Times New Roman" w:hAnsi="Calibri" w:cs="Times New Roman"/>
      <w:lang w:val="ru-RU" w:eastAsia="ru-RU"/>
    </w:rPr>
  </w:style>
  <w:style w:type="paragraph" w:styleId="1">
    <w:name w:val="heading 1"/>
    <w:basedOn w:val="a"/>
    <w:next w:val="a"/>
    <w:link w:val="10"/>
    <w:qFormat/>
    <w:rsid w:val="00403127"/>
    <w:pPr>
      <w:keepNext/>
      <w:keepLines/>
      <w:spacing w:before="480" w:after="0"/>
      <w:outlineLvl w:val="0"/>
    </w:pPr>
    <w:rPr>
      <w:rFonts w:ascii="Cambria" w:hAnsi="Cambria"/>
      <w:b/>
      <w:bCs/>
      <w:color w:val="365F91"/>
      <w:sz w:val="28"/>
      <w:szCs w:val="28"/>
    </w:rPr>
  </w:style>
  <w:style w:type="paragraph" w:styleId="2">
    <w:name w:val="heading 2"/>
    <w:basedOn w:val="a"/>
    <w:next w:val="a"/>
    <w:link w:val="20"/>
    <w:uiPriority w:val="9"/>
    <w:semiHidden/>
    <w:unhideWhenUsed/>
    <w:qFormat/>
    <w:rsid w:val="00403127"/>
    <w:pPr>
      <w:keepNext/>
      <w:keepLines/>
      <w:spacing w:before="200" w:after="0"/>
      <w:outlineLvl w:val="1"/>
    </w:pPr>
    <w:rPr>
      <w:rFonts w:ascii="Cambria" w:hAnsi="Cambria"/>
      <w:b/>
      <w:bCs/>
      <w:color w:val="4F81BD"/>
      <w:sz w:val="26"/>
      <w:szCs w:val="26"/>
    </w:rPr>
  </w:style>
  <w:style w:type="paragraph" w:styleId="3">
    <w:name w:val="heading 3"/>
    <w:basedOn w:val="a"/>
    <w:next w:val="a"/>
    <w:link w:val="30"/>
    <w:semiHidden/>
    <w:unhideWhenUsed/>
    <w:qFormat/>
    <w:rsid w:val="00403127"/>
    <w:pPr>
      <w:keepNext/>
      <w:keepLines/>
      <w:spacing w:before="200" w:after="0"/>
      <w:outlineLvl w:val="2"/>
    </w:pPr>
    <w:rPr>
      <w:rFonts w:ascii="Cambria" w:hAnsi="Cambria"/>
      <w:b/>
      <w:bCs/>
      <w:color w:val="4F81BD"/>
    </w:rPr>
  </w:style>
  <w:style w:type="paragraph" w:styleId="8">
    <w:name w:val="heading 8"/>
    <w:basedOn w:val="a"/>
    <w:next w:val="a"/>
    <w:link w:val="80"/>
    <w:uiPriority w:val="9"/>
    <w:semiHidden/>
    <w:unhideWhenUsed/>
    <w:qFormat/>
    <w:rsid w:val="00403127"/>
    <w:pPr>
      <w:keepNext/>
      <w:keepLines/>
      <w:spacing w:before="40" w:after="0"/>
      <w:outlineLvl w:val="7"/>
    </w:pPr>
    <w:rPr>
      <w:rFonts w:ascii="Cambria" w:hAnsi="Cambria"/>
      <w:color w:val="272727"/>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80">
    <w:name w:val="Заголовок 8 Знак"/>
    <w:basedOn w:val="a0"/>
    <w:link w:val="8"/>
    <w:uiPriority w:val="9"/>
    <w:semiHidden/>
    <w:rsid w:val="00403127"/>
    <w:rPr>
      <w:rFonts w:ascii="Cambria" w:eastAsia="Times New Roman" w:hAnsi="Cambria" w:cs="Times New Roman"/>
      <w:color w:val="272727"/>
      <w:sz w:val="21"/>
      <w:szCs w:val="21"/>
      <w:lang w:val="ru-RU" w:eastAsia="ru-RU"/>
    </w:rPr>
  </w:style>
  <w:style w:type="character" w:customStyle="1" w:styleId="a3">
    <w:name w:val="Нижний колонтитул Знак"/>
    <w:link w:val="a4"/>
    <w:uiPriority w:val="99"/>
    <w:rsid w:val="00403127"/>
    <w:rPr>
      <w:rFonts w:eastAsia="Times New Roman"/>
      <w:lang w:eastAsia="ru-RU"/>
    </w:rPr>
  </w:style>
  <w:style w:type="paragraph" w:styleId="a4">
    <w:name w:val="footer"/>
    <w:basedOn w:val="a"/>
    <w:link w:val="a3"/>
    <w:uiPriority w:val="99"/>
    <w:unhideWhenUsed/>
    <w:rsid w:val="00403127"/>
    <w:pPr>
      <w:tabs>
        <w:tab w:val="center" w:pos="4677"/>
        <w:tab w:val="right" w:pos="9355"/>
      </w:tabs>
      <w:spacing w:after="0" w:line="240" w:lineRule="auto"/>
    </w:pPr>
    <w:rPr>
      <w:rFonts w:asciiTheme="minorHAnsi" w:hAnsiTheme="minorHAnsi" w:cstheme="minorBidi"/>
      <w:lang w:val="en-US"/>
    </w:rPr>
  </w:style>
  <w:style w:type="character" w:customStyle="1" w:styleId="FooterChar1">
    <w:name w:val="Footer Char1"/>
    <w:basedOn w:val="a0"/>
    <w:uiPriority w:val="99"/>
    <w:semiHidden/>
    <w:rsid w:val="00403127"/>
    <w:rPr>
      <w:rFonts w:ascii="Calibri" w:eastAsia="Times New Roman" w:hAnsi="Calibri" w:cs="Times New Roman"/>
      <w:lang w:val="ru-RU" w:eastAsia="ru-RU"/>
    </w:rPr>
  </w:style>
  <w:style w:type="paragraph" w:customStyle="1" w:styleId="Standard">
    <w:name w:val="Standard"/>
    <w:rsid w:val="00403127"/>
    <w:pPr>
      <w:widowControl w:val="0"/>
      <w:suppressAutoHyphens/>
      <w:autoSpaceDN w:val="0"/>
      <w:spacing w:after="0" w:line="240" w:lineRule="auto"/>
    </w:pPr>
    <w:rPr>
      <w:rFonts w:ascii="Liberation Serif" w:eastAsia="SimSun" w:hAnsi="Liberation Serif" w:cs="Lucida Sans"/>
      <w:kern w:val="3"/>
      <w:sz w:val="24"/>
      <w:szCs w:val="24"/>
      <w:lang w:val="ru-RU" w:eastAsia="zh-CN" w:bidi="hi-IN"/>
    </w:rPr>
  </w:style>
  <w:style w:type="character" w:styleId="a5">
    <w:name w:val="Emphasis"/>
    <w:uiPriority w:val="20"/>
    <w:qFormat/>
    <w:rsid w:val="00403127"/>
    <w:rPr>
      <w:i/>
      <w:iCs/>
    </w:rPr>
  </w:style>
  <w:style w:type="paragraph" w:styleId="a6">
    <w:name w:val="List Paragraph"/>
    <w:basedOn w:val="a"/>
    <w:uiPriority w:val="34"/>
    <w:qFormat/>
    <w:rsid w:val="00403127"/>
    <w:pPr>
      <w:ind w:left="720"/>
      <w:contextualSpacing/>
    </w:pPr>
  </w:style>
  <w:style w:type="character" w:customStyle="1" w:styleId="10">
    <w:name w:val="Заголовок 1 Знак"/>
    <w:basedOn w:val="a0"/>
    <w:link w:val="1"/>
    <w:rsid w:val="00403127"/>
    <w:rPr>
      <w:rFonts w:ascii="Cambria" w:eastAsia="Times New Roman" w:hAnsi="Cambria" w:cs="Times New Roman"/>
      <w:b/>
      <w:bCs/>
      <w:color w:val="365F91"/>
      <w:sz w:val="28"/>
      <w:szCs w:val="28"/>
      <w:lang w:val="ru-RU" w:eastAsia="ru-RU"/>
    </w:rPr>
  </w:style>
  <w:style w:type="character" w:customStyle="1" w:styleId="20">
    <w:name w:val="Заголовок 2 Знак"/>
    <w:basedOn w:val="a0"/>
    <w:link w:val="2"/>
    <w:uiPriority w:val="9"/>
    <w:semiHidden/>
    <w:rsid w:val="00403127"/>
    <w:rPr>
      <w:rFonts w:ascii="Cambria" w:eastAsia="Times New Roman" w:hAnsi="Cambria" w:cs="Times New Roman"/>
      <w:b/>
      <w:bCs/>
      <w:color w:val="4F81BD"/>
      <w:sz w:val="26"/>
      <w:szCs w:val="26"/>
      <w:lang w:val="ru-RU" w:eastAsia="ru-RU"/>
    </w:rPr>
  </w:style>
  <w:style w:type="character" w:customStyle="1" w:styleId="30">
    <w:name w:val="Заголовок 3 Знак"/>
    <w:basedOn w:val="a0"/>
    <w:link w:val="3"/>
    <w:semiHidden/>
    <w:rsid w:val="00403127"/>
    <w:rPr>
      <w:rFonts w:ascii="Cambria" w:eastAsia="Times New Roman" w:hAnsi="Cambria" w:cs="Times New Roman"/>
      <w:b/>
      <w:bCs/>
      <w:color w:val="4F81BD"/>
      <w:lang w:val="ru-RU" w:eastAsia="ru-RU"/>
    </w:rPr>
  </w:style>
  <w:style w:type="paragraph" w:styleId="a7">
    <w:name w:val="Bibliography"/>
    <w:basedOn w:val="a"/>
    <w:next w:val="a"/>
    <w:uiPriority w:val="37"/>
    <w:unhideWhenUsed/>
    <w:rsid w:val="00403127"/>
    <w:pPr>
      <w:tabs>
        <w:tab w:val="left" w:pos="504"/>
      </w:tabs>
      <w:spacing w:after="0" w:line="240" w:lineRule="auto"/>
      <w:ind w:left="504" w:hanging="504"/>
    </w:pPr>
  </w:style>
  <w:style w:type="character" w:customStyle="1" w:styleId="HTML">
    <w:name w:val="Стандартный HTML Знак"/>
    <w:link w:val="HTML0"/>
    <w:uiPriority w:val="99"/>
    <w:semiHidden/>
    <w:rsid w:val="00403127"/>
    <w:rPr>
      <w:rFonts w:ascii="Courier New" w:eastAsia="Times New Roman" w:hAnsi="Courier New" w:cs="Courier New"/>
      <w:sz w:val="20"/>
      <w:szCs w:val="20"/>
      <w:lang w:eastAsia="ru-RU" w:bidi="kn-IN"/>
    </w:rPr>
  </w:style>
  <w:style w:type="paragraph" w:styleId="HTML0">
    <w:name w:val="HTML Preformatted"/>
    <w:basedOn w:val="a"/>
    <w:link w:val="HTML"/>
    <w:uiPriority w:val="99"/>
    <w:semiHidden/>
    <w:unhideWhenUsed/>
    <w:rsid w:val="004031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val="en-US" w:bidi="kn-IN"/>
    </w:rPr>
  </w:style>
  <w:style w:type="character" w:customStyle="1" w:styleId="HTMLPreformattedChar1">
    <w:name w:val="HTML Preformatted Char1"/>
    <w:basedOn w:val="a0"/>
    <w:uiPriority w:val="99"/>
    <w:semiHidden/>
    <w:rsid w:val="00403127"/>
    <w:rPr>
      <w:rFonts w:ascii="Consolas" w:eastAsia="Times New Roman" w:hAnsi="Consolas" w:cs="Times New Roman"/>
      <w:sz w:val="20"/>
      <w:szCs w:val="20"/>
      <w:lang w:val="ru-RU" w:eastAsia="ru-RU"/>
    </w:rPr>
  </w:style>
  <w:style w:type="character" w:customStyle="1" w:styleId="HTML1">
    <w:name w:val="Стандартный HTML Знак1"/>
    <w:uiPriority w:val="99"/>
    <w:semiHidden/>
    <w:rsid w:val="00403127"/>
    <w:rPr>
      <w:rFonts w:ascii="Consolas" w:eastAsia="Times New Roman" w:hAnsi="Consolas" w:cs="Times New Roman"/>
      <w:sz w:val="20"/>
      <w:szCs w:val="20"/>
      <w:lang w:eastAsia="ru-RU"/>
    </w:rPr>
  </w:style>
  <w:style w:type="character" w:customStyle="1" w:styleId="a8">
    <w:name w:val="Верхний колонтитул Знак"/>
    <w:link w:val="a9"/>
    <w:uiPriority w:val="99"/>
    <w:rsid w:val="00403127"/>
    <w:rPr>
      <w:rFonts w:eastAsia="Times New Roman"/>
      <w:lang w:eastAsia="ru-RU"/>
    </w:rPr>
  </w:style>
  <w:style w:type="paragraph" w:styleId="a9">
    <w:name w:val="header"/>
    <w:basedOn w:val="a"/>
    <w:link w:val="a8"/>
    <w:uiPriority w:val="99"/>
    <w:unhideWhenUsed/>
    <w:rsid w:val="00403127"/>
    <w:pPr>
      <w:tabs>
        <w:tab w:val="center" w:pos="4677"/>
        <w:tab w:val="right" w:pos="9355"/>
      </w:tabs>
      <w:spacing w:after="0" w:line="240" w:lineRule="auto"/>
    </w:pPr>
    <w:rPr>
      <w:rFonts w:asciiTheme="minorHAnsi" w:hAnsiTheme="minorHAnsi" w:cstheme="minorBidi"/>
      <w:lang w:val="en-US"/>
    </w:rPr>
  </w:style>
  <w:style w:type="character" w:customStyle="1" w:styleId="HeaderChar1">
    <w:name w:val="Header Char1"/>
    <w:basedOn w:val="a0"/>
    <w:uiPriority w:val="99"/>
    <w:semiHidden/>
    <w:rsid w:val="00403127"/>
    <w:rPr>
      <w:rFonts w:ascii="Calibri" w:eastAsia="Times New Roman" w:hAnsi="Calibri" w:cs="Times New Roman"/>
      <w:lang w:val="ru-RU" w:eastAsia="ru-RU"/>
    </w:rPr>
  </w:style>
  <w:style w:type="character" w:customStyle="1" w:styleId="11">
    <w:name w:val="Верхний колонтитул Знак1"/>
    <w:uiPriority w:val="99"/>
    <w:semiHidden/>
    <w:rsid w:val="00403127"/>
    <w:rPr>
      <w:rFonts w:ascii="Calibri" w:eastAsia="Times New Roman" w:hAnsi="Calibri" w:cs="Times New Roman"/>
      <w:lang w:eastAsia="ru-RU"/>
    </w:rPr>
  </w:style>
  <w:style w:type="character" w:customStyle="1" w:styleId="12">
    <w:name w:val="Нижний колонтитул Знак1"/>
    <w:uiPriority w:val="99"/>
    <w:semiHidden/>
    <w:rsid w:val="00403127"/>
    <w:rPr>
      <w:rFonts w:ascii="Calibri" w:eastAsia="Times New Roman" w:hAnsi="Calibri" w:cs="Times New Roman"/>
      <w:lang w:eastAsia="ru-RU"/>
    </w:rPr>
  </w:style>
  <w:style w:type="character" w:customStyle="1" w:styleId="21">
    <w:name w:val="Основной текст 2 Знак"/>
    <w:link w:val="22"/>
    <w:semiHidden/>
    <w:rsid w:val="00403127"/>
    <w:rPr>
      <w:rFonts w:eastAsia="Times New Roman"/>
      <w:lang w:eastAsia="ru-RU"/>
    </w:rPr>
  </w:style>
  <w:style w:type="paragraph" w:styleId="22">
    <w:name w:val="Body Text 2"/>
    <w:basedOn w:val="a"/>
    <w:link w:val="21"/>
    <w:semiHidden/>
    <w:unhideWhenUsed/>
    <w:rsid w:val="00403127"/>
    <w:pPr>
      <w:spacing w:after="120" w:line="480" w:lineRule="auto"/>
    </w:pPr>
    <w:rPr>
      <w:rFonts w:asciiTheme="minorHAnsi" w:hAnsiTheme="minorHAnsi" w:cstheme="minorBidi"/>
      <w:lang w:val="en-US"/>
    </w:rPr>
  </w:style>
  <w:style w:type="character" w:customStyle="1" w:styleId="BodyText2Char1">
    <w:name w:val="Body Text 2 Char1"/>
    <w:basedOn w:val="a0"/>
    <w:uiPriority w:val="99"/>
    <w:semiHidden/>
    <w:rsid w:val="00403127"/>
    <w:rPr>
      <w:rFonts w:ascii="Calibri" w:eastAsia="Times New Roman" w:hAnsi="Calibri" w:cs="Times New Roman"/>
      <w:lang w:val="ru-RU" w:eastAsia="ru-RU"/>
    </w:rPr>
  </w:style>
  <w:style w:type="character" w:customStyle="1" w:styleId="210">
    <w:name w:val="Основной текст 2 Знак1"/>
    <w:uiPriority w:val="99"/>
    <w:semiHidden/>
    <w:rsid w:val="00403127"/>
    <w:rPr>
      <w:rFonts w:ascii="Calibri" w:eastAsia="Times New Roman" w:hAnsi="Calibri" w:cs="Times New Roman"/>
      <w:lang w:eastAsia="ru-RU"/>
    </w:rPr>
  </w:style>
  <w:style w:type="paragraph" w:styleId="aa">
    <w:name w:val="Balloon Text"/>
    <w:basedOn w:val="a"/>
    <w:link w:val="ab"/>
    <w:uiPriority w:val="99"/>
    <w:semiHidden/>
    <w:unhideWhenUsed/>
    <w:rsid w:val="00403127"/>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403127"/>
    <w:rPr>
      <w:rFonts w:ascii="Tahoma" w:eastAsia="Times New Roman" w:hAnsi="Tahoma" w:cs="Tahoma"/>
      <w:sz w:val="16"/>
      <w:szCs w:val="16"/>
      <w:lang w:val="ru-RU" w:eastAsia="ru-RU"/>
    </w:rPr>
  </w:style>
  <w:style w:type="paragraph" w:styleId="ac">
    <w:name w:val="TOC Heading"/>
    <w:basedOn w:val="1"/>
    <w:next w:val="a"/>
    <w:uiPriority w:val="39"/>
    <w:unhideWhenUsed/>
    <w:qFormat/>
    <w:rsid w:val="00403127"/>
    <w:pPr>
      <w:outlineLvl w:val="9"/>
    </w:pPr>
    <w:rPr>
      <w:lang w:bidi="kn-IN"/>
    </w:rPr>
  </w:style>
  <w:style w:type="paragraph" w:customStyle="1" w:styleId="ad">
    <w:name w:val="???"/>
    <w:uiPriority w:val="99"/>
    <w:qFormat/>
    <w:rsid w:val="00403127"/>
    <w:pPr>
      <w:suppressAutoHyphens/>
      <w:spacing w:after="0" w:line="276" w:lineRule="auto"/>
    </w:pPr>
    <w:rPr>
      <w:rFonts w:ascii="Times New Roman" w:eastAsia="Tahoma" w:hAnsi="Times New Roman" w:cs="Liberation Sans"/>
      <w:color w:val="00000A"/>
      <w:sz w:val="24"/>
      <w:szCs w:val="24"/>
      <w:lang w:val="ru-RU" w:eastAsia="ru-RU"/>
    </w:rPr>
  </w:style>
  <w:style w:type="paragraph" w:customStyle="1" w:styleId="ae">
    <w:name w:val="Содержимое врезки"/>
    <w:basedOn w:val="a"/>
    <w:qFormat/>
    <w:rsid w:val="00403127"/>
    <w:pPr>
      <w:suppressAutoHyphens/>
    </w:pPr>
    <w:rPr>
      <w:color w:val="00000A"/>
    </w:rPr>
  </w:style>
  <w:style w:type="paragraph" w:customStyle="1" w:styleId="af">
    <w:name w:val="Текст в заданном формате"/>
    <w:basedOn w:val="a"/>
    <w:uiPriority w:val="99"/>
    <w:qFormat/>
    <w:rsid w:val="00403127"/>
    <w:pPr>
      <w:suppressAutoHyphens/>
      <w:spacing w:after="0"/>
    </w:pPr>
    <w:rPr>
      <w:rFonts w:ascii="Liberation Mono" w:eastAsia="NSimSun" w:hAnsi="Liberation Mono" w:cs="Liberation Mono"/>
      <w:color w:val="00000A"/>
      <w:sz w:val="20"/>
      <w:szCs w:val="20"/>
    </w:rPr>
  </w:style>
  <w:style w:type="paragraph" w:customStyle="1" w:styleId="j13">
    <w:name w:val="j13"/>
    <w:basedOn w:val="a"/>
    <w:uiPriority w:val="99"/>
    <w:rsid w:val="00403127"/>
    <w:pPr>
      <w:spacing w:before="100" w:beforeAutospacing="1" w:after="100" w:afterAutospacing="1" w:line="240" w:lineRule="auto"/>
    </w:pPr>
    <w:rPr>
      <w:rFonts w:ascii="Times New Roman" w:hAnsi="Times New Roman"/>
      <w:sz w:val="24"/>
      <w:szCs w:val="24"/>
      <w:lang w:bidi="kn-IN"/>
    </w:rPr>
  </w:style>
  <w:style w:type="paragraph" w:customStyle="1" w:styleId="PreformattedText">
    <w:name w:val="Preformatted Text"/>
    <w:basedOn w:val="Standard"/>
    <w:uiPriority w:val="99"/>
    <w:rsid w:val="00403127"/>
    <w:rPr>
      <w:rFonts w:ascii="Liberation Mono" w:eastAsia="NSimSun" w:hAnsi="Liberation Mono" w:cs="Liberation Mono"/>
      <w:sz w:val="20"/>
      <w:szCs w:val="20"/>
    </w:rPr>
  </w:style>
  <w:style w:type="paragraph" w:customStyle="1" w:styleId="af0">
    <w:name w:val="Базовый"/>
    <w:uiPriority w:val="99"/>
    <w:rsid w:val="00403127"/>
    <w:pPr>
      <w:suppressAutoHyphens/>
      <w:spacing w:after="200" w:line="276" w:lineRule="auto"/>
    </w:pPr>
    <w:rPr>
      <w:rFonts w:ascii="Calibri" w:eastAsia="SimSun" w:hAnsi="Calibri" w:cs="Arial"/>
      <w:color w:val="00000A"/>
      <w:lang w:val="ru-RU" w:eastAsia="ru-RU"/>
    </w:rPr>
  </w:style>
  <w:style w:type="character" w:customStyle="1" w:styleId="EndNoteBibliography">
    <w:name w:val="EndNote Bibliography Знак"/>
    <w:link w:val="EndNoteBibliography0"/>
    <w:locked/>
    <w:rsid w:val="00403127"/>
    <w:rPr>
      <w:rFonts w:ascii="Calibri" w:hAnsi="Calibri" w:cs="Calibri"/>
      <w:noProof/>
    </w:rPr>
  </w:style>
  <w:style w:type="paragraph" w:customStyle="1" w:styleId="EndNoteBibliography0">
    <w:name w:val="EndNote Bibliography"/>
    <w:basedOn w:val="a"/>
    <w:link w:val="EndNoteBibliography"/>
    <w:rsid w:val="00403127"/>
    <w:pPr>
      <w:spacing w:after="160" w:line="240" w:lineRule="auto"/>
      <w:jc w:val="both"/>
    </w:pPr>
    <w:rPr>
      <w:rFonts w:eastAsiaTheme="minorHAnsi" w:cs="Calibri"/>
      <w:noProof/>
      <w:lang w:val="en-US" w:eastAsia="en-US"/>
    </w:rPr>
  </w:style>
  <w:style w:type="character" w:customStyle="1" w:styleId="apple-converted-space">
    <w:name w:val="apple-converted-space"/>
    <w:basedOn w:val="a0"/>
    <w:qFormat/>
    <w:rsid w:val="00403127"/>
  </w:style>
  <w:style w:type="character" w:customStyle="1" w:styleId="gogofoundword">
    <w:name w:val="gogofoundword"/>
    <w:basedOn w:val="a0"/>
    <w:rsid w:val="00403127"/>
  </w:style>
  <w:style w:type="character" w:customStyle="1" w:styleId="w">
    <w:name w:val="w"/>
    <w:basedOn w:val="a0"/>
    <w:rsid w:val="00403127"/>
  </w:style>
  <w:style w:type="character" w:customStyle="1" w:styleId="s1">
    <w:name w:val="s1"/>
    <w:basedOn w:val="a0"/>
    <w:rsid w:val="00403127"/>
  </w:style>
  <w:style w:type="character" w:customStyle="1" w:styleId="Citation">
    <w:name w:val="Citation"/>
    <w:rsid w:val="00403127"/>
    <w:rPr>
      <w:i/>
      <w:iCs/>
    </w:rPr>
  </w:style>
  <w:style w:type="character" w:customStyle="1" w:styleId="Internetlink">
    <w:name w:val="Internet link"/>
    <w:rsid w:val="00403127"/>
    <w:rPr>
      <w:color w:val="000080"/>
      <w:u w:val="single"/>
    </w:rPr>
  </w:style>
  <w:style w:type="character" w:customStyle="1" w:styleId="highlight">
    <w:name w:val="highlight"/>
    <w:basedOn w:val="a0"/>
    <w:rsid w:val="00403127"/>
  </w:style>
  <w:style w:type="character" w:customStyle="1" w:styleId="ref-title">
    <w:name w:val="ref-title"/>
    <w:basedOn w:val="a0"/>
    <w:rsid w:val="00403127"/>
  </w:style>
  <w:style w:type="character" w:customStyle="1" w:styleId="ref-journal">
    <w:name w:val="ref-journal"/>
    <w:basedOn w:val="a0"/>
    <w:rsid w:val="00403127"/>
  </w:style>
  <w:style w:type="character" w:customStyle="1" w:styleId="ref-vol">
    <w:name w:val="ref-vol"/>
    <w:basedOn w:val="a0"/>
    <w:rsid w:val="00403127"/>
  </w:style>
  <w:style w:type="character" w:customStyle="1" w:styleId="mixed-citation">
    <w:name w:val="mixed-citation"/>
    <w:basedOn w:val="a0"/>
    <w:rsid w:val="00403127"/>
  </w:style>
  <w:style w:type="character" w:customStyle="1" w:styleId="13">
    <w:name w:val="Название1"/>
    <w:basedOn w:val="a0"/>
    <w:rsid w:val="00403127"/>
  </w:style>
  <w:style w:type="character" w:customStyle="1" w:styleId="jrnl">
    <w:name w:val="jrnl"/>
    <w:basedOn w:val="a0"/>
    <w:rsid w:val="00403127"/>
  </w:style>
  <w:style w:type="table" w:styleId="af1">
    <w:name w:val="Table Grid"/>
    <w:basedOn w:val="a1"/>
    <w:uiPriority w:val="39"/>
    <w:rsid w:val="004031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Обычный (веб)1"/>
    <w:basedOn w:val="a"/>
    <w:uiPriority w:val="99"/>
    <w:unhideWhenUsed/>
    <w:rsid w:val="00403127"/>
    <w:pPr>
      <w:spacing w:before="100" w:beforeAutospacing="1" w:after="100" w:afterAutospacing="1" w:line="240" w:lineRule="auto"/>
    </w:pPr>
    <w:rPr>
      <w:rFonts w:ascii="Times New Roman" w:hAnsi="Times New Roman"/>
      <w:sz w:val="24"/>
      <w:szCs w:val="24"/>
    </w:rPr>
  </w:style>
  <w:style w:type="character" w:styleId="af2">
    <w:name w:val="Strong"/>
    <w:uiPriority w:val="22"/>
    <w:qFormat/>
    <w:rsid w:val="00403127"/>
    <w:rPr>
      <w:b/>
      <w:bCs/>
    </w:rPr>
  </w:style>
  <w:style w:type="table" w:customStyle="1" w:styleId="15">
    <w:name w:val="Сетка таблицы светлая1"/>
    <w:basedOn w:val="a1"/>
    <w:uiPriority w:val="40"/>
    <w:rsid w:val="00403127"/>
    <w:pPr>
      <w:spacing w:after="0" w:line="240" w:lineRule="auto"/>
    </w:pPr>
    <w:rPr>
      <w:rFonts w:ascii="Calibri" w:eastAsia="Calibri" w:hAnsi="Calibri" w:cs="Times New Roman"/>
      <w:sz w:val="20"/>
      <w:szCs w:val="20"/>
      <w:lang w:bidi="kn-I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styleId="af3">
    <w:name w:val="Hyperlink"/>
    <w:uiPriority w:val="99"/>
    <w:unhideWhenUsed/>
    <w:rsid w:val="00403127"/>
    <w:rPr>
      <w:color w:val="0000FF"/>
      <w:u w:val="single"/>
    </w:rPr>
  </w:style>
  <w:style w:type="character" w:customStyle="1" w:styleId="author-sup-separator">
    <w:name w:val="author-sup-separator"/>
    <w:basedOn w:val="a0"/>
    <w:rsid w:val="00403127"/>
  </w:style>
  <w:style w:type="paragraph" w:styleId="23">
    <w:name w:val="toc 2"/>
    <w:basedOn w:val="a"/>
    <w:next w:val="a"/>
    <w:autoRedefine/>
    <w:uiPriority w:val="39"/>
    <w:unhideWhenUsed/>
    <w:rsid w:val="00403127"/>
    <w:pPr>
      <w:spacing w:after="100"/>
      <w:ind w:left="220"/>
    </w:pPr>
  </w:style>
  <w:style w:type="paragraph" w:styleId="16">
    <w:name w:val="toc 1"/>
    <w:basedOn w:val="a"/>
    <w:next w:val="a"/>
    <w:autoRedefine/>
    <w:uiPriority w:val="39"/>
    <w:unhideWhenUsed/>
    <w:rsid w:val="00403127"/>
    <w:pPr>
      <w:spacing w:after="100"/>
    </w:pPr>
  </w:style>
  <w:style w:type="paragraph" w:styleId="31">
    <w:name w:val="toc 3"/>
    <w:basedOn w:val="a"/>
    <w:next w:val="a"/>
    <w:autoRedefine/>
    <w:uiPriority w:val="39"/>
    <w:unhideWhenUsed/>
    <w:rsid w:val="00403127"/>
    <w:pPr>
      <w:spacing w:after="100"/>
      <w:ind w:left="440"/>
    </w:pPr>
  </w:style>
  <w:style w:type="character" w:styleId="af4">
    <w:name w:val="FollowedHyperlink"/>
    <w:uiPriority w:val="99"/>
    <w:semiHidden/>
    <w:unhideWhenUsed/>
    <w:rsid w:val="00403127"/>
    <w:rPr>
      <w:color w:val="800080"/>
      <w:u w:val="single"/>
    </w:rPr>
  </w:style>
  <w:style w:type="character" w:customStyle="1" w:styleId="a-text-bold">
    <w:name w:val="a-text-bold"/>
    <w:basedOn w:val="a0"/>
    <w:rsid w:val="00403127"/>
  </w:style>
  <w:style w:type="character" w:customStyle="1" w:styleId="authors-list-item">
    <w:name w:val="authors-list-item"/>
    <w:basedOn w:val="a0"/>
    <w:rsid w:val="00403127"/>
  </w:style>
  <w:style w:type="character" w:customStyle="1" w:styleId="comma">
    <w:name w:val="comma"/>
    <w:basedOn w:val="a0"/>
    <w:rsid w:val="00403127"/>
  </w:style>
  <w:style w:type="character" w:customStyle="1" w:styleId="markedcontent">
    <w:name w:val="markedcontent"/>
    <w:rsid w:val="00403127"/>
  </w:style>
  <w:style w:type="character" w:customStyle="1" w:styleId="person">
    <w:name w:val="person"/>
    <w:rsid w:val="00403127"/>
  </w:style>
  <w:style w:type="character" w:customStyle="1" w:styleId="personname">
    <w:name w:val="person_name"/>
    <w:rsid w:val="00403127"/>
  </w:style>
  <w:style w:type="character" w:customStyle="1" w:styleId="extendedtext-short">
    <w:name w:val="extendedtext-short"/>
    <w:rsid w:val="00403127"/>
  </w:style>
  <w:style w:type="character" w:customStyle="1" w:styleId="UnresolvedMention">
    <w:name w:val="Unresolved Mention"/>
    <w:basedOn w:val="a0"/>
    <w:uiPriority w:val="99"/>
    <w:semiHidden/>
    <w:unhideWhenUsed/>
    <w:rsid w:val="00403127"/>
    <w:rPr>
      <w:color w:val="605E5C"/>
      <w:shd w:val="clear" w:color="auto" w:fill="E1DFDD"/>
    </w:rPr>
  </w:style>
  <w:style w:type="paragraph" w:customStyle="1" w:styleId="pcenter">
    <w:name w:val="pcenter"/>
    <w:basedOn w:val="a"/>
    <w:rsid w:val="00403127"/>
    <w:pPr>
      <w:spacing w:before="100" w:beforeAutospacing="1" w:after="100" w:afterAutospacing="1" w:line="240" w:lineRule="auto"/>
    </w:pPr>
    <w:rPr>
      <w:rFonts w:ascii="Times New Roman" w:hAnsi="Times New Roman"/>
      <w:sz w:val="24"/>
      <w:szCs w:val="24"/>
      <w:lang w:val="en-US" w:eastAsia="en-US"/>
    </w:rPr>
  </w:style>
  <w:style w:type="paragraph" w:customStyle="1" w:styleId="pboth">
    <w:name w:val="pboth"/>
    <w:basedOn w:val="a"/>
    <w:rsid w:val="00403127"/>
    <w:pPr>
      <w:spacing w:before="100" w:beforeAutospacing="1" w:after="100" w:afterAutospacing="1" w:line="240" w:lineRule="auto"/>
    </w:pPr>
    <w:rPr>
      <w:rFonts w:ascii="Times New Roman" w:hAnsi="Times New Roman"/>
      <w:sz w:val="24"/>
      <w:szCs w:val="24"/>
      <w:lang w:val="en-US" w:eastAsia="en-US"/>
    </w:rPr>
  </w:style>
  <w:style w:type="paragraph" w:styleId="af5">
    <w:name w:val="Body Text"/>
    <w:basedOn w:val="a"/>
    <w:link w:val="af6"/>
    <w:uiPriority w:val="99"/>
    <w:semiHidden/>
    <w:unhideWhenUsed/>
    <w:rsid w:val="005C199B"/>
    <w:pPr>
      <w:spacing w:after="120"/>
    </w:pPr>
  </w:style>
  <w:style w:type="character" w:customStyle="1" w:styleId="af6">
    <w:name w:val="Основной текст Знак"/>
    <w:basedOn w:val="a0"/>
    <w:link w:val="af5"/>
    <w:uiPriority w:val="99"/>
    <w:semiHidden/>
    <w:rsid w:val="005C199B"/>
    <w:rPr>
      <w:rFonts w:ascii="Calibri" w:eastAsia="Times New Roman" w:hAnsi="Calibri" w:cs="Times New Roman"/>
      <w:lang w:val="ru-RU" w:eastAsia="ru-RU"/>
    </w:rPr>
  </w:style>
  <w:style w:type="paragraph" w:styleId="32">
    <w:name w:val="Body Text 3"/>
    <w:basedOn w:val="a"/>
    <w:link w:val="33"/>
    <w:uiPriority w:val="99"/>
    <w:unhideWhenUsed/>
    <w:rsid w:val="005C199B"/>
    <w:pPr>
      <w:spacing w:after="120"/>
    </w:pPr>
    <w:rPr>
      <w:rFonts w:asciiTheme="minorHAnsi" w:eastAsiaTheme="minorEastAsia" w:hAnsiTheme="minorHAnsi" w:cstheme="minorBidi"/>
      <w:sz w:val="16"/>
      <w:szCs w:val="16"/>
    </w:rPr>
  </w:style>
  <w:style w:type="character" w:customStyle="1" w:styleId="33">
    <w:name w:val="Основной текст 3 Знак"/>
    <w:basedOn w:val="a0"/>
    <w:link w:val="32"/>
    <w:uiPriority w:val="99"/>
    <w:rsid w:val="005C199B"/>
    <w:rPr>
      <w:rFonts w:eastAsiaTheme="minorEastAsia"/>
      <w:sz w:val="16"/>
      <w:szCs w:val="16"/>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930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hyperlink" Target="https://pubmed.ncbi.nlm.nih.gov/?term=Schumann+D&amp;cauthor_id=29129233" TargetMode="External"/><Relationship Id="rId42" Type="http://schemas.openxmlformats.org/officeDocument/2006/relationships/image" Target="media/image23.png"/><Relationship Id="rId47" Type="http://schemas.openxmlformats.org/officeDocument/2006/relationships/chart" Target="charts/chart6.xml"/><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5.jpeg"/><Relationship Id="rId16" Type="http://schemas.openxmlformats.org/officeDocument/2006/relationships/image" Target="media/image9.jpeg"/><Relationship Id="rId11" Type="http://schemas.openxmlformats.org/officeDocument/2006/relationships/image" Target="media/image4.tiff"/><Relationship Id="rId32" Type="http://schemas.openxmlformats.org/officeDocument/2006/relationships/oleObject" Target="embeddings/oleObject3.bin"/><Relationship Id="rId37" Type="http://schemas.openxmlformats.org/officeDocument/2006/relationships/chart" Target="charts/chart1.xml"/><Relationship Id="rId53" Type="http://schemas.openxmlformats.org/officeDocument/2006/relationships/image" Target="media/image29.png"/><Relationship Id="rId58" Type="http://schemas.openxmlformats.org/officeDocument/2006/relationships/image" Target="media/image33.png"/><Relationship Id="rId74" Type="http://schemas.openxmlformats.org/officeDocument/2006/relationships/image" Target="media/image46.emf"/><Relationship Id="rId79" Type="http://schemas.openxmlformats.org/officeDocument/2006/relationships/image" Target="media/image50.jpeg"/><Relationship Id="rId5" Type="http://schemas.openxmlformats.org/officeDocument/2006/relationships/footnotes" Target="footnotes.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hyperlink" Target="https://pubmed.ncbi.nlm.nih.gov/?term=Theodoropoulos+GE&amp;cauthor_id=23605189" TargetMode="External"/><Relationship Id="rId27" Type="http://schemas.openxmlformats.org/officeDocument/2006/relationships/image" Target="media/image18.wmf"/><Relationship Id="rId30" Type="http://schemas.openxmlformats.org/officeDocument/2006/relationships/oleObject" Target="embeddings/oleObject2.bin"/><Relationship Id="rId35" Type="http://schemas.openxmlformats.org/officeDocument/2006/relationships/image" Target="media/image22.wmf"/><Relationship Id="rId43" Type="http://schemas.openxmlformats.org/officeDocument/2006/relationships/image" Target="media/image24.png"/><Relationship Id="rId48" Type="http://schemas.openxmlformats.org/officeDocument/2006/relationships/image" Target="media/image26.png"/><Relationship Id="rId56" Type="http://schemas.openxmlformats.org/officeDocument/2006/relationships/image" Target="media/image32.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48.jpeg"/><Relationship Id="rId8" Type="http://schemas.openxmlformats.org/officeDocument/2006/relationships/image" Target="media/image1.tiff"/><Relationship Id="rId51" Type="http://schemas.openxmlformats.org/officeDocument/2006/relationships/chart" Target="charts/chart7.xml"/><Relationship Id="rId72" Type="http://schemas.openxmlformats.org/officeDocument/2006/relationships/hyperlink" Target="https://pubmed.ncbi.nlm.nih.gov/?term=Klose+P&amp;cauthor_id=29129233" TargetMode="External"/><Relationship Id="rId80" Type="http://schemas.openxmlformats.org/officeDocument/2006/relationships/image" Target="media/image51.jpeg"/><Relationship Id="rId85"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image" Target="media/image5.tiff"/><Relationship Id="rId17" Type="http://schemas.openxmlformats.org/officeDocument/2006/relationships/image" Target="media/image10.jpeg"/><Relationship Id="rId25" Type="http://schemas.openxmlformats.org/officeDocument/2006/relationships/image" Target="media/image16.jpg"/><Relationship Id="rId33" Type="http://schemas.openxmlformats.org/officeDocument/2006/relationships/image" Target="media/image21.wmf"/><Relationship Id="rId38" Type="http://schemas.openxmlformats.org/officeDocument/2006/relationships/chart" Target="charts/chart2.xml"/><Relationship Id="rId46" Type="http://schemas.openxmlformats.org/officeDocument/2006/relationships/image" Target="media/image25.jpe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image" Target="media/image13.PNG"/><Relationship Id="rId41" Type="http://schemas.openxmlformats.org/officeDocument/2006/relationships/chart" Target="charts/chart5.xml"/><Relationship Id="rId54" Type="http://schemas.openxmlformats.org/officeDocument/2006/relationships/image" Target="media/image30.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oleObject" Target="embeddings/oleObject6.bin"/><Relationship Id="rId83" Type="http://schemas.openxmlformats.org/officeDocument/2006/relationships/image" Target="media/image5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oleObject" Target="embeddings/oleObject1.bin"/><Relationship Id="rId36" Type="http://schemas.openxmlformats.org/officeDocument/2006/relationships/oleObject" Target="embeddings/oleObject5.bin"/><Relationship Id="rId49" Type="http://schemas.openxmlformats.org/officeDocument/2006/relationships/image" Target="media/image27.png"/><Relationship Id="rId57" Type="http://schemas.openxmlformats.org/officeDocument/2006/relationships/chart" Target="charts/chart9.xml"/><Relationship Id="rId10" Type="http://schemas.openxmlformats.org/officeDocument/2006/relationships/image" Target="media/image3.tiff"/><Relationship Id="rId31" Type="http://schemas.openxmlformats.org/officeDocument/2006/relationships/image" Target="media/image20.wmf"/><Relationship Id="rId44" Type="http://schemas.openxmlformats.org/officeDocument/2006/relationships/footer" Target="footer1.xml"/><Relationship Id="rId52" Type="http://schemas.openxmlformats.org/officeDocument/2006/relationships/chart" Target="charts/chart8.xml"/><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hyperlink" Target="https://pubmed.ncbi.nlm.nih.gov/?term=Lauche+R&amp;cauthor_id=29129233" TargetMode="External"/><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tiff"/><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chart" Target="charts/chart3.xml"/><Relationship Id="rId34" Type="http://schemas.openxmlformats.org/officeDocument/2006/relationships/oleObject" Target="embeddings/oleObject4.bin"/><Relationship Id="rId50" Type="http://schemas.openxmlformats.org/officeDocument/2006/relationships/image" Target="media/image28.png"/><Relationship Id="rId55" Type="http://schemas.openxmlformats.org/officeDocument/2006/relationships/image" Target="media/image31.png"/><Relationship Id="rId76" Type="http://schemas.openxmlformats.org/officeDocument/2006/relationships/image" Target="media/image47.jpeg"/><Relationship Id="rId7" Type="http://schemas.openxmlformats.org/officeDocument/2006/relationships/hyperlink" Target="https://ru.wikipedia.org/wiki/%D0%94%D0%B8%D1%81%D0%B1%D0%B0%D0%BB%D0%B0%D0%BD%D1%81" TargetMode="External"/><Relationship Id="rId71" Type="http://schemas.openxmlformats.org/officeDocument/2006/relationships/hyperlink" Target="https://pubmed.ncbi.nlm.nih.gov/?term=Schumann+D&amp;cauthor_id=29129233" TargetMode="External"/><Relationship Id="rId2" Type="http://schemas.openxmlformats.org/officeDocument/2006/relationships/styles" Target="styles.xml"/><Relationship Id="rId29" Type="http://schemas.openxmlformats.org/officeDocument/2006/relationships/image" Target="media/image19.wmf"/><Relationship Id="rId24" Type="http://schemas.openxmlformats.org/officeDocument/2006/relationships/image" Target="media/image15.png"/><Relationship Id="rId40" Type="http://schemas.openxmlformats.org/officeDocument/2006/relationships/chart" Target="charts/chart4.xml"/><Relationship Id="rId45" Type="http://schemas.openxmlformats.org/officeDocument/2006/relationships/footer" Target="footer2.xml"/><Relationship Id="rId66" Type="http://schemas.openxmlformats.org/officeDocument/2006/relationships/image" Target="media/image41.png"/><Relationship Id="rId87" Type="http://schemas.openxmlformats.org/officeDocument/2006/relationships/theme" Target="theme/theme1.xml"/><Relationship Id="rId61" Type="http://schemas.openxmlformats.org/officeDocument/2006/relationships/image" Target="media/image36.png"/><Relationship Id="rId82" Type="http://schemas.openxmlformats.org/officeDocument/2006/relationships/image" Target="media/image53.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user\Documents\&#1076;&#1086;&#1082;&#1080;\2020-2021\&#1040;&#1081;&#1078;&#1072;&#1085;\&#1076;&#1080;&#1089;&#1089;&#1077;&#1088;&#1090;&#1072;&#1094;&#1080;&#1103;\&#1076;&#1080;&#1072;&#1075;&#1088;&#1072;&#1084;&#1084;&#1072;%20&#1087;&#1086;%20&#1089;&#1080;&#1073;&#1088;%20&#1089;&#1086;&#1089;&#1090;&#1072;&#1074;+&#1101;&#1083;&#1077;&#1082;&#1090;&#1088;&#1083;&#1080;&#1090;&#1099;.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user\Documents\&#1076;&#1086;&#1082;&#1080;\2020-2021\&#1040;&#1081;&#1078;&#1072;&#1085;\&#1076;&#1080;&#1089;&#1089;&#1077;&#1088;&#1090;&#1072;&#1094;&#1080;&#1103;\&#1076;&#1080;&#1072;&#1075;&#1088;&#1072;&#1084;&#1084;&#1072;%20&#1087;&#1086;%20&#1089;&#1080;&#1073;&#1088;%20&#1089;&#1086;&#1089;&#1090;&#1072;&#1074;+&#1101;&#1083;&#1077;&#1082;&#1090;&#1088;&#1083;&#1080;&#1090;&#1099;.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C:\Users\user\Documents\&#1076;&#1086;&#1082;&#1080;\2020-2021\&#1040;&#1081;&#1078;&#1072;&#1085;\&#1076;&#1080;&#1089;&#1089;&#1077;&#1088;&#1090;&#1072;&#1094;&#1080;&#1103;\&#1076;&#1080;&#1072;&#1075;&#1088;&#1072;&#1084;&#1084;&#1072;%20&#1087;&#1086;%20&#1089;&#1080;&#1073;&#1088;%20&#1089;&#1086;&#1089;&#1090;&#1072;&#1074;.xlsx" TargetMode="External"/><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user\Documents\&#1076;&#1086;&#1082;&#1080;\2020-2021\&#1040;&#1081;&#1078;&#1072;&#1085;\&#1076;&#1080;&#1089;&#1089;&#1077;&#1088;&#1090;&#1072;&#1094;&#1080;&#1103;\&#1076;&#1080;&#1072;&#1075;&#1088;&#1072;&#1084;&#1084;&#1072;%20&#1087;&#1086;%20&#1089;&#1080;&#1073;&#1088;%20&#1089;&#1086;&#1089;&#1090;&#1072;&#1074;+&#1101;&#1083;&#1077;&#1082;&#1090;&#1088;&#1083;&#1080;&#1090;&#1099;.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125"/>
          <c:y val="7.0019997500312472E-2"/>
          <c:w val="0.85252314814814834"/>
          <c:h val="0.69980461575976072"/>
        </c:manualLayout>
      </c:layout>
      <c:lineChart>
        <c:grouping val="standard"/>
        <c:varyColors val="0"/>
        <c:ser>
          <c:idx val="0"/>
          <c:order val="0"/>
          <c:tx>
            <c:strRef>
              <c:f>Лист1!$B$1</c:f>
              <c:strCache>
                <c:ptCount val="1"/>
                <c:pt idx="0">
                  <c:v>мужчины</c:v>
                </c:pt>
              </c:strCache>
            </c:strRef>
          </c:tx>
          <c:spPr>
            <a:ln w="28575" cap="rnd">
              <a:solidFill>
                <a:srgbClr val="002060"/>
              </a:solidFill>
              <a:round/>
            </a:ln>
            <a:effectLst/>
          </c:spPr>
          <c:marker>
            <c:symbol val="circle"/>
            <c:size val="7"/>
            <c:spPr>
              <a:solidFill>
                <a:srgbClr val="002060"/>
              </a:solidFill>
              <a:ln w="9525">
                <a:solidFill>
                  <a:srgbClr val="002060"/>
                </a:solidFill>
              </a:ln>
              <a:effectLst/>
            </c:spPr>
          </c:marker>
          <c:dLbls>
            <c:dLbl>
              <c:idx val="0"/>
              <c:delete val="1"/>
              <c:extLst xmlns:c16r2="http://schemas.microsoft.com/office/drawing/2015/06/chart">
                <c:ext xmlns:c16="http://schemas.microsoft.com/office/drawing/2014/chart" uri="{C3380CC4-5D6E-409C-BE32-E72D297353CC}">
                  <c16:uniqueId val="{00000000-1FF5-41F6-BD7C-44FB59F638E8}"/>
                </c:ext>
                <c:ext xmlns:c15="http://schemas.microsoft.com/office/drawing/2012/chart" uri="{CE6537A1-D6FC-4f65-9D91-7224C49458BB}"/>
              </c:extLst>
            </c:dLbl>
            <c:spPr>
              <a:solidFill>
                <a:schemeClr val="bg1"/>
              </a:solidFill>
              <a:ln>
                <a:solidFill>
                  <a:schemeClr val="tx1"/>
                </a:solidFill>
              </a:ln>
              <a:effectLst/>
            </c:spPr>
            <c:txPr>
              <a:bodyPr rot="0" spcFirstLastPara="1" vertOverflow="ellipsis" vert="horz" wrap="square" anchor="ctr" anchorCtr="1"/>
              <a:lstStyle/>
              <a:p>
                <a:pPr>
                  <a:defRPr sz="12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0</c:v>
                </c:pt>
                <c:pt idx="1">
                  <c:v>12</c:v>
                </c:pt>
                <c:pt idx="2">
                  <c:v>24</c:v>
                </c:pt>
                <c:pt idx="3">
                  <c:v>36</c:v>
                </c:pt>
                <c:pt idx="4">
                  <c:v>48</c:v>
                </c:pt>
                <c:pt idx="5">
                  <c:v>60</c:v>
                </c:pt>
              </c:numCache>
            </c:numRef>
          </c:cat>
          <c:val>
            <c:numRef>
              <c:f>Лист1!$B$2:$B$7</c:f>
              <c:numCache>
                <c:formatCode>0.0</c:formatCode>
                <c:ptCount val="6"/>
                <c:pt idx="0">
                  <c:v>100</c:v>
                </c:pt>
                <c:pt idx="1">
                  <c:v>94.520547945205479</c:v>
                </c:pt>
                <c:pt idx="2">
                  <c:v>84.93150684931507</c:v>
                </c:pt>
                <c:pt idx="3">
                  <c:v>64.383561643835606</c:v>
                </c:pt>
                <c:pt idx="4">
                  <c:v>53.424657534246563</c:v>
                </c:pt>
                <c:pt idx="5">
                  <c:v>50.68493150684931</c:v>
                </c:pt>
              </c:numCache>
            </c:numRef>
          </c:val>
          <c:smooth val="0"/>
          <c:extLst xmlns:c16r2="http://schemas.microsoft.com/office/drawing/2015/06/chart">
            <c:ext xmlns:c16="http://schemas.microsoft.com/office/drawing/2014/chart" uri="{C3380CC4-5D6E-409C-BE32-E72D297353CC}">
              <c16:uniqueId val="{00000001-1FF5-41F6-BD7C-44FB59F638E8}"/>
            </c:ext>
          </c:extLst>
        </c:ser>
        <c:ser>
          <c:idx val="1"/>
          <c:order val="1"/>
          <c:tx>
            <c:strRef>
              <c:f>Лист1!$C$1</c:f>
              <c:strCache>
                <c:ptCount val="1"/>
                <c:pt idx="0">
                  <c:v>женщины</c:v>
                </c:pt>
              </c:strCache>
            </c:strRef>
          </c:tx>
          <c:spPr>
            <a:ln w="28575" cap="rnd">
              <a:solidFill>
                <a:srgbClr val="C00000"/>
              </a:solidFill>
              <a:round/>
            </a:ln>
            <a:effectLst/>
          </c:spPr>
          <c:marker>
            <c:symbol val="circle"/>
            <c:size val="7"/>
            <c:spPr>
              <a:solidFill>
                <a:srgbClr val="C00000"/>
              </a:solidFill>
              <a:ln w="9525">
                <a:solidFill>
                  <a:srgbClr val="C00000"/>
                </a:solidFill>
              </a:ln>
              <a:effectLst/>
            </c:spPr>
          </c:marker>
          <c:dLbls>
            <c:dLbl>
              <c:idx val="0"/>
              <c:delete val="1"/>
              <c:extLst xmlns:c16r2="http://schemas.microsoft.com/office/drawing/2015/06/chart">
                <c:ext xmlns:c16="http://schemas.microsoft.com/office/drawing/2014/chart" uri="{C3380CC4-5D6E-409C-BE32-E72D297353CC}">
                  <c16:uniqueId val="{00000002-1FF5-41F6-BD7C-44FB59F638E8}"/>
                </c:ext>
                <c:ext xmlns:c15="http://schemas.microsoft.com/office/drawing/2012/chart" uri="{CE6537A1-D6FC-4f65-9D91-7224C49458BB}"/>
              </c:extLst>
            </c:dLbl>
            <c:spPr>
              <a:solidFill>
                <a:schemeClr val="bg1"/>
              </a:solidFill>
              <a:ln>
                <a:solidFill>
                  <a:schemeClr val="tx1"/>
                </a:solidFill>
              </a:ln>
              <a:effectLst/>
            </c:spPr>
            <c:txPr>
              <a:bodyPr rot="0" spcFirstLastPara="1" vertOverflow="ellipsis" vert="horz" wrap="square" anchor="ctr" anchorCtr="1"/>
              <a:lstStyle/>
              <a:p>
                <a:pPr>
                  <a:defRPr sz="1200" b="0"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0</c:v>
                </c:pt>
                <c:pt idx="1">
                  <c:v>12</c:v>
                </c:pt>
                <c:pt idx="2">
                  <c:v>24</c:v>
                </c:pt>
                <c:pt idx="3">
                  <c:v>36</c:v>
                </c:pt>
                <c:pt idx="4">
                  <c:v>48</c:v>
                </c:pt>
                <c:pt idx="5">
                  <c:v>60</c:v>
                </c:pt>
              </c:numCache>
            </c:numRef>
          </c:cat>
          <c:val>
            <c:numRef>
              <c:f>Лист1!$C$2:$C$7</c:f>
              <c:numCache>
                <c:formatCode>0.0</c:formatCode>
                <c:ptCount val="6"/>
                <c:pt idx="0">
                  <c:v>100</c:v>
                </c:pt>
                <c:pt idx="1">
                  <c:v>85.714285714285722</c:v>
                </c:pt>
                <c:pt idx="2">
                  <c:v>75.324675324675326</c:v>
                </c:pt>
                <c:pt idx="3">
                  <c:v>55.84415584415585</c:v>
                </c:pt>
                <c:pt idx="4">
                  <c:v>50.649350649350652</c:v>
                </c:pt>
                <c:pt idx="5">
                  <c:v>48.05194805194806</c:v>
                </c:pt>
              </c:numCache>
            </c:numRef>
          </c:val>
          <c:smooth val="0"/>
          <c:extLst xmlns:c16r2="http://schemas.microsoft.com/office/drawing/2015/06/chart">
            <c:ext xmlns:c16="http://schemas.microsoft.com/office/drawing/2014/chart" uri="{C3380CC4-5D6E-409C-BE32-E72D297353CC}">
              <c16:uniqueId val="{00000003-1FF5-41F6-BD7C-44FB59F638E8}"/>
            </c:ext>
          </c:extLst>
        </c:ser>
        <c:dLbls>
          <c:showLegendKey val="0"/>
          <c:showVal val="0"/>
          <c:showCatName val="0"/>
          <c:showSerName val="0"/>
          <c:showPercent val="0"/>
          <c:showBubbleSize val="0"/>
        </c:dLbls>
        <c:marker val="1"/>
        <c:smooth val="0"/>
        <c:axId val="-696107072"/>
        <c:axId val="-696109248"/>
      </c:lineChart>
      <c:catAx>
        <c:axId val="-696107072"/>
        <c:scaling>
          <c:orientation val="minMax"/>
        </c:scaling>
        <c:delete val="0"/>
        <c:axPos val="b"/>
        <c:title>
          <c:tx>
            <c:rich>
              <a:bodyPr rot="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i="1"/>
                  <a:t>месяцы</a:t>
                </a:r>
              </a:p>
            </c:rich>
          </c:tx>
          <c:layout>
            <c:manualLayout>
              <c:xMode val="edge"/>
              <c:yMode val="edge"/>
              <c:x val="0.86268601880551876"/>
              <c:y val="0.84500041669624693"/>
            </c:manualLayout>
          </c:layout>
          <c:overlay val="0"/>
          <c:spPr>
            <a:noFill/>
            <a:ln>
              <a:noFill/>
            </a:ln>
            <a:effectLst/>
          </c:spPr>
          <c:txPr>
            <a:bodyPr rot="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96109248"/>
        <c:crosses val="autoZero"/>
        <c:auto val="1"/>
        <c:lblAlgn val="ctr"/>
        <c:lblOffset val="100"/>
        <c:noMultiLvlLbl val="0"/>
      </c:catAx>
      <c:valAx>
        <c:axId val="-696109248"/>
        <c:scaling>
          <c:orientation val="minMax"/>
          <c:max val="100"/>
        </c:scaling>
        <c:delete val="0"/>
        <c:axPos val="l"/>
        <c:majorGridlines>
          <c:spPr>
            <a:ln w="9525" cap="flat" cmpd="sng" algn="ctr">
              <a:solidFill>
                <a:schemeClr val="bg1">
                  <a:lumMod val="65000"/>
                </a:schemeClr>
              </a:solidFill>
              <a:round/>
            </a:ln>
            <a:effectLst/>
          </c:spPr>
        </c:majorGridlines>
        <c:title>
          <c:tx>
            <c:rich>
              <a:bodyPr rot="-540000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i="1"/>
                  <a:t>выживаемость,</a:t>
                </a:r>
                <a:r>
                  <a:rPr lang="ru-RU" b="1" i="1" baseline="0"/>
                  <a:t> %</a:t>
                </a:r>
                <a:endParaRPr lang="ru-RU" b="1" i="1"/>
              </a:p>
            </c:rich>
          </c:tx>
          <c:layout>
            <c:manualLayout>
              <c:xMode val="edge"/>
              <c:yMode val="edge"/>
              <c:x val="5.092592592592593E-3"/>
              <c:y val="0.22444038245219347"/>
            </c:manualLayout>
          </c:layout>
          <c:overlay val="0"/>
          <c:spPr>
            <a:noFill/>
            <a:ln>
              <a:noFill/>
            </a:ln>
            <a:effectLst/>
          </c:spPr>
          <c:txPr>
            <a:bodyPr rot="-540000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96107072"/>
        <c:crosses val="autoZero"/>
        <c:crossBetween val="midCat"/>
        <c:majorUnit val="25"/>
      </c:valAx>
      <c:spPr>
        <a:noFill/>
        <a:ln w="9525">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125"/>
          <c:y val="7.0019997500312472E-2"/>
          <c:w val="0.85252314814814834"/>
          <c:h val="0.69980461575976072"/>
        </c:manualLayout>
      </c:layout>
      <c:lineChart>
        <c:grouping val="standard"/>
        <c:varyColors val="0"/>
        <c:ser>
          <c:idx val="0"/>
          <c:order val="0"/>
          <c:tx>
            <c:strRef>
              <c:f>Лист1!$B$1</c:f>
              <c:strCache>
                <c:ptCount val="1"/>
                <c:pt idx="0">
                  <c:v>аденокарцинома</c:v>
                </c:pt>
              </c:strCache>
            </c:strRef>
          </c:tx>
          <c:spPr>
            <a:ln w="28575" cap="rnd">
              <a:solidFill>
                <a:srgbClr val="002060"/>
              </a:solidFill>
              <a:round/>
            </a:ln>
            <a:effectLst/>
          </c:spPr>
          <c:marker>
            <c:symbol val="circle"/>
            <c:size val="7"/>
            <c:spPr>
              <a:solidFill>
                <a:srgbClr val="002060"/>
              </a:solidFill>
              <a:ln w="9525">
                <a:solidFill>
                  <a:srgbClr val="002060"/>
                </a:solidFill>
              </a:ln>
              <a:effectLst/>
            </c:spPr>
          </c:marker>
          <c:dLbls>
            <c:dLbl>
              <c:idx val="0"/>
              <c:delete val="1"/>
              <c:extLst xmlns:c16r2="http://schemas.microsoft.com/office/drawing/2015/06/chart">
                <c:ext xmlns:c16="http://schemas.microsoft.com/office/drawing/2014/chart" uri="{C3380CC4-5D6E-409C-BE32-E72D297353CC}">
                  <c16:uniqueId val="{00000000-1CB2-4628-9937-5A077B4E8A95}"/>
                </c:ext>
                <c:ext xmlns:c15="http://schemas.microsoft.com/office/drawing/2012/chart" uri="{CE6537A1-D6FC-4f65-9D91-7224C49458BB}"/>
              </c:extLst>
            </c:dLbl>
            <c:spPr>
              <a:solidFill>
                <a:schemeClr val="bg1"/>
              </a:solidFill>
              <a:ln>
                <a:solidFill>
                  <a:schemeClr val="tx1"/>
                </a:solidFill>
              </a:ln>
              <a:effectLst/>
            </c:spPr>
            <c:txPr>
              <a:bodyPr rot="0" spcFirstLastPara="1" vertOverflow="ellipsis" vert="horz" wrap="square" anchor="ctr" anchorCtr="1">
                <a:spAutoFit/>
              </a:bodyPr>
              <a:lstStyle/>
              <a:p>
                <a:pPr>
                  <a:defRPr sz="12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0</c:v>
                </c:pt>
                <c:pt idx="1">
                  <c:v>12</c:v>
                </c:pt>
                <c:pt idx="2">
                  <c:v>24</c:v>
                </c:pt>
                <c:pt idx="3">
                  <c:v>36</c:v>
                </c:pt>
                <c:pt idx="4">
                  <c:v>48</c:v>
                </c:pt>
                <c:pt idx="5">
                  <c:v>60</c:v>
                </c:pt>
              </c:numCache>
            </c:numRef>
          </c:cat>
          <c:val>
            <c:numRef>
              <c:f>Лист1!$B$2:$B$7</c:f>
              <c:numCache>
                <c:formatCode>0.0</c:formatCode>
                <c:ptCount val="6"/>
                <c:pt idx="0">
                  <c:v>100</c:v>
                </c:pt>
                <c:pt idx="1">
                  <c:v>95.294117647058812</c:v>
                </c:pt>
                <c:pt idx="2">
                  <c:v>87.058823529411768</c:v>
                </c:pt>
                <c:pt idx="3">
                  <c:v>67.058823529411768</c:v>
                </c:pt>
                <c:pt idx="4">
                  <c:v>58.823529411764717</c:v>
                </c:pt>
                <c:pt idx="5">
                  <c:v>55.29411764705884</c:v>
                </c:pt>
              </c:numCache>
            </c:numRef>
          </c:val>
          <c:smooth val="0"/>
          <c:extLst xmlns:c16r2="http://schemas.microsoft.com/office/drawing/2015/06/chart">
            <c:ext xmlns:c16="http://schemas.microsoft.com/office/drawing/2014/chart" uri="{C3380CC4-5D6E-409C-BE32-E72D297353CC}">
              <c16:uniqueId val="{00000001-1CB2-4628-9937-5A077B4E8A95}"/>
            </c:ext>
          </c:extLst>
        </c:ser>
        <c:ser>
          <c:idx val="1"/>
          <c:order val="1"/>
          <c:tx>
            <c:strRef>
              <c:f>Лист1!$C$1</c:f>
              <c:strCache>
                <c:ptCount val="1"/>
                <c:pt idx="0">
                  <c:v>недифференцированная</c:v>
                </c:pt>
              </c:strCache>
            </c:strRef>
          </c:tx>
          <c:spPr>
            <a:ln w="28575" cap="rnd">
              <a:solidFill>
                <a:srgbClr val="FF0000"/>
              </a:solidFill>
              <a:round/>
            </a:ln>
            <a:effectLst/>
          </c:spPr>
          <c:marker>
            <c:symbol val="circle"/>
            <c:size val="7"/>
            <c:spPr>
              <a:solidFill>
                <a:srgbClr val="FF0000"/>
              </a:solidFill>
              <a:ln w="9525">
                <a:solidFill>
                  <a:srgbClr val="FF0000"/>
                </a:solidFill>
              </a:ln>
              <a:effectLst/>
            </c:spPr>
          </c:marker>
          <c:dLbls>
            <c:dLbl>
              <c:idx val="0"/>
              <c:delete val="1"/>
              <c:extLst xmlns:c16r2="http://schemas.microsoft.com/office/drawing/2015/06/chart">
                <c:ext xmlns:c16="http://schemas.microsoft.com/office/drawing/2014/chart" uri="{C3380CC4-5D6E-409C-BE32-E72D297353CC}">
                  <c16:uniqueId val="{00000002-1CB2-4628-9937-5A077B4E8A95}"/>
                </c:ext>
                <c:ext xmlns:c15="http://schemas.microsoft.com/office/drawing/2012/chart" uri="{CE6537A1-D6FC-4f65-9D91-7224C49458BB}"/>
              </c:extLst>
            </c:dLbl>
            <c:spPr>
              <a:solidFill>
                <a:schemeClr val="bg1"/>
              </a:solidFill>
              <a:ln>
                <a:solidFill>
                  <a:schemeClr val="tx1"/>
                </a:solidFill>
              </a:ln>
              <a:effectLst/>
            </c:spPr>
            <c:txPr>
              <a:bodyPr rot="0" spcFirstLastPara="1" vertOverflow="ellipsis" vert="horz" wrap="square" anchor="ctr" anchorCtr="1">
                <a:spAutoFit/>
              </a:bodyPr>
              <a:lstStyle/>
              <a:p>
                <a:pPr>
                  <a:defRPr sz="1200" b="0"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0</c:v>
                </c:pt>
                <c:pt idx="1">
                  <c:v>12</c:v>
                </c:pt>
                <c:pt idx="2">
                  <c:v>24</c:v>
                </c:pt>
                <c:pt idx="3">
                  <c:v>36</c:v>
                </c:pt>
                <c:pt idx="4">
                  <c:v>48</c:v>
                </c:pt>
                <c:pt idx="5">
                  <c:v>60</c:v>
                </c:pt>
              </c:numCache>
            </c:numRef>
          </c:cat>
          <c:val>
            <c:numRef>
              <c:f>Лист1!$C$2:$C$7</c:f>
              <c:numCache>
                <c:formatCode>0.0</c:formatCode>
                <c:ptCount val="6"/>
                <c:pt idx="0">
                  <c:v>100</c:v>
                </c:pt>
                <c:pt idx="1">
                  <c:v>60</c:v>
                </c:pt>
                <c:pt idx="2">
                  <c:v>54.999999999999993</c:v>
                </c:pt>
                <c:pt idx="3">
                  <c:v>40</c:v>
                </c:pt>
                <c:pt idx="4">
                  <c:v>35</c:v>
                </c:pt>
                <c:pt idx="5">
                  <c:v>35</c:v>
                </c:pt>
              </c:numCache>
            </c:numRef>
          </c:val>
          <c:smooth val="0"/>
          <c:extLst xmlns:c16r2="http://schemas.microsoft.com/office/drawing/2015/06/chart">
            <c:ext xmlns:c16="http://schemas.microsoft.com/office/drawing/2014/chart" uri="{C3380CC4-5D6E-409C-BE32-E72D297353CC}">
              <c16:uniqueId val="{00000003-1CB2-4628-9937-5A077B4E8A95}"/>
            </c:ext>
          </c:extLst>
        </c:ser>
        <c:ser>
          <c:idx val="2"/>
          <c:order val="2"/>
          <c:tx>
            <c:strRef>
              <c:f>Лист1!$D$1</c:f>
              <c:strCache>
                <c:ptCount val="1"/>
                <c:pt idx="0">
                  <c:v>перстневидно-клеточная</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xmlns:c16r2="http://schemas.microsoft.com/office/drawing/2015/06/chart">
                <c:ext xmlns:c16="http://schemas.microsoft.com/office/drawing/2014/chart" uri="{C3380CC4-5D6E-409C-BE32-E72D297353CC}">
                  <c16:uniqueId val="{00000004-1CB2-4628-9937-5A077B4E8A95}"/>
                </c:ext>
                <c:ext xmlns:c15="http://schemas.microsoft.com/office/drawing/2012/chart" uri="{CE6537A1-D6FC-4f65-9D91-7224C49458BB}"/>
              </c:extLst>
            </c:dLbl>
            <c:dLbl>
              <c:idx val="1"/>
              <c:dLblPos val="b"/>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CB2-4628-9937-5A077B4E8A95}"/>
                </c:ext>
                <c:ext xmlns:c15="http://schemas.microsoft.com/office/drawing/2012/chart" uri="{CE6537A1-D6FC-4f65-9D91-7224C49458BB}"/>
              </c:extLst>
            </c:dLbl>
            <c:dLbl>
              <c:idx val="2"/>
              <c:dLblPos val="b"/>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CB2-4628-9937-5A077B4E8A95}"/>
                </c:ext>
                <c:ext xmlns:c15="http://schemas.microsoft.com/office/drawing/2012/chart" uri="{CE6537A1-D6FC-4f65-9D91-7224C49458BB}"/>
              </c:extLst>
            </c:dLbl>
            <c:dLbl>
              <c:idx val="3"/>
              <c:dLblPos val="b"/>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CB2-4628-9937-5A077B4E8A95}"/>
                </c:ext>
                <c:ext xmlns:c15="http://schemas.microsoft.com/office/drawing/2012/chart" uri="{CE6537A1-D6FC-4f65-9D91-7224C49458BB}"/>
              </c:extLst>
            </c:dLbl>
            <c:dLbl>
              <c:idx val="4"/>
              <c:dLblPos val="b"/>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CB2-4628-9937-5A077B4E8A95}"/>
                </c:ext>
                <c:ext xmlns:c15="http://schemas.microsoft.com/office/drawing/2012/chart" uri="{CE6537A1-D6FC-4f65-9D91-7224C49458BB}"/>
              </c:extLst>
            </c:dLbl>
            <c:dLbl>
              <c:idx val="5"/>
              <c:layout>
                <c:manualLayout>
                  <c:x val="-8.6245876827704491E-3"/>
                  <c:y val="4.664837318698549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CB2-4628-9937-5A077B4E8A95}"/>
                </c:ext>
                <c:ext xmlns:c15="http://schemas.microsoft.com/office/drawing/2012/chart" uri="{CE6537A1-D6FC-4f65-9D91-7224C49458BB}"/>
              </c:extLst>
            </c:dLbl>
            <c:spPr>
              <a:solidFill>
                <a:schemeClr val="bg1"/>
              </a:solidFill>
              <a:ln>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00B050"/>
                    </a:solidFill>
                    <a:latin typeface="Times New Roman" panose="02020603050405020304" pitchFamily="18" charset="0"/>
                    <a:ea typeface="+mn-ea"/>
                    <a:cs typeface="Times New Roman" panose="02020603050405020304" pitchFamily="18" charset="0"/>
                  </a:defRPr>
                </a:pPr>
                <a:endParaRPr lang="ru-RU"/>
              </a:p>
            </c:txPr>
            <c:dLblPos val="l"/>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0</c:v>
                </c:pt>
                <c:pt idx="1">
                  <c:v>12</c:v>
                </c:pt>
                <c:pt idx="2">
                  <c:v>24</c:v>
                </c:pt>
                <c:pt idx="3">
                  <c:v>36</c:v>
                </c:pt>
                <c:pt idx="4">
                  <c:v>48</c:v>
                </c:pt>
                <c:pt idx="5">
                  <c:v>60</c:v>
                </c:pt>
              </c:numCache>
            </c:numRef>
          </c:cat>
          <c:val>
            <c:numRef>
              <c:f>Лист1!$D$2:$D$7</c:f>
              <c:numCache>
                <c:formatCode>0.0</c:formatCode>
                <c:ptCount val="6"/>
                <c:pt idx="0">
                  <c:v>100</c:v>
                </c:pt>
                <c:pt idx="1">
                  <c:v>93.333333333333329</c:v>
                </c:pt>
                <c:pt idx="2">
                  <c:v>77.777777777777786</c:v>
                </c:pt>
                <c:pt idx="3">
                  <c:v>55.555555555555557</c:v>
                </c:pt>
                <c:pt idx="4">
                  <c:v>46.666666666666664</c:v>
                </c:pt>
                <c:pt idx="5">
                  <c:v>44.444444444444443</c:v>
                </c:pt>
              </c:numCache>
            </c:numRef>
          </c:val>
          <c:smooth val="0"/>
          <c:extLst xmlns:c16r2="http://schemas.microsoft.com/office/drawing/2015/06/chart">
            <c:ext xmlns:c16="http://schemas.microsoft.com/office/drawing/2014/chart" uri="{C3380CC4-5D6E-409C-BE32-E72D297353CC}">
              <c16:uniqueId val="{0000000A-1CB2-4628-9937-5A077B4E8A95}"/>
            </c:ext>
          </c:extLst>
        </c:ser>
        <c:dLbls>
          <c:showLegendKey val="0"/>
          <c:showVal val="0"/>
          <c:showCatName val="0"/>
          <c:showSerName val="0"/>
          <c:showPercent val="0"/>
          <c:showBubbleSize val="0"/>
        </c:dLbls>
        <c:marker val="1"/>
        <c:smooth val="0"/>
        <c:axId val="-696110880"/>
        <c:axId val="-696107616"/>
      </c:lineChart>
      <c:catAx>
        <c:axId val="-696110880"/>
        <c:scaling>
          <c:orientation val="minMax"/>
        </c:scaling>
        <c:delete val="0"/>
        <c:axPos val="b"/>
        <c:title>
          <c:tx>
            <c:rich>
              <a:bodyPr rot="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i="1"/>
                  <a:t>месяцы</a:t>
                </a:r>
              </a:p>
            </c:rich>
          </c:tx>
          <c:layout>
            <c:manualLayout>
              <c:xMode val="edge"/>
              <c:yMode val="edge"/>
              <c:x val="0.85813383944965227"/>
              <c:y val="0.83111643758865439"/>
            </c:manualLayout>
          </c:layout>
          <c:overlay val="0"/>
          <c:spPr>
            <a:noFill/>
            <a:ln>
              <a:noFill/>
            </a:ln>
            <a:effectLst/>
          </c:spPr>
          <c:txPr>
            <a:bodyPr rot="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96107616"/>
        <c:crosses val="autoZero"/>
        <c:auto val="1"/>
        <c:lblAlgn val="ctr"/>
        <c:lblOffset val="100"/>
        <c:noMultiLvlLbl val="0"/>
      </c:catAx>
      <c:valAx>
        <c:axId val="-696107616"/>
        <c:scaling>
          <c:orientation val="minMax"/>
          <c:max val="100"/>
          <c:min val="25"/>
        </c:scaling>
        <c:delete val="0"/>
        <c:axPos val="l"/>
        <c:majorGridlines>
          <c:spPr>
            <a:ln w="9525" cap="flat" cmpd="sng" algn="ctr">
              <a:solidFill>
                <a:schemeClr val="bg1">
                  <a:lumMod val="65000"/>
                </a:schemeClr>
              </a:solidFill>
              <a:round/>
            </a:ln>
            <a:effectLst/>
          </c:spPr>
        </c:majorGridlines>
        <c:title>
          <c:tx>
            <c:rich>
              <a:bodyPr rot="-540000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i="1"/>
                  <a:t>выживаемость,</a:t>
                </a:r>
                <a:r>
                  <a:rPr lang="ru-RU" b="1" i="1" baseline="0"/>
                  <a:t> %</a:t>
                </a:r>
                <a:endParaRPr lang="ru-RU" b="1" i="1"/>
              </a:p>
            </c:rich>
          </c:tx>
          <c:layout>
            <c:manualLayout>
              <c:xMode val="edge"/>
              <c:yMode val="edge"/>
              <c:x val="5.092592592592593E-3"/>
              <c:y val="0.22444038245219347"/>
            </c:manualLayout>
          </c:layout>
          <c:overlay val="0"/>
          <c:spPr>
            <a:noFill/>
            <a:ln>
              <a:noFill/>
            </a:ln>
            <a:effectLst/>
          </c:spPr>
          <c:txPr>
            <a:bodyPr rot="-540000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96110880"/>
        <c:crosses val="autoZero"/>
        <c:crossBetween val="midCat"/>
        <c:majorUnit val="25"/>
      </c:valAx>
      <c:spPr>
        <a:noFill/>
        <a:ln w="9525">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125"/>
          <c:y val="7.0019997500312472E-2"/>
          <c:w val="0.85252314814814834"/>
          <c:h val="0.69980461575976072"/>
        </c:manualLayout>
      </c:layout>
      <c:lineChart>
        <c:grouping val="standard"/>
        <c:varyColors val="0"/>
        <c:ser>
          <c:idx val="0"/>
          <c:order val="0"/>
          <c:tx>
            <c:strRef>
              <c:f>Лист1!$B$1</c:f>
              <c:strCache>
                <c:ptCount val="1"/>
                <c:pt idx="0">
                  <c:v>I стадия</c:v>
                </c:pt>
              </c:strCache>
            </c:strRef>
          </c:tx>
          <c:spPr>
            <a:ln w="28575" cap="rnd">
              <a:solidFill>
                <a:srgbClr val="002060"/>
              </a:solidFill>
              <a:round/>
            </a:ln>
            <a:effectLst/>
          </c:spPr>
          <c:marker>
            <c:symbol val="circle"/>
            <c:size val="7"/>
            <c:spPr>
              <a:solidFill>
                <a:srgbClr val="002060"/>
              </a:solidFill>
              <a:ln w="9525">
                <a:solidFill>
                  <a:srgbClr val="002060"/>
                </a:solidFill>
              </a:ln>
              <a:effectLst/>
            </c:spPr>
          </c:marker>
          <c:dLbls>
            <c:dLbl>
              <c:idx val="0"/>
              <c:delete val="1"/>
              <c:extLst xmlns:c16r2="http://schemas.microsoft.com/office/drawing/2015/06/chart">
                <c:ext xmlns:c16="http://schemas.microsoft.com/office/drawing/2014/chart" uri="{C3380CC4-5D6E-409C-BE32-E72D297353CC}">
                  <c16:uniqueId val="{00000000-A2E5-4DC8-B447-48BF09E36F82}"/>
                </c:ext>
                <c:ext xmlns:c15="http://schemas.microsoft.com/office/drawing/2012/chart" uri="{CE6537A1-D6FC-4f65-9D91-7224C49458BB}"/>
              </c:extLst>
            </c:dLbl>
            <c:spPr>
              <a:solidFill>
                <a:schemeClr val="bg1"/>
              </a:solidFill>
              <a:ln>
                <a:solidFill>
                  <a:schemeClr val="tx1"/>
                </a:solidFill>
              </a:ln>
              <a:effectLst/>
            </c:spPr>
            <c:txPr>
              <a:bodyPr rot="0" spcFirstLastPara="1" vertOverflow="ellipsis" vert="horz" wrap="square" anchor="ctr" anchorCtr="1"/>
              <a:lstStyle/>
              <a:p>
                <a:pPr>
                  <a:defRPr sz="12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0</c:v>
                </c:pt>
                <c:pt idx="1">
                  <c:v>12</c:v>
                </c:pt>
                <c:pt idx="2">
                  <c:v>24</c:v>
                </c:pt>
                <c:pt idx="3">
                  <c:v>36</c:v>
                </c:pt>
                <c:pt idx="4">
                  <c:v>48</c:v>
                </c:pt>
                <c:pt idx="5">
                  <c:v>60</c:v>
                </c:pt>
              </c:numCache>
            </c:numRef>
          </c:cat>
          <c:val>
            <c:numRef>
              <c:f>Лист1!$B$2:$B$7</c:f>
              <c:numCache>
                <c:formatCode>0.0</c:formatCode>
                <c:ptCount val="6"/>
                <c:pt idx="0">
                  <c:v>100</c:v>
                </c:pt>
                <c:pt idx="1">
                  <c:v>100</c:v>
                </c:pt>
                <c:pt idx="2">
                  <c:v>100</c:v>
                </c:pt>
                <c:pt idx="3">
                  <c:v>93.333333333333329</c:v>
                </c:pt>
                <c:pt idx="4">
                  <c:v>93.333333333333329</c:v>
                </c:pt>
                <c:pt idx="5">
                  <c:v>93.333333333333329</c:v>
                </c:pt>
              </c:numCache>
            </c:numRef>
          </c:val>
          <c:smooth val="0"/>
          <c:extLst xmlns:c16r2="http://schemas.microsoft.com/office/drawing/2015/06/chart">
            <c:ext xmlns:c16="http://schemas.microsoft.com/office/drawing/2014/chart" uri="{C3380CC4-5D6E-409C-BE32-E72D297353CC}">
              <c16:uniqueId val="{00000001-A2E5-4DC8-B447-48BF09E36F82}"/>
            </c:ext>
          </c:extLst>
        </c:ser>
        <c:ser>
          <c:idx val="1"/>
          <c:order val="1"/>
          <c:tx>
            <c:strRef>
              <c:f>Лист1!$C$1</c:f>
              <c:strCache>
                <c:ptCount val="1"/>
                <c:pt idx="0">
                  <c:v>II стадия</c:v>
                </c:pt>
              </c:strCache>
            </c:strRef>
          </c:tx>
          <c:spPr>
            <a:ln w="28575" cap="rnd">
              <a:solidFill>
                <a:srgbClr val="00B050"/>
              </a:solidFill>
              <a:round/>
            </a:ln>
            <a:effectLst/>
          </c:spPr>
          <c:marker>
            <c:symbol val="circle"/>
            <c:size val="7"/>
            <c:spPr>
              <a:solidFill>
                <a:srgbClr val="00B050"/>
              </a:solidFill>
              <a:ln w="9525">
                <a:solidFill>
                  <a:srgbClr val="00B050"/>
                </a:solidFill>
              </a:ln>
              <a:effectLst/>
            </c:spPr>
          </c:marker>
          <c:dLbls>
            <c:dLbl>
              <c:idx val="0"/>
              <c:delete val="1"/>
              <c:extLst xmlns:c16r2="http://schemas.microsoft.com/office/drawing/2015/06/chart">
                <c:ext xmlns:c16="http://schemas.microsoft.com/office/drawing/2014/chart" uri="{C3380CC4-5D6E-409C-BE32-E72D297353CC}">
                  <c16:uniqueId val="{00000002-A2E5-4DC8-B447-48BF09E36F82}"/>
                </c:ext>
                <c:ext xmlns:c15="http://schemas.microsoft.com/office/drawing/2012/chart" uri="{CE6537A1-D6FC-4f65-9D91-7224C49458BB}"/>
              </c:extLst>
            </c:dLbl>
            <c:dLbl>
              <c:idx val="1"/>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2E5-4DC8-B447-48BF09E36F82}"/>
                </c:ext>
                <c:ext xmlns:c15="http://schemas.microsoft.com/office/drawing/2012/chart" uri="{CE6537A1-D6FC-4f65-9D91-7224C49458BB}"/>
              </c:extLst>
            </c:dLbl>
            <c:dLbl>
              <c:idx val="2"/>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2E5-4DC8-B447-48BF09E36F82}"/>
                </c:ext>
                <c:ext xmlns:c15="http://schemas.microsoft.com/office/drawing/2012/chart" uri="{CE6537A1-D6FC-4f65-9D91-7224C49458BB}"/>
              </c:extLst>
            </c:dLbl>
            <c:dLbl>
              <c:idx val="3"/>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2E5-4DC8-B447-48BF09E36F82}"/>
                </c:ext>
                <c:ext xmlns:c15="http://schemas.microsoft.com/office/drawing/2012/chart" uri="{CE6537A1-D6FC-4f65-9D91-7224C49458BB}"/>
              </c:extLst>
            </c:dLbl>
            <c:dLbl>
              <c:idx val="4"/>
              <c:dLblPos val="b"/>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2E5-4DC8-B447-48BF09E36F82}"/>
                </c:ext>
                <c:ext xmlns:c15="http://schemas.microsoft.com/office/drawing/2012/chart" uri="{CE6537A1-D6FC-4f65-9D91-7224C49458BB}"/>
              </c:extLst>
            </c:dLbl>
            <c:dLbl>
              <c:idx val="5"/>
              <c:dLblPos val="b"/>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2E5-4DC8-B447-48BF09E36F82}"/>
                </c:ext>
                <c:ext xmlns:c15="http://schemas.microsoft.com/office/drawing/2012/chart" uri="{CE6537A1-D6FC-4f65-9D91-7224C49458BB}"/>
              </c:extLst>
            </c:dLbl>
            <c:spPr>
              <a:solidFill>
                <a:schemeClr val="bg1"/>
              </a:solidFill>
              <a:ln>
                <a:solidFill>
                  <a:schemeClr val="tx1"/>
                </a:solidFill>
              </a:ln>
              <a:effectLst/>
            </c:spPr>
            <c:txPr>
              <a:bodyPr rot="0" spcFirstLastPara="1" vertOverflow="ellipsis" vert="horz" wrap="square" anchor="ctr" anchorCtr="1"/>
              <a:lstStyle/>
              <a:p>
                <a:pPr>
                  <a:defRPr sz="1200" b="0" i="0" u="none" strike="noStrike" kern="1200" baseline="0">
                    <a:solidFill>
                      <a:srgbClr val="00B05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0</c:v>
                </c:pt>
                <c:pt idx="1">
                  <c:v>12</c:v>
                </c:pt>
                <c:pt idx="2">
                  <c:v>24</c:v>
                </c:pt>
                <c:pt idx="3">
                  <c:v>36</c:v>
                </c:pt>
                <c:pt idx="4">
                  <c:v>48</c:v>
                </c:pt>
                <c:pt idx="5">
                  <c:v>60</c:v>
                </c:pt>
              </c:numCache>
            </c:numRef>
          </c:cat>
          <c:val>
            <c:numRef>
              <c:f>Лист1!$C$2:$C$7</c:f>
              <c:numCache>
                <c:formatCode>0.0</c:formatCode>
                <c:ptCount val="6"/>
                <c:pt idx="0">
                  <c:v>100</c:v>
                </c:pt>
                <c:pt idx="1">
                  <c:v>92.10526315789474</c:v>
                </c:pt>
                <c:pt idx="2">
                  <c:v>81.578947368421055</c:v>
                </c:pt>
                <c:pt idx="3">
                  <c:v>60.526315789473685</c:v>
                </c:pt>
                <c:pt idx="4">
                  <c:v>42.105263157894733</c:v>
                </c:pt>
                <c:pt idx="5">
                  <c:v>42.105263157894733</c:v>
                </c:pt>
              </c:numCache>
            </c:numRef>
          </c:val>
          <c:smooth val="0"/>
          <c:extLst xmlns:c16r2="http://schemas.microsoft.com/office/drawing/2015/06/chart">
            <c:ext xmlns:c16="http://schemas.microsoft.com/office/drawing/2014/chart" uri="{C3380CC4-5D6E-409C-BE32-E72D297353CC}">
              <c16:uniqueId val="{00000008-A2E5-4DC8-B447-48BF09E36F82}"/>
            </c:ext>
          </c:extLst>
        </c:ser>
        <c:ser>
          <c:idx val="2"/>
          <c:order val="2"/>
          <c:tx>
            <c:strRef>
              <c:f>Лист1!$D$1</c:f>
              <c:strCache>
                <c:ptCount val="1"/>
                <c:pt idx="0">
                  <c:v>III стадия</c:v>
                </c:pt>
              </c:strCache>
            </c:strRef>
          </c:tx>
          <c:spPr>
            <a:ln w="28575" cap="rnd">
              <a:solidFill>
                <a:srgbClr val="C00000"/>
              </a:solidFill>
              <a:round/>
            </a:ln>
            <a:effectLst/>
          </c:spPr>
          <c:marker>
            <c:symbol val="circle"/>
            <c:size val="5"/>
            <c:spPr>
              <a:solidFill>
                <a:srgbClr val="C00000"/>
              </a:solidFill>
              <a:ln w="9525">
                <a:solidFill>
                  <a:srgbClr val="C00000"/>
                </a:solidFill>
              </a:ln>
              <a:effectLst/>
            </c:spPr>
          </c:marker>
          <c:dLbls>
            <c:dLbl>
              <c:idx val="0"/>
              <c:delete val="1"/>
              <c:extLst xmlns:c16r2="http://schemas.microsoft.com/office/drawing/2015/06/chart">
                <c:ext xmlns:c16="http://schemas.microsoft.com/office/drawing/2014/chart" uri="{C3380CC4-5D6E-409C-BE32-E72D297353CC}">
                  <c16:uniqueId val="{00000009-A2E5-4DC8-B447-48BF09E36F82}"/>
                </c:ext>
                <c:ext xmlns:c15="http://schemas.microsoft.com/office/drawing/2012/chart" uri="{CE6537A1-D6FC-4f65-9D91-7224C49458BB}"/>
              </c:extLst>
            </c:dLbl>
            <c:dLbl>
              <c:idx val="1"/>
              <c:dLblPos val="b"/>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2E5-4DC8-B447-48BF09E36F82}"/>
                </c:ext>
                <c:ext xmlns:c15="http://schemas.microsoft.com/office/drawing/2012/chart" uri="{CE6537A1-D6FC-4f65-9D91-7224C49458BB}"/>
              </c:extLst>
            </c:dLbl>
            <c:dLbl>
              <c:idx val="2"/>
              <c:dLblPos val="b"/>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2E5-4DC8-B447-48BF09E36F82}"/>
                </c:ext>
                <c:ext xmlns:c15="http://schemas.microsoft.com/office/drawing/2012/chart" uri="{CE6537A1-D6FC-4f65-9D91-7224C49458BB}"/>
              </c:extLst>
            </c:dLbl>
            <c:dLbl>
              <c:idx val="3"/>
              <c:dLblPos val="b"/>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2E5-4DC8-B447-48BF09E36F82}"/>
                </c:ext>
                <c:ext xmlns:c15="http://schemas.microsoft.com/office/drawing/2012/chart" uri="{CE6537A1-D6FC-4f65-9D91-7224C49458BB}"/>
              </c:extLst>
            </c:dLbl>
            <c:dLbl>
              <c:idx val="4"/>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2E5-4DC8-B447-48BF09E36F82}"/>
                </c:ext>
                <c:ext xmlns:c15="http://schemas.microsoft.com/office/drawing/2012/chart" uri="{CE6537A1-D6FC-4f65-9D91-7224C49458BB}"/>
              </c:extLst>
            </c:dLbl>
            <c:dLbl>
              <c:idx val="5"/>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A2E5-4DC8-B447-48BF09E36F82}"/>
                </c:ext>
                <c:ext xmlns:c15="http://schemas.microsoft.com/office/drawing/2012/chart" uri="{CE6537A1-D6FC-4f65-9D91-7224C49458BB}"/>
              </c:extLst>
            </c:dLbl>
            <c:spPr>
              <a:solidFill>
                <a:schemeClr val="bg1"/>
              </a:solidFill>
              <a:ln>
                <a:solidFill>
                  <a:schemeClr val="tx1"/>
                </a:solidFill>
              </a:ln>
              <a:effectLst/>
            </c:spPr>
            <c:txPr>
              <a:bodyPr rot="0" spcFirstLastPara="1" vertOverflow="ellipsis" vert="horz" wrap="square" lIns="38100" tIns="19050" rIns="38100" bIns="19050" anchor="ctr" anchorCtr="1">
                <a:spAutoFit/>
              </a:bodyPr>
              <a:lstStyle/>
              <a:p>
                <a:pPr>
                  <a:defRPr sz="1200" b="0" i="0" u="none" strike="noStrike" kern="1200" baseline="0">
                    <a:ln>
                      <a:noFill/>
                    </a:ln>
                    <a:solidFill>
                      <a:srgbClr val="C00000"/>
                    </a:solidFill>
                    <a:latin typeface="Times New Roman" panose="02020603050405020304" pitchFamily="18" charset="0"/>
                    <a:ea typeface="+mn-ea"/>
                    <a:cs typeface="Times New Roman" panose="02020603050405020304" pitchFamily="18" charset="0"/>
                  </a:defRPr>
                </a:pPr>
                <a:endParaRPr lang="ru-RU"/>
              </a:p>
            </c:txPr>
            <c:dLblPos val="l"/>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0</c:v>
                </c:pt>
                <c:pt idx="1">
                  <c:v>12</c:v>
                </c:pt>
                <c:pt idx="2">
                  <c:v>24</c:v>
                </c:pt>
                <c:pt idx="3">
                  <c:v>36</c:v>
                </c:pt>
                <c:pt idx="4">
                  <c:v>48</c:v>
                </c:pt>
                <c:pt idx="5">
                  <c:v>60</c:v>
                </c:pt>
              </c:numCache>
            </c:numRef>
          </c:cat>
          <c:val>
            <c:numRef>
              <c:f>Лист1!$D$2:$D$7</c:f>
              <c:numCache>
                <c:formatCode>0.0</c:formatCode>
                <c:ptCount val="6"/>
                <c:pt idx="0">
                  <c:v>100</c:v>
                </c:pt>
                <c:pt idx="1">
                  <c:v>87.628865979381445</c:v>
                </c:pt>
                <c:pt idx="2">
                  <c:v>76.288659793814432</c:v>
                </c:pt>
                <c:pt idx="3">
                  <c:v>54.639175257731956</c:v>
                </c:pt>
                <c:pt idx="4">
                  <c:v>49.484536082474222</c:v>
                </c:pt>
                <c:pt idx="5">
                  <c:v>45.360824742268036</c:v>
                </c:pt>
              </c:numCache>
            </c:numRef>
          </c:val>
          <c:smooth val="0"/>
          <c:extLst xmlns:c16r2="http://schemas.microsoft.com/office/drawing/2015/06/chart">
            <c:ext xmlns:c16="http://schemas.microsoft.com/office/drawing/2014/chart" uri="{C3380CC4-5D6E-409C-BE32-E72D297353CC}">
              <c16:uniqueId val="{0000000F-A2E5-4DC8-B447-48BF09E36F82}"/>
            </c:ext>
          </c:extLst>
        </c:ser>
        <c:dLbls>
          <c:showLegendKey val="0"/>
          <c:showVal val="0"/>
          <c:showCatName val="0"/>
          <c:showSerName val="0"/>
          <c:showPercent val="0"/>
          <c:showBubbleSize val="0"/>
        </c:dLbls>
        <c:marker val="1"/>
        <c:smooth val="0"/>
        <c:axId val="-886920256"/>
        <c:axId val="-886919712"/>
      </c:lineChart>
      <c:catAx>
        <c:axId val="-886920256"/>
        <c:scaling>
          <c:orientation val="minMax"/>
        </c:scaling>
        <c:delete val="0"/>
        <c:axPos val="b"/>
        <c:title>
          <c:tx>
            <c:rich>
              <a:bodyPr rot="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i="1"/>
                  <a:t>месяцы</a:t>
                </a:r>
              </a:p>
            </c:rich>
          </c:tx>
          <c:layout>
            <c:manualLayout>
              <c:xMode val="edge"/>
              <c:yMode val="edge"/>
              <c:x val="0.86268601880551876"/>
              <c:y val="0.84500041669624693"/>
            </c:manualLayout>
          </c:layout>
          <c:overlay val="0"/>
          <c:spPr>
            <a:noFill/>
            <a:ln>
              <a:noFill/>
            </a:ln>
            <a:effectLst/>
          </c:spPr>
          <c:txPr>
            <a:bodyPr rot="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86919712"/>
        <c:crosses val="autoZero"/>
        <c:auto val="1"/>
        <c:lblAlgn val="ctr"/>
        <c:lblOffset val="100"/>
        <c:noMultiLvlLbl val="0"/>
      </c:catAx>
      <c:valAx>
        <c:axId val="-886919712"/>
        <c:scaling>
          <c:orientation val="minMax"/>
          <c:max val="100"/>
          <c:min val="25"/>
        </c:scaling>
        <c:delete val="0"/>
        <c:axPos val="l"/>
        <c:majorGridlines>
          <c:spPr>
            <a:ln w="9525" cap="flat" cmpd="sng" algn="ctr">
              <a:solidFill>
                <a:schemeClr val="bg1">
                  <a:lumMod val="65000"/>
                </a:schemeClr>
              </a:solidFill>
              <a:round/>
            </a:ln>
            <a:effectLst/>
          </c:spPr>
        </c:majorGridlines>
        <c:title>
          <c:tx>
            <c:rich>
              <a:bodyPr rot="-540000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i="1"/>
                  <a:t>выживаемость,</a:t>
                </a:r>
                <a:r>
                  <a:rPr lang="ru-RU" b="1" i="1" baseline="0"/>
                  <a:t> %</a:t>
                </a:r>
                <a:endParaRPr lang="ru-RU" b="1" i="1"/>
              </a:p>
            </c:rich>
          </c:tx>
          <c:layout>
            <c:manualLayout>
              <c:xMode val="edge"/>
              <c:yMode val="edge"/>
              <c:x val="5.092592592592593E-3"/>
              <c:y val="0.22444038245219347"/>
            </c:manualLayout>
          </c:layout>
          <c:overlay val="0"/>
          <c:spPr>
            <a:noFill/>
            <a:ln>
              <a:noFill/>
            </a:ln>
            <a:effectLst/>
          </c:spPr>
          <c:txPr>
            <a:bodyPr rot="-540000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86920256"/>
        <c:crosses val="autoZero"/>
        <c:crossBetween val="midCat"/>
        <c:majorUnit val="25"/>
      </c:valAx>
      <c:spPr>
        <a:noFill/>
        <a:ln w="9525">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125"/>
          <c:y val="7.0019997500312472E-2"/>
          <c:w val="0.85252314814814834"/>
          <c:h val="0.69980461575976072"/>
        </c:manualLayout>
      </c:layout>
      <c:lineChart>
        <c:grouping val="standard"/>
        <c:varyColors val="0"/>
        <c:ser>
          <c:idx val="0"/>
          <c:order val="0"/>
          <c:tx>
            <c:strRef>
              <c:f>Лист1!$B$1</c:f>
              <c:strCache>
                <c:ptCount val="1"/>
                <c:pt idx="0">
                  <c:v>высокая</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00-23D1-49B5-87AF-70519FCF263C}"/>
                </c:ext>
                <c:ext xmlns:c15="http://schemas.microsoft.com/office/drawing/2012/chart" uri="{CE6537A1-D6FC-4f65-9D91-7224C49458BB}"/>
              </c:extLst>
            </c:dLbl>
            <c:dLbl>
              <c:idx val="4"/>
              <c:dLblPos val="b"/>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3D1-49B5-87AF-70519FCF263C}"/>
                </c:ext>
                <c:ext xmlns:c15="http://schemas.microsoft.com/office/drawing/2012/chart" uri="{CE6537A1-D6FC-4f65-9D91-7224C49458BB}"/>
              </c:extLst>
            </c:dLbl>
            <c:dLbl>
              <c:idx val="5"/>
              <c:dLblPos val="b"/>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3D1-49B5-87AF-70519FCF263C}"/>
                </c:ext>
                <c:ext xmlns:c15="http://schemas.microsoft.com/office/drawing/2012/chart" uri="{CE6537A1-D6FC-4f65-9D91-7224C49458BB}"/>
              </c:extLst>
            </c:dLbl>
            <c:spPr>
              <a:solidFill>
                <a:schemeClr val="bg1"/>
              </a:solidFill>
              <a:ln>
                <a:solidFill>
                  <a:schemeClr val="tx1"/>
                </a:solidFill>
              </a:ln>
              <a:effectLst/>
            </c:spPr>
            <c:txPr>
              <a:bodyPr rot="0" spcFirstLastPara="1" vertOverflow="ellipsis" vert="horz" wrap="square" anchor="ctr" anchorCtr="1"/>
              <a:lstStyle/>
              <a:p>
                <a:pPr>
                  <a:defRPr sz="12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0</c:v>
                </c:pt>
                <c:pt idx="1">
                  <c:v>12</c:v>
                </c:pt>
                <c:pt idx="2">
                  <c:v>24</c:v>
                </c:pt>
                <c:pt idx="3">
                  <c:v>36</c:v>
                </c:pt>
                <c:pt idx="4">
                  <c:v>48</c:v>
                </c:pt>
                <c:pt idx="5">
                  <c:v>60</c:v>
                </c:pt>
              </c:numCache>
            </c:numRef>
          </c:cat>
          <c:val>
            <c:numRef>
              <c:f>Лист1!$B$2:$B$7</c:f>
              <c:numCache>
                <c:formatCode>0.0</c:formatCode>
                <c:ptCount val="6"/>
                <c:pt idx="0">
                  <c:v>100</c:v>
                </c:pt>
                <c:pt idx="1">
                  <c:v>97.260273972602747</c:v>
                </c:pt>
                <c:pt idx="2">
                  <c:v>80.821917808219183</c:v>
                </c:pt>
                <c:pt idx="3">
                  <c:v>60.273972602739725</c:v>
                </c:pt>
                <c:pt idx="4">
                  <c:v>49.315068493150676</c:v>
                </c:pt>
                <c:pt idx="5">
                  <c:v>43.835616438356155</c:v>
                </c:pt>
              </c:numCache>
            </c:numRef>
          </c:val>
          <c:smooth val="0"/>
          <c:extLst xmlns:c16r2="http://schemas.microsoft.com/office/drawing/2015/06/chart">
            <c:ext xmlns:c16="http://schemas.microsoft.com/office/drawing/2014/chart" uri="{C3380CC4-5D6E-409C-BE32-E72D297353CC}">
              <c16:uniqueId val="{00000003-23D1-49B5-87AF-70519FCF263C}"/>
            </c:ext>
          </c:extLst>
        </c:ser>
        <c:ser>
          <c:idx val="1"/>
          <c:order val="1"/>
          <c:tx>
            <c:strRef>
              <c:f>Лист1!$C$1</c:f>
              <c:strCache>
                <c:ptCount val="1"/>
                <c:pt idx="0">
                  <c:v>низкая</c:v>
                </c:pt>
              </c:strCache>
            </c:strRef>
          </c:tx>
          <c:spPr>
            <a:ln w="28575" cap="rnd">
              <a:solidFill>
                <a:srgbClr val="C00000"/>
              </a:solidFill>
              <a:round/>
            </a:ln>
            <a:effectLst/>
          </c:spPr>
          <c:marker>
            <c:symbol val="circle"/>
            <c:size val="7"/>
            <c:spPr>
              <a:solidFill>
                <a:srgbClr val="C00000"/>
              </a:solidFill>
              <a:ln w="9525">
                <a:solidFill>
                  <a:srgbClr val="C00000"/>
                </a:solidFill>
              </a:ln>
              <a:effectLst/>
            </c:spPr>
          </c:marker>
          <c:dLbls>
            <c:dLbl>
              <c:idx val="0"/>
              <c:delete val="1"/>
              <c:extLst xmlns:c16r2="http://schemas.microsoft.com/office/drawing/2015/06/chart">
                <c:ext xmlns:c16="http://schemas.microsoft.com/office/drawing/2014/chart" uri="{C3380CC4-5D6E-409C-BE32-E72D297353CC}">
                  <c16:uniqueId val="{00000004-23D1-49B5-87AF-70519FCF263C}"/>
                </c:ext>
                <c:ext xmlns:c15="http://schemas.microsoft.com/office/drawing/2012/chart" uri="{CE6537A1-D6FC-4f65-9D91-7224C49458BB}"/>
              </c:extLst>
            </c:dLbl>
            <c:dLbl>
              <c:idx val="4"/>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3D1-49B5-87AF-70519FCF263C}"/>
                </c:ext>
                <c:ext xmlns:c15="http://schemas.microsoft.com/office/drawing/2012/chart" uri="{CE6537A1-D6FC-4f65-9D91-7224C49458BB}"/>
              </c:extLst>
            </c:dLbl>
            <c:dLbl>
              <c:idx val="5"/>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3D1-49B5-87AF-70519FCF263C}"/>
                </c:ext>
                <c:ext xmlns:c15="http://schemas.microsoft.com/office/drawing/2012/chart" uri="{CE6537A1-D6FC-4f65-9D91-7224C49458BB}"/>
              </c:extLst>
            </c:dLbl>
            <c:spPr>
              <a:solidFill>
                <a:schemeClr val="bg1"/>
              </a:solidFill>
              <a:ln>
                <a:solidFill>
                  <a:schemeClr val="tx1"/>
                </a:solidFill>
              </a:ln>
              <a:effectLst/>
            </c:spPr>
            <c:txPr>
              <a:bodyPr rot="0" spcFirstLastPara="1" vertOverflow="ellipsis" vert="horz" wrap="square" anchor="ctr" anchorCtr="1"/>
              <a:lstStyle/>
              <a:p>
                <a:pPr>
                  <a:defRPr sz="1200" b="0"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0</c:v>
                </c:pt>
                <c:pt idx="1">
                  <c:v>12</c:v>
                </c:pt>
                <c:pt idx="2">
                  <c:v>24</c:v>
                </c:pt>
                <c:pt idx="3">
                  <c:v>36</c:v>
                </c:pt>
                <c:pt idx="4">
                  <c:v>48</c:v>
                </c:pt>
                <c:pt idx="5">
                  <c:v>60</c:v>
                </c:pt>
              </c:numCache>
            </c:numRef>
          </c:cat>
          <c:val>
            <c:numRef>
              <c:f>Лист1!$C$2:$C$7</c:f>
              <c:numCache>
                <c:formatCode>0.0</c:formatCode>
                <c:ptCount val="6"/>
                <c:pt idx="0">
                  <c:v>100</c:v>
                </c:pt>
                <c:pt idx="1">
                  <c:v>83.116883116883116</c:v>
                </c:pt>
                <c:pt idx="2">
                  <c:v>79.220779220779221</c:v>
                </c:pt>
                <c:pt idx="3">
                  <c:v>59.740259740259738</c:v>
                </c:pt>
                <c:pt idx="4">
                  <c:v>54.54545454545454</c:v>
                </c:pt>
                <c:pt idx="5">
                  <c:v>54.54545454545454</c:v>
                </c:pt>
              </c:numCache>
            </c:numRef>
          </c:val>
          <c:smooth val="0"/>
          <c:extLst xmlns:c16r2="http://schemas.microsoft.com/office/drawing/2015/06/chart">
            <c:ext xmlns:c16="http://schemas.microsoft.com/office/drawing/2014/chart" uri="{C3380CC4-5D6E-409C-BE32-E72D297353CC}">
              <c16:uniqueId val="{00000007-23D1-49B5-87AF-70519FCF263C}"/>
            </c:ext>
          </c:extLst>
        </c:ser>
        <c:dLbls>
          <c:showLegendKey val="0"/>
          <c:showVal val="0"/>
          <c:showCatName val="0"/>
          <c:showSerName val="0"/>
          <c:showPercent val="0"/>
          <c:showBubbleSize val="0"/>
        </c:dLbls>
        <c:marker val="1"/>
        <c:smooth val="0"/>
        <c:axId val="-886918080"/>
        <c:axId val="-886917536"/>
      </c:lineChart>
      <c:catAx>
        <c:axId val="-886918080"/>
        <c:scaling>
          <c:orientation val="minMax"/>
        </c:scaling>
        <c:delete val="0"/>
        <c:axPos val="b"/>
        <c:title>
          <c:tx>
            <c:rich>
              <a:bodyPr rot="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i="1"/>
                  <a:t>месяцы</a:t>
                </a:r>
              </a:p>
            </c:rich>
          </c:tx>
          <c:layout>
            <c:manualLayout>
              <c:xMode val="edge"/>
              <c:yMode val="edge"/>
              <c:x val="0.86268601880551876"/>
              <c:y val="0.84500041669624693"/>
            </c:manualLayout>
          </c:layout>
          <c:overlay val="0"/>
          <c:spPr>
            <a:noFill/>
            <a:ln>
              <a:noFill/>
            </a:ln>
            <a:effectLst/>
          </c:spPr>
          <c:txPr>
            <a:bodyPr rot="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86917536"/>
        <c:crosses val="autoZero"/>
        <c:auto val="1"/>
        <c:lblAlgn val="ctr"/>
        <c:lblOffset val="100"/>
        <c:noMultiLvlLbl val="0"/>
      </c:catAx>
      <c:valAx>
        <c:axId val="-886917536"/>
        <c:scaling>
          <c:orientation val="minMax"/>
          <c:max val="100"/>
          <c:min val="25"/>
        </c:scaling>
        <c:delete val="0"/>
        <c:axPos val="l"/>
        <c:majorGridlines>
          <c:spPr>
            <a:ln w="9525" cap="flat" cmpd="sng" algn="ctr">
              <a:solidFill>
                <a:schemeClr val="bg1">
                  <a:lumMod val="65000"/>
                </a:schemeClr>
              </a:solidFill>
              <a:round/>
            </a:ln>
            <a:effectLst/>
          </c:spPr>
        </c:majorGridlines>
        <c:title>
          <c:tx>
            <c:rich>
              <a:bodyPr rot="-540000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i="1"/>
                  <a:t>выживаемость,</a:t>
                </a:r>
                <a:r>
                  <a:rPr lang="ru-RU" b="1" i="1" baseline="0"/>
                  <a:t> %</a:t>
                </a:r>
                <a:endParaRPr lang="ru-RU" b="1" i="1"/>
              </a:p>
            </c:rich>
          </c:tx>
          <c:layout>
            <c:manualLayout>
              <c:xMode val="edge"/>
              <c:yMode val="edge"/>
              <c:x val="5.092592592592593E-3"/>
              <c:y val="0.22444038245219347"/>
            </c:manualLayout>
          </c:layout>
          <c:overlay val="0"/>
          <c:spPr>
            <a:noFill/>
            <a:ln>
              <a:noFill/>
            </a:ln>
            <a:effectLst/>
          </c:spPr>
          <c:txPr>
            <a:bodyPr rot="-540000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86918080"/>
        <c:crosses val="autoZero"/>
        <c:crossBetween val="midCat"/>
        <c:majorUnit val="25"/>
      </c:valAx>
      <c:spPr>
        <a:noFill/>
        <a:ln w="9525">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125"/>
          <c:y val="7.0019997500312472E-2"/>
          <c:w val="0.85252314814814834"/>
          <c:h val="0.69980461575976072"/>
        </c:manualLayout>
      </c:layout>
      <c:lineChart>
        <c:grouping val="standard"/>
        <c:varyColors val="0"/>
        <c:ser>
          <c:idx val="0"/>
          <c:order val="0"/>
          <c:tx>
            <c:strRef>
              <c:f>Лист1!$B$1</c:f>
              <c:strCache>
                <c:ptCount val="1"/>
                <c:pt idx="0">
                  <c:v>Есть</c:v>
                </c:pt>
              </c:strCache>
            </c:strRef>
          </c:tx>
          <c:spPr>
            <a:ln w="28575" cap="rnd">
              <a:solidFill>
                <a:srgbClr val="002060"/>
              </a:solidFill>
              <a:round/>
            </a:ln>
            <a:effectLst/>
          </c:spPr>
          <c:marker>
            <c:symbol val="circle"/>
            <c:size val="7"/>
            <c:spPr>
              <a:solidFill>
                <a:srgbClr val="002060"/>
              </a:solidFill>
              <a:ln w="9525">
                <a:solidFill>
                  <a:srgbClr val="002060"/>
                </a:solidFill>
              </a:ln>
              <a:effectLst/>
            </c:spPr>
          </c:marker>
          <c:dLbls>
            <c:dLbl>
              <c:idx val="0"/>
              <c:delete val="1"/>
              <c:extLst xmlns:c16r2="http://schemas.microsoft.com/office/drawing/2015/06/chart">
                <c:ext xmlns:c16="http://schemas.microsoft.com/office/drawing/2014/chart" uri="{C3380CC4-5D6E-409C-BE32-E72D297353CC}">
                  <c16:uniqueId val="{00000000-A29B-4209-B9A1-B72417121301}"/>
                </c:ext>
                <c:ext xmlns:c15="http://schemas.microsoft.com/office/drawing/2012/chart" uri="{CE6537A1-D6FC-4f65-9D91-7224C49458BB}"/>
              </c:extLst>
            </c:dLbl>
            <c:spPr>
              <a:solidFill>
                <a:schemeClr val="bg1"/>
              </a:solidFill>
              <a:ln>
                <a:solidFill>
                  <a:schemeClr val="tx1"/>
                </a:solidFill>
              </a:ln>
              <a:effectLst/>
            </c:spPr>
            <c:txPr>
              <a:bodyPr rot="0" spcFirstLastPara="1" vertOverflow="ellipsis" vert="horz" wrap="square" anchor="ctr" anchorCtr="1"/>
              <a:lstStyle/>
              <a:p>
                <a:pPr>
                  <a:defRPr sz="12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0</c:v>
                </c:pt>
                <c:pt idx="1">
                  <c:v>12</c:v>
                </c:pt>
                <c:pt idx="2">
                  <c:v>24</c:v>
                </c:pt>
                <c:pt idx="3">
                  <c:v>36</c:v>
                </c:pt>
                <c:pt idx="4">
                  <c:v>48</c:v>
                </c:pt>
                <c:pt idx="5">
                  <c:v>60</c:v>
                </c:pt>
              </c:numCache>
            </c:numRef>
          </c:cat>
          <c:val>
            <c:numRef>
              <c:f>Лист1!$B$2:$B$7</c:f>
              <c:numCache>
                <c:formatCode>0.0</c:formatCode>
                <c:ptCount val="6"/>
                <c:pt idx="0">
                  <c:v>100</c:v>
                </c:pt>
                <c:pt idx="1">
                  <c:v>87.012987012987011</c:v>
                </c:pt>
                <c:pt idx="2">
                  <c:v>68.831168831168839</c:v>
                </c:pt>
                <c:pt idx="3">
                  <c:v>38.961038961038966</c:v>
                </c:pt>
                <c:pt idx="4">
                  <c:v>27.27272727272727</c:v>
                </c:pt>
                <c:pt idx="5">
                  <c:v>25.97402597402597</c:v>
                </c:pt>
              </c:numCache>
            </c:numRef>
          </c:val>
          <c:smooth val="0"/>
          <c:extLst xmlns:c16r2="http://schemas.microsoft.com/office/drawing/2015/06/chart">
            <c:ext xmlns:c16="http://schemas.microsoft.com/office/drawing/2014/chart" uri="{C3380CC4-5D6E-409C-BE32-E72D297353CC}">
              <c16:uniqueId val="{00000001-A29B-4209-B9A1-B72417121301}"/>
            </c:ext>
          </c:extLst>
        </c:ser>
        <c:ser>
          <c:idx val="1"/>
          <c:order val="1"/>
          <c:tx>
            <c:strRef>
              <c:f>Лист1!$C$1</c:f>
              <c:strCache>
                <c:ptCount val="1"/>
                <c:pt idx="0">
                  <c:v>Нет</c:v>
                </c:pt>
              </c:strCache>
            </c:strRef>
          </c:tx>
          <c:spPr>
            <a:ln w="28575" cap="rnd">
              <a:solidFill>
                <a:srgbClr val="C00000"/>
              </a:solidFill>
              <a:round/>
            </a:ln>
            <a:effectLst/>
          </c:spPr>
          <c:marker>
            <c:symbol val="circle"/>
            <c:size val="7"/>
            <c:spPr>
              <a:solidFill>
                <a:srgbClr val="C00000"/>
              </a:solidFill>
              <a:ln w="9525">
                <a:solidFill>
                  <a:srgbClr val="C00000"/>
                </a:solidFill>
              </a:ln>
              <a:effectLst/>
            </c:spPr>
          </c:marker>
          <c:dLbls>
            <c:dLbl>
              <c:idx val="0"/>
              <c:delete val="1"/>
              <c:extLst xmlns:c16r2="http://schemas.microsoft.com/office/drawing/2015/06/chart">
                <c:ext xmlns:c16="http://schemas.microsoft.com/office/drawing/2014/chart" uri="{C3380CC4-5D6E-409C-BE32-E72D297353CC}">
                  <c16:uniqueId val="{00000002-A29B-4209-B9A1-B72417121301}"/>
                </c:ext>
                <c:ext xmlns:c15="http://schemas.microsoft.com/office/drawing/2012/chart" uri="{CE6537A1-D6FC-4f65-9D91-7224C49458BB}"/>
              </c:extLst>
            </c:dLbl>
            <c:spPr>
              <a:solidFill>
                <a:schemeClr val="bg1"/>
              </a:solidFill>
              <a:ln>
                <a:solidFill>
                  <a:schemeClr val="tx1"/>
                </a:solidFill>
              </a:ln>
              <a:effectLst/>
            </c:spPr>
            <c:txPr>
              <a:bodyPr rot="0" spcFirstLastPara="1" vertOverflow="ellipsis" vert="horz" wrap="square" anchor="ctr" anchorCtr="1"/>
              <a:lstStyle/>
              <a:p>
                <a:pPr>
                  <a:defRPr sz="1200" b="0"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0</c:v>
                </c:pt>
                <c:pt idx="1">
                  <c:v>12</c:v>
                </c:pt>
                <c:pt idx="2">
                  <c:v>24</c:v>
                </c:pt>
                <c:pt idx="3">
                  <c:v>36</c:v>
                </c:pt>
                <c:pt idx="4">
                  <c:v>48</c:v>
                </c:pt>
                <c:pt idx="5">
                  <c:v>60</c:v>
                </c:pt>
              </c:numCache>
            </c:numRef>
          </c:cat>
          <c:val>
            <c:numRef>
              <c:f>Лист1!$C$2:$C$7</c:f>
              <c:numCache>
                <c:formatCode>0.0</c:formatCode>
                <c:ptCount val="6"/>
                <c:pt idx="0">
                  <c:v>100</c:v>
                </c:pt>
                <c:pt idx="1">
                  <c:v>93.150684931506845</c:v>
                </c:pt>
                <c:pt idx="2">
                  <c:v>83.561643835616437</c:v>
                </c:pt>
                <c:pt idx="3">
                  <c:v>78.082191780821915</c:v>
                </c:pt>
                <c:pt idx="4">
                  <c:v>73.972602739726028</c:v>
                </c:pt>
                <c:pt idx="5">
                  <c:v>69.863013698630141</c:v>
                </c:pt>
              </c:numCache>
            </c:numRef>
          </c:val>
          <c:smooth val="0"/>
          <c:extLst xmlns:c16r2="http://schemas.microsoft.com/office/drawing/2015/06/chart">
            <c:ext xmlns:c16="http://schemas.microsoft.com/office/drawing/2014/chart" uri="{C3380CC4-5D6E-409C-BE32-E72D297353CC}">
              <c16:uniqueId val="{00000003-A29B-4209-B9A1-B72417121301}"/>
            </c:ext>
          </c:extLst>
        </c:ser>
        <c:dLbls>
          <c:showLegendKey val="0"/>
          <c:showVal val="0"/>
          <c:showCatName val="0"/>
          <c:showSerName val="0"/>
          <c:showPercent val="0"/>
          <c:showBubbleSize val="0"/>
        </c:dLbls>
        <c:marker val="1"/>
        <c:smooth val="0"/>
        <c:axId val="-886916992"/>
        <c:axId val="-886918624"/>
      </c:lineChart>
      <c:catAx>
        <c:axId val="-886916992"/>
        <c:scaling>
          <c:orientation val="minMax"/>
        </c:scaling>
        <c:delete val="0"/>
        <c:axPos val="b"/>
        <c:title>
          <c:tx>
            <c:rich>
              <a:bodyPr rot="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i="1"/>
                  <a:t>месяцы</a:t>
                </a:r>
              </a:p>
            </c:rich>
          </c:tx>
          <c:layout>
            <c:manualLayout>
              <c:xMode val="edge"/>
              <c:yMode val="edge"/>
              <c:x val="0.86268601880551876"/>
              <c:y val="0.84500041669624693"/>
            </c:manualLayout>
          </c:layout>
          <c:overlay val="0"/>
          <c:spPr>
            <a:noFill/>
            <a:ln>
              <a:noFill/>
            </a:ln>
            <a:effectLst/>
          </c:spPr>
          <c:txPr>
            <a:bodyPr rot="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86918624"/>
        <c:crosses val="autoZero"/>
        <c:auto val="1"/>
        <c:lblAlgn val="ctr"/>
        <c:lblOffset val="100"/>
        <c:noMultiLvlLbl val="0"/>
      </c:catAx>
      <c:valAx>
        <c:axId val="-886918624"/>
        <c:scaling>
          <c:orientation val="minMax"/>
          <c:max val="100"/>
          <c:min val="0"/>
        </c:scaling>
        <c:delete val="0"/>
        <c:axPos val="l"/>
        <c:majorGridlines>
          <c:spPr>
            <a:ln w="9525" cap="flat" cmpd="sng" algn="ctr">
              <a:solidFill>
                <a:schemeClr val="bg1">
                  <a:lumMod val="65000"/>
                </a:schemeClr>
              </a:solidFill>
              <a:round/>
            </a:ln>
            <a:effectLst/>
          </c:spPr>
        </c:majorGridlines>
        <c:title>
          <c:tx>
            <c:rich>
              <a:bodyPr rot="-540000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i="1"/>
                  <a:t>выживаемость,</a:t>
                </a:r>
                <a:r>
                  <a:rPr lang="ru-RU" b="1" i="1" baseline="0"/>
                  <a:t> %</a:t>
                </a:r>
                <a:endParaRPr lang="ru-RU" b="1" i="1"/>
              </a:p>
            </c:rich>
          </c:tx>
          <c:layout>
            <c:manualLayout>
              <c:xMode val="edge"/>
              <c:yMode val="edge"/>
              <c:x val="5.092592592592593E-3"/>
              <c:y val="0.22444038245219347"/>
            </c:manualLayout>
          </c:layout>
          <c:overlay val="0"/>
          <c:spPr>
            <a:noFill/>
            <a:ln>
              <a:noFill/>
            </a:ln>
            <a:effectLst/>
          </c:spPr>
          <c:txPr>
            <a:bodyPr rot="-5400000" spcFirstLastPara="1" vertOverflow="ellipsis" vert="horz" wrap="square" anchor="ctr" anchorCtr="1"/>
            <a:lstStyle/>
            <a:p>
              <a:pPr>
                <a:defRPr sz="12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86916992"/>
        <c:crosses val="autoZero"/>
        <c:crossBetween val="midCat"/>
        <c:majorUnit val="25"/>
      </c:valAx>
      <c:spPr>
        <a:noFill/>
        <a:ln w="9525">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5993876526047799E-2"/>
          <c:y val="7.7722904330149237E-2"/>
          <c:w val="0.6779295001952762"/>
          <c:h val="0.92227707582658491"/>
        </c:manualLayout>
      </c:layout>
      <c:pieChart>
        <c:varyColors val="1"/>
        <c:ser>
          <c:idx val="0"/>
          <c:order val="0"/>
          <c:tx>
            <c:strRef>
              <c:f>Лист2!$B$1</c:f>
              <c:strCache>
                <c:ptCount val="1"/>
                <c:pt idx="0">
                  <c:v>частота </c:v>
                </c:pt>
              </c:strCache>
            </c:strRef>
          </c:tx>
          <c:dPt>
            <c:idx val="0"/>
            <c:bubble3D val="0"/>
            <c:spPr>
              <a:solidFill>
                <a:srgbClr val="FFFF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751-4DDD-8B9A-2F0093D3D539}"/>
              </c:ext>
            </c:extLst>
          </c:dPt>
          <c:dPt>
            <c:idx val="1"/>
            <c:bubble3D val="0"/>
            <c:spPr>
              <a:solidFill>
                <a:srgbClr val="FF00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751-4DDD-8B9A-2F0093D3D539}"/>
              </c:ext>
            </c:extLst>
          </c:dPt>
          <c:dPt>
            <c:idx val="2"/>
            <c:bubble3D val="0"/>
            <c:explosion val="12"/>
            <c:spPr>
              <a:solidFill>
                <a:srgbClr val="00B05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D751-4DDD-8B9A-2F0093D3D539}"/>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Лист2!$A$2:$A$4</c:f>
              <c:strCache>
                <c:ptCount val="3"/>
                <c:pt idx="0">
                  <c:v>1 степень</c:v>
                </c:pt>
                <c:pt idx="1">
                  <c:v>2 степень</c:v>
                </c:pt>
                <c:pt idx="2">
                  <c:v>3 степень </c:v>
                </c:pt>
              </c:strCache>
            </c:strRef>
          </c:cat>
          <c:val>
            <c:numRef>
              <c:f>Лист2!$B$2:$B$4</c:f>
              <c:numCache>
                <c:formatCode>General</c:formatCode>
                <c:ptCount val="3"/>
                <c:pt idx="0">
                  <c:v>40</c:v>
                </c:pt>
                <c:pt idx="1">
                  <c:v>48</c:v>
                </c:pt>
                <c:pt idx="2">
                  <c:v>12</c:v>
                </c:pt>
              </c:numCache>
            </c:numRef>
          </c:val>
          <c:extLst xmlns:c16r2="http://schemas.microsoft.com/office/drawing/2015/06/chart">
            <c:ext xmlns:c16="http://schemas.microsoft.com/office/drawing/2014/chart" uri="{C3380CC4-5D6E-409C-BE32-E72D297353CC}">
              <c16:uniqueId val="{00000006-D751-4DDD-8B9A-2F0093D3D53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5993876526047799E-2"/>
          <c:y val="7.7722904330149237E-2"/>
          <c:w val="0.6779295001952762"/>
          <c:h val="0.92227707582658491"/>
        </c:manualLayout>
      </c:layout>
      <c:pieChart>
        <c:varyColors val="1"/>
        <c:ser>
          <c:idx val="0"/>
          <c:order val="0"/>
          <c:tx>
            <c:strRef>
              <c:f>Лист2!$B$1</c:f>
              <c:strCache>
                <c:ptCount val="1"/>
                <c:pt idx="0">
                  <c:v>частота </c:v>
                </c:pt>
              </c:strCache>
            </c:strRef>
          </c:tx>
          <c:dPt>
            <c:idx val="0"/>
            <c:bubble3D val="0"/>
            <c:spPr>
              <a:solidFill>
                <a:srgbClr val="FFFF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8048-4993-BCFC-9ABF85CCC367}"/>
              </c:ext>
            </c:extLst>
          </c:dPt>
          <c:dPt>
            <c:idx val="1"/>
            <c:bubble3D val="0"/>
            <c:spPr>
              <a:solidFill>
                <a:srgbClr val="FF00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8048-4993-BCFC-9ABF85CCC367}"/>
              </c:ext>
            </c:extLst>
          </c:dPt>
          <c:dPt>
            <c:idx val="2"/>
            <c:bubble3D val="0"/>
            <c:explosion val="12"/>
            <c:spPr>
              <a:solidFill>
                <a:srgbClr val="00B05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8048-4993-BCFC-9ABF85CCC367}"/>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Лист2!$A$2:$A$4</c:f>
              <c:strCache>
                <c:ptCount val="3"/>
                <c:pt idx="0">
                  <c:v>1 степень</c:v>
                </c:pt>
                <c:pt idx="1">
                  <c:v>2 степень</c:v>
                </c:pt>
                <c:pt idx="2">
                  <c:v>3 степень </c:v>
                </c:pt>
              </c:strCache>
            </c:strRef>
          </c:cat>
          <c:val>
            <c:numRef>
              <c:f>Лист2!$B$2:$B$4</c:f>
              <c:numCache>
                <c:formatCode>General</c:formatCode>
                <c:ptCount val="3"/>
                <c:pt idx="0">
                  <c:v>40</c:v>
                </c:pt>
                <c:pt idx="1">
                  <c:v>48</c:v>
                </c:pt>
                <c:pt idx="2">
                  <c:v>12</c:v>
                </c:pt>
              </c:numCache>
            </c:numRef>
          </c:val>
          <c:extLst xmlns:c16r2="http://schemas.microsoft.com/office/drawing/2015/06/chart">
            <c:ext xmlns:c16="http://schemas.microsoft.com/office/drawing/2014/chart" uri="{C3380CC4-5D6E-409C-BE32-E72D297353CC}">
              <c16:uniqueId val="{00000006-8048-4993-BCFC-9ABF85CCC36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explosion val="5"/>
            <c:spPr>
              <a:solidFill>
                <a:srgbClr val="FFFF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EDCA-405F-B48D-54DDEBD94237}"/>
              </c:ext>
            </c:extLst>
          </c:dPt>
          <c:dPt>
            <c:idx val="1"/>
            <c:bubble3D val="0"/>
            <c:explosion val="1"/>
            <c:spPr>
              <a:solidFill>
                <a:srgbClr val="FF00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EDCA-405F-B48D-54DDEBD94237}"/>
              </c:ext>
            </c:extLst>
          </c:dPt>
          <c:dPt>
            <c:idx val="2"/>
            <c:bubble3D val="0"/>
            <c:explosion val="7"/>
            <c:spPr>
              <a:solidFill>
                <a:srgbClr val="04D6EC"/>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EDCA-405F-B48D-54DDEBD94237}"/>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Лист3!$A$2:$A$4</c:f>
              <c:strCache>
                <c:ptCount val="3"/>
                <c:pt idx="0">
                  <c:v>1 степень</c:v>
                </c:pt>
                <c:pt idx="1">
                  <c:v>2 степень</c:v>
                </c:pt>
                <c:pt idx="2">
                  <c:v>Электролитные нарушения отсутствуют</c:v>
                </c:pt>
              </c:strCache>
            </c:strRef>
          </c:cat>
          <c:val>
            <c:numRef>
              <c:f>Лист3!$B$2:$B$4</c:f>
              <c:numCache>
                <c:formatCode>General</c:formatCode>
                <c:ptCount val="3"/>
                <c:pt idx="0">
                  <c:v>6.6</c:v>
                </c:pt>
                <c:pt idx="1">
                  <c:v>12</c:v>
                </c:pt>
                <c:pt idx="2">
                  <c:v>81.400000000000006</c:v>
                </c:pt>
              </c:numCache>
            </c:numRef>
          </c:val>
          <c:extLst xmlns:c16r2="http://schemas.microsoft.com/office/drawing/2015/06/chart">
            <c:ext xmlns:c16="http://schemas.microsoft.com/office/drawing/2014/chart" uri="{C3380CC4-5D6E-409C-BE32-E72D297353CC}">
              <c16:uniqueId val="{00000006-EDCA-405F-B48D-54DDEBD9423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Лист4!$B$1</c:f>
              <c:strCache>
                <c:ptCount val="1"/>
                <c:pt idx="0">
                  <c:v>Начало наблюдения</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Лист4!$A$2:$A$4</c:f>
              <c:strCache>
                <c:ptCount val="3"/>
                <c:pt idx="0">
                  <c:v>Отчетливое истощение</c:v>
                </c:pt>
                <c:pt idx="1">
                  <c:v>Значительное истощение</c:v>
                </c:pt>
                <c:pt idx="2">
                  <c:v>Предельное истощение</c:v>
                </c:pt>
              </c:strCache>
            </c:strRef>
          </c:cat>
          <c:val>
            <c:numRef>
              <c:f>Лист4!$B$2:$B$4</c:f>
              <c:numCache>
                <c:formatCode>General</c:formatCode>
                <c:ptCount val="3"/>
                <c:pt idx="0">
                  <c:v>66.599999999999994</c:v>
                </c:pt>
                <c:pt idx="1">
                  <c:v>19.600000000000001</c:v>
                </c:pt>
                <c:pt idx="2">
                  <c:v>13.7</c:v>
                </c:pt>
              </c:numCache>
            </c:numRef>
          </c:val>
          <c:extLst xmlns:c16r2="http://schemas.microsoft.com/office/drawing/2015/06/chart">
            <c:ext xmlns:c16="http://schemas.microsoft.com/office/drawing/2014/chart" uri="{C3380CC4-5D6E-409C-BE32-E72D297353CC}">
              <c16:uniqueId val="{00000000-8D40-406C-81E1-F0DF0252963F}"/>
            </c:ext>
          </c:extLst>
        </c:ser>
        <c:ser>
          <c:idx val="1"/>
          <c:order val="1"/>
          <c:tx>
            <c:strRef>
              <c:f>Лист4!$C$1</c:f>
              <c:strCache>
                <c:ptCount val="1"/>
                <c:pt idx="0">
                  <c:v>12 месяц наблюдения</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Лист4!$A$2:$A$4</c:f>
              <c:strCache>
                <c:ptCount val="3"/>
                <c:pt idx="0">
                  <c:v>Отчетливое истощение</c:v>
                </c:pt>
                <c:pt idx="1">
                  <c:v>Значительное истощение</c:v>
                </c:pt>
                <c:pt idx="2">
                  <c:v>Предельное истощение</c:v>
                </c:pt>
              </c:strCache>
            </c:strRef>
          </c:cat>
          <c:val>
            <c:numRef>
              <c:f>Лист4!$C$2:$C$4</c:f>
              <c:numCache>
                <c:formatCode>General</c:formatCode>
                <c:ptCount val="3"/>
                <c:pt idx="0">
                  <c:v>29.3</c:v>
                </c:pt>
                <c:pt idx="1">
                  <c:v>3.9</c:v>
                </c:pt>
                <c:pt idx="2">
                  <c:v>1.9</c:v>
                </c:pt>
              </c:numCache>
            </c:numRef>
          </c:val>
          <c:extLst xmlns:c16r2="http://schemas.microsoft.com/office/drawing/2015/06/chart">
            <c:ext xmlns:c16="http://schemas.microsoft.com/office/drawing/2014/chart" uri="{C3380CC4-5D6E-409C-BE32-E72D297353CC}">
              <c16:uniqueId val="{00000001-8D40-406C-81E1-F0DF0252963F}"/>
            </c:ext>
          </c:extLst>
        </c:ser>
        <c:dLbls>
          <c:dLblPos val="outEnd"/>
          <c:showLegendKey val="0"/>
          <c:showVal val="1"/>
          <c:showCatName val="0"/>
          <c:showSerName val="0"/>
          <c:showPercent val="0"/>
          <c:showBubbleSize val="0"/>
        </c:dLbls>
        <c:gapWidth val="219"/>
        <c:overlap val="-27"/>
        <c:axId val="-813113584"/>
        <c:axId val="-813110864"/>
      </c:barChart>
      <c:catAx>
        <c:axId val="-81311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13110864"/>
        <c:crossesAt val="0"/>
        <c:auto val="1"/>
        <c:lblAlgn val="ctr"/>
        <c:lblOffset val="100"/>
        <c:noMultiLvlLbl val="0"/>
      </c:catAx>
      <c:valAx>
        <c:axId val="-81311086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13113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1</Pages>
  <Words>122042</Words>
  <Characters>695645</Characters>
  <Application>Microsoft Office Word</Application>
  <DocSecurity>0</DocSecurity>
  <Lines>5797</Lines>
  <Paragraphs>1632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816055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2022-05-25T09:21:00Z</dcterms:created>
  <dcterms:modified xsi:type="dcterms:W3CDTF">2022-05-26T03:42:00Z</dcterms:modified>
</cp:coreProperties>
</file>